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FEA" w:rsidRDefault="0092031C" w:rsidP="00C62FEA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765BD" wp14:editId="1256C779">
                <wp:simplePos x="0" y="0"/>
                <wp:positionH relativeFrom="column">
                  <wp:posOffset>4525108</wp:posOffset>
                </wp:positionH>
                <wp:positionV relativeFrom="paragraph">
                  <wp:posOffset>-332350</wp:posOffset>
                </wp:positionV>
                <wp:extent cx="5298830" cy="668216"/>
                <wp:effectExtent l="0" t="0" r="10160" b="177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8830" cy="668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031C" w:rsidRPr="006A1796" w:rsidRDefault="0092031C" w:rsidP="0092031C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</w:pPr>
                            <w:r w:rsidRPr="006A17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  <w:t>Relationship between Cognitive Vulnerability and Stress Response in Children and Adolescents: A Systematic Review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; European Child and Adolescent Psychiatry;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</w:rPr>
                              <w:t xml:space="preserve">Bäumler, Leonie, Frommelt, Tonya, Özbey, Ada, Koc, Eda, Schulte-Körne, Gerd, Platt, Belinda;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Department of Child and Adolescent Psychiatry, Psychosomatics and Psychotherapy, LMU University Hospital Munich, Germany; </w:t>
                            </w:r>
                            <w:hyperlink r:id="rId7" w:tooltip="mailto:leonie.baeumler@med.uni-muenchen.de" w:history="1">
                              <w:r w:rsidRPr="006A1796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sz w:val="13"/>
                                  <w:szCs w:val="10"/>
                                  <w:lang w:val="en-GB"/>
                                </w:rPr>
                                <w:t>leonie.baeumler@med.uni-muenchen.de</w:t>
                              </w:r>
                            </w:hyperlink>
                          </w:p>
                          <w:p w:rsidR="0092031C" w:rsidRDefault="0092031C" w:rsidP="009203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8765B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56.3pt;margin-top:-26.15pt;width:417.25pt;height:5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" fillcolor="white [3201]" strokeweight=".5pt">
                <v:textbox>
                  <w:txbxContent>
                    <w:p w:rsidR="0092031C" w:rsidRPr="006A1796" w:rsidRDefault="0092031C" w:rsidP="0092031C">
                      <w:pPr>
                        <w:spacing w:line="480" w:lineRule="auto"/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</w:pPr>
                      <w:r w:rsidRPr="006A1796"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  <w:t>Relationship between Cognitive Vulnerability and Stress Response in Children and Adolescents: A Systematic Review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; European Child and Adolescent Psychiatry;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</w:rPr>
                        <w:t xml:space="preserve">Bäumler, Leonie, Frommelt, Tonya, Özbey, Ada, Koc, Eda, Schulte-Körne, Gerd, Platt, Belinda;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Department of Child and Adolescent Psychiatry, Psychosomatics and Psychotherapy, LMU University Hospital Munich, Germany; </w:t>
                      </w:r>
                      <w:hyperlink r:id="rId8" w:tooltip="mailto:leonie.baeumler@med.uni-muenchen.de" w:history="1">
                        <w:r w:rsidRPr="006A1796">
                          <w:rPr>
                            <w:rStyle w:val="Hyperlink"/>
                            <w:rFonts w:ascii="Times New Roman" w:hAnsi="Times New Roman" w:cs="Times New Roman"/>
                            <w:bCs/>
                            <w:sz w:val="13"/>
                            <w:szCs w:val="10"/>
                            <w:lang w:val="en-GB"/>
                          </w:rPr>
                          <w:t>leonie.baeumler@med.uni-muenchen.de</w:t>
                        </w:r>
                      </w:hyperlink>
                    </w:p>
                    <w:p w:rsidR="0092031C" w:rsidRDefault="0092031C" w:rsidP="0092031C"/>
                  </w:txbxContent>
                </v:textbox>
              </v:shape>
            </w:pict>
          </mc:Fallback>
        </mc:AlternateContent>
      </w:r>
    </w:p>
    <w:p w:rsidR="0092031C" w:rsidRPr="00C62FEA" w:rsidRDefault="0092031C" w:rsidP="00C62FEA">
      <w:pPr>
        <w:rPr>
          <w:rFonts w:ascii="Times New Roman" w:hAnsi="Times New Roman" w:cs="Times New Roman"/>
          <w:b/>
          <w:bCs/>
          <w:lang w:val="en-GB"/>
        </w:rPr>
      </w:pPr>
    </w:p>
    <w:p w:rsidR="00C62FEA" w:rsidRPr="00C62FEA" w:rsidRDefault="00C62FEA" w:rsidP="00C62FEA">
      <w:pPr>
        <w:rPr>
          <w:rFonts w:ascii="Times New Roman" w:hAnsi="Times New Roman" w:cs="Times New Roman"/>
          <w:lang w:val="en-GB"/>
        </w:rPr>
      </w:pPr>
      <w:r w:rsidRPr="00C62FEA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490428">
        <w:rPr>
          <w:rFonts w:ascii="Times New Roman" w:hAnsi="Times New Roman" w:cs="Times New Roman"/>
          <w:b/>
          <w:bCs/>
          <w:lang w:val="en-GB"/>
        </w:rPr>
        <w:t>D.3</w:t>
      </w:r>
      <w:r w:rsidRPr="00C62FEA">
        <w:rPr>
          <w:rFonts w:ascii="Times New Roman" w:hAnsi="Times New Roman" w:cs="Times New Roman"/>
          <w:lang w:val="en-GB"/>
        </w:rPr>
        <w:t>: Results on relationship between cognitive vulnerability and psychological stress response</w:t>
      </w:r>
    </w:p>
    <w:tbl>
      <w:tblPr>
        <w:tblW w:w="154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709"/>
        <w:gridCol w:w="709"/>
        <w:gridCol w:w="709"/>
        <w:gridCol w:w="1559"/>
        <w:gridCol w:w="1142"/>
        <w:gridCol w:w="9489"/>
      </w:tblGrid>
      <w:tr w:rsidR="00C62FEA" w:rsidRPr="00C62FEA" w:rsidTr="007D3DD6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C62FEA" w:rsidRPr="00C62FEA" w:rsidRDefault="00C62FEA" w:rsidP="007D3DD6">
            <w:pPr>
              <w:ind w:right="359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Article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Study design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Sample size (N)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Age range, years (Mean)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Cognitive Vulnerability Category; Measurement</w:t>
            </w:r>
          </w:p>
        </w:tc>
        <w:tc>
          <w:tcPr>
            <w:tcW w:w="11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Psychological Stress Response </w:t>
            </w:r>
          </w:p>
        </w:tc>
        <w:tc>
          <w:tcPr>
            <w:tcW w:w="94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Relationship Cognitive Vulnerability x Psychological Stress Response</w:t>
            </w:r>
            <w:bookmarkStart w:id="0" w:name="_GoBack"/>
            <w:bookmarkEnd w:id="0"/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Feurer et al., 2020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– 17 (14.95)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cognitive bias (AB); attentional disengagement task</w:t>
            </w:r>
          </w:p>
        </w:tc>
        <w:tc>
          <w:tcPr>
            <w:tcW w:w="1142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affect (state mood, VAS)</w:t>
            </w:r>
          </w:p>
        </w:tc>
        <w:tc>
          <w:tcPr>
            <w:tcW w:w="9489" w:type="dxa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less sustained attention (AB) to sad faces (CV) associated with lower mood reactivity (SR) to real-life stressors</w:t>
            </w:r>
            <w:r w:rsidRPr="00C62FE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among older youth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Jopling et al., 2021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– 13 (12.93)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cognitive biases (AB, MB);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Posner task, Sternberg task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affect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association between CV and SR not analysed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Aldao et al., 2014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 – 17 (14.9)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rumination (CRSQ), attributional style, appraisals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affect (PANAS)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higher rumination (CV) associated with greater increases in negative affect (SR) following the stressor while controlling for pre-stressor negative affect (β = 0.26, p&lt; .001)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Borelli et al., 2014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– 12 (9.83)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rumination;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CRSQ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affect (SAM)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rumination (CV) associated with mean child-reported negative emotion (SR) during sad vignettes, but not during fear vignettes 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Braet et al., 2025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249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NR</w:t>
            </w:r>
          </w:p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(12.73)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rumination, attributional style; FEEL-KJ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affect (PANAS)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(rumination) rumination (CV) associated with increased negative affect (SR) in high-intensity stress situations (B = 0.11, t(3010.64) = 8.00, p &lt; 0.01, ηp 2 = 0.02) but not with positive affect; (attributional style) </w:t>
            </w:r>
            <w:bookmarkStart w:id="1" w:name="OLE_LINK1"/>
            <w:bookmarkStart w:id="2" w:name="OLE_LINK2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cognitive reappraisal (CV) associated with lower negative affect (SR) in high-intensity stress situations </w:t>
            </w:r>
            <w:bookmarkEnd w:id="1"/>
            <w:bookmarkEnd w:id="2"/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(B = −0.001, t(2971.10) = −2.13, p = 0.03, ηp 2 = 0.00) and reduced positive affect in low-intensity stress situations (B = 0.00, t(2981.76) = 4.38, p &lt; 0.01, ηp 2 = 0.01)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Katz et al., 2019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NR (16.6)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rumination, emotion regulation;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TQ, ERQ-CA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affect (PANAS)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association between CV and SR not analysed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Shapero et al., 2019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– 13 (15.28)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emotion regulation;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ERQ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emotional reactivity (ERS)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cognitive reappraisal (CV) not significantly associated with state emotional reactivity (B = −.00, t = 0.07, p=0.94) when controlling for distress; lower cognitive reappraisal (CV) associated with slower state emotional recovery (SR) (B = −.04, t = 2.25, p= .03) when controlling for distress 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ind w:right="359"/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Bendezú et al., 2022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241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– 17 (14.68)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attributional style; CCSQ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affect (PANAS-C)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negative cognitive style (CV) associated with subgroup membership (SR): affective distress (less pronounced NA and PA reactivity), B = 0.520, SE= 0.182, OR=1.682, p&lt; .05, hyperresponsive (more pronounced NA and PA reactivity), B= 0.441, SE= 0.213, OR = 1.554, p&lt; .05, hyporesponsive (less pronounced NA and PA reactivity), B= 0.726, SE= 0.292, OR= 2.067, p&lt; .05.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Quinn et al., 2018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179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 – 18 (14.35)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attributional style;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ACSQ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affect (5-point Likert scale)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association between CV and SR not analysed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Ybarra et al., 2006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– 5 (62.5 months)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attributional </w:t>
            </w:r>
            <w:r w:rsidRPr="00C62FEA">
              <w:rPr>
                <w:rFonts w:ascii="Times New Roman" w:hAnsi="Times New Roman" w:cs="Times New Roman"/>
                <w:sz w:val="16"/>
                <w:szCs w:val="16"/>
              </w:rPr>
              <w:t xml:space="preserve">style; </w:t>
            </w:r>
            <w:r w:rsidRPr="00C62F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attributions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self-rated affect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attributional style (CV) associated with self-reported affect (SR) (ps &gt; .20)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Chen et al., 2014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 – 10 (9.85)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sz w:val="16"/>
                <w:szCs w:val="16"/>
              </w:rPr>
              <w:t xml:space="preserve">emotion processing; </w:t>
            </w:r>
            <w:r w:rsidRPr="00C62F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emotion classification task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affect (subjective stress ratings)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association between CV and SR not analysed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Chiang, 2016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18 - 20 (18.37)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attributional style; </w:t>
            </w:r>
            <w:r w:rsidRPr="00C62F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questionnaire on threat appraisals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affect (PANAS)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association between CV and SR not analysed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Monti et al., 2017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NR (9.46)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rumination;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adapted version of RSQ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affect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association between CV and SR not analysed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Raffington et al., 2020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 – 7 (7.23)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cognitive bias (MB);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emotional memory task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subjective stress response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effect of self-reported stress on overall item memory in boys (b = 0.350, SE = 0.106, p= 0.006), but not girls (b = 0.002, SE = 0.117, p= 0.984)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Abela &amp; D´Alessandro, (2002)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LT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attributional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style, dysfunctional attitudes, </w:t>
            </w:r>
          </w:p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cognitive style; DAS, CPQ, PIQ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affect (MAACL)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negative outcome students: dysfunctional attitudes (CV) at T1 associated with change in affect (SR) between T1 and T2; dysfunctional attitudes (CV) not associated with change in affect (SR) between T1 and T3; negative outcome students: negative views of the future (CV) at T2 associated with change in affect (SR) between T1 and T2 (r =.287, p &lt; .05)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Rumbold (2020)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16-19 (17.23)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attributional style, coping; cognitive appraisal task, coping questionnaire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affect (anxiety, anger, sadness; vs. happiness)</w:t>
            </w:r>
          </w:p>
        </w:tc>
        <w:tc>
          <w:tcPr>
            <w:tcW w:w="9489" w:type="dxa"/>
            <w:tcBorders>
              <w:bottom w:val="single" w:sz="4" w:space="0" w:color="auto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daily cognitive appraisals: threat (В = 0.22, p &lt; .001) and harm (В = 0.25, p &lt; .001) (CV) associated with negative affect (SR); challenge (В = 0.15, p &lt; .01) and harm appraisals (В = -0.10, p &lt; .05) (CV) associated with positive affect (SR)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C62FEA" w:rsidRPr="00C62FEA" w:rsidRDefault="00C62FEA" w:rsidP="007D3DD6">
            <w:pPr>
              <w:ind w:right="359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Article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Study design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Sample size (N)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Age range, years (Mean)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Cognitive Vulnerability Category; Measurement</w:t>
            </w:r>
          </w:p>
        </w:tc>
        <w:tc>
          <w:tcPr>
            <w:tcW w:w="11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Psychological Stress Response </w:t>
            </w:r>
          </w:p>
        </w:tc>
        <w:tc>
          <w:tcPr>
            <w:tcW w:w="948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Relationship Cognitive Vulnerability x Psychological Stress Response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Bar-Haim et al., 2011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(10.1)</w:t>
            </w:r>
          </w:p>
        </w:tc>
        <w:tc>
          <w:tcPr>
            <w:tcW w:w="155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cognitive bias (AB); emotional-spatial cueing task</w:t>
            </w:r>
          </w:p>
        </w:tc>
        <w:tc>
          <w:tcPr>
            <w:tcW w:w="1142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affect (analog mood scales)</w:t>
            </w:r>
          </w:p>
        </w:tc>
        <w:tc>
          <w:tcPr>
            <w:tcW w:w="948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steeper learning curves within the ABM group (CV) associated with lower anxiety response (SR) (r(18) = .62, p = .006); no such association in the control group (r(18) = .10, p = .72)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 Voogd et al., 2017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11 - 19 (14.45)</w:t>
            </w:r>
          </w:p>
        </w:tc>
        <w:tc>
          <w:tcPr>
            <w:tcW w:w="155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cognitive biases (AB, IB), rumination; 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emotional visual search task, recognition task, perseverative thinking questionnaire</w:t>
            </w:r>
          </w:p>
        </w:tc>
        <w:tc>
          <w:tcPr>
            <w:tcW w:w="1142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affect (VAS: negative and positive mood scale)</w:t>
            </w:r>
          </w:p>
        </w:tc>
        <w:tc>
          <w:tcPr>
            <w:tcW w:w="948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no significant difference in mood change</w:t>
            </w:r>
            <w:r w:rsidR="00A552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(SR)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between the training group</w:t>
            </w:r>
            <w:r w:rsidR="00B478C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="00A552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(CV)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(no significant effect of Group x Time interaction)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Eldar et al., 2008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7 - 12 (9.4)</w:t>
            </w:r>
          </w:p>
        </w:tc>
        <w:tc>
          <w:tcPr>
            <w:tcW w:w="155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cognitive bias (AB); dot-probe task</w:t>
            </w:r>
          </w:p>
        </w:tc>
        <w:tc>
          <w:tcPr>
            <w:tcW w:w="1142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affect (analog mood scales)</w:t>
            </w:r>
          </w:p>
        </w:tc>
        <w:tc>
          <w:tcPr>
            <w:tcW w:w="9489" w:type="dxa"/>
            <w:tcBorders>
              <w:left w:val="none" w:sz="4" w:space="0" w:color="000000"/>
              <w:right w:val="none" w:sz="4" w:space="0" w:color="000000"/>
            </w:tcBorders>
          </w:tcPr>
          <w:p w:rsidR="00A5521F" w:rsidRPr="00C62FEA" w:rsidRDefault="00A5521F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A552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significant Training Group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(CV) </w:t>
            </w:r>
            <w:r w:rsidRPr="00A552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by Assessment Point by Scale Type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(SR) </w:t>
            </w:r>
            <w:r w:rsidRPr="00A552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interaction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</w:t>
            </w:r>
            <w:r w:rsidRPr="00A552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F(1, 24)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=</w:t>
            </w:r>
            <w:r w:rsidRPr="00A552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9.03, p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&lt; </w:t>
            </w:r>
            <w:r w:rsidRPr="00A552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0.01, Cohen’s d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=</w:t>
            </w:r>
            <w:r w:rsidRPr="00A552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1.23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LeMoult et al., 2016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10 - 14 (11.74)</w:t>
            </w:r>
          </w:p>
        </w:tc>
        <w:tc>
          <w:tcPr>
            <w:tcW w:w="155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cognitive bias (AB); dot-probe task</w:t>
            </w:r>
          </w:p>
        </w:tc>
        <w:tc>
          <w:tcPr>
            <w:tcW w:w="1142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sz w:val="16"/>
                <w:szCs w:val="16"/>
              </w:rPr>
              <w:t>affect</w:t>
            </w:r>
          </w:p>
        </w:tc>
        <w:tc>
          <w:tcPr>
            <w:tcW w:w="948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increase in negative mood (SR) </w:t>
            </w:r>
            <w:r w:rsidR="00286E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in </w:t>
            </w:r>
            <w:r w:rsidR="00286E48"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Sham ABT group (CV) 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from pre- </w:t>
            </w:r>
            <w:r w:rsidRPr="00C62F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 post-training in anticipation of the stressor (tpaired(21) = 2.59, p = .017), while </w:t>
            </w:r>
            <w:r w:rsidR="00286E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not in </w:t>
            </w:r>
            <w:r w:rsidRPr="00C62F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Real ABT 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(tpaired(18) = 1.91, p = .072)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Chan et al., 2015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16 - 18 (16.64)</w:t>
            </w:r>
          </w:p>
        </w:tc>
        <w:tc>
          <w:tcPr>
            <w:tcW w:w="155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cognitive bias (IB); recognition test</w:t>
            </w:r>
          </w:p>
        </w:tc>
        <w:tc>
          <w:tcPr>
            <w:tcW w:w="1142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sz w:val="16"/>
                <w:szCs w:val="16"/>
              </w:rPr>
              <w:t>affect</w:t>
            </w:r>
          </w:p>
        </w:tc>
        <w:tc>
          <w:tcPr>
            <w:tcW w:w="948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286E48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greater reduction in negative affect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(SR) in </w:t>
            </w:r>
            <w:r w:rsidR="00C62FEA"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CBM group </w:t>
            </w:r>
            <w:r w:rsidR="00A5521F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(CV) </w:t>
            </w:r>
            <w:r w:rsidR="00C62FEA"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from T1 to T3 (t (31) = 2.05, p = .049, d = 0.36, 95% CI [0.001, 0.87]) than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in </w:t>
            </w:r>
            <w:r w:rsidR="00C62FEA"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the control group (t (31) = 0.92, p = .37, 95% CI [-0.78, 0.30]); reduced positive affect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in both groups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Telman et al., 2013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15 - 18 (16.52)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cognitive bias (IB); ambiguous scenarios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affect (VAS using items from PANAS)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negative CBM-I training (CV) predicted elevations in negative affect (SR) (t(22) = 2.51, p &lt; .05, cohen’s </w:t>
            </w:r>
            <w:r w:rsidRPr="00C62FEA">
              <w:rPr>
                <w:rFonts w:ascii="Times New Roman" w:hAnsi="Times New Roman" w:cs="Times New Roman"/>
                <w:i/>
                <w:color w:val="000000"/>
                <w:sz w:val="16"/>
                <w:szCs w:val="16"/>
                <w:lang w:val="en-US"/>
              </w:rPr>
              <w:t>d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= .42), while positive CBM-I training showed no change, significant training group x time interaction (F(1,44) = 9.82, p &lt; 0.01, </w:t>
            </w:r>
            <w:r w:rsidRPr="00C62FEA"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  <w:lang w:val="en-US"/>
              </w:rPr>
              <w:drawing>
                <wp:inline distT="0" distB="0" distL="0" distR="0" wp14:anchorId="4E5E9E4E" wp14:editId="1EEBF80B">
                  <wp:extent cx="80832" cy="131884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schirmfoto 2024-08-10 um 13.13.14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87" cy="1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= .18); no effects on positive affect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Debeuf et al., 2022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11 - 18 (14.72)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rumination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sz w:val="16"/>
                <w:szCs w:val="16"/>
              </w:rPr>
              <w:t>affect (VAS)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 rumination and ER self-compassion </w:t>
            </w:r>
            <w:r w:rsidR="00286E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(CV) 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not differentially influencing stress and affect</w:t>
            </w:r>
            <w:r w:rsidR="00286E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(SR)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; additional post-hoc analyses: </w:t>
            </w:r>
            <w:r w:rsidR="00286E48"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sustained presence of negative affect (increased frustration + decreased happiness)</w:t>
            </w:r>
            <w:r w:rsidR="00286E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by 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ER rumination following </w:t>
            </w:r>
            <w:r w:rsidR="00286E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tress </w:t>
            </w:r>
            <w:r w:rsidR="00286E4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nduction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Hilt and Pollak, 2012 (Study 1)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– 14 (12.21)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rumination; state rumination (VAS)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sz w:val="16"/>
                <w:szCs w:val="16"/>
              </w:rPr>
              <w:t>affect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only used for SI check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Hilt and Pollak, 2012 (Study 2)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– 14 (11.51)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rumination; state rumination (VAS)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sz w:val="16"/>
                <w:szCs w:val="16"/>
              </w:rPr>
              <w:t>affect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association between CV and SR not analysed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Lidle et al., 2021</w:t>
            </w:r>
          </w:p>
        </w:tc>
        <w:tc>
          <w:tcPr>
            <w:tcW w:w="70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9 - 13 (11.60)</w:t>
            </w:r>
          </w:p>
        </w:tc>
        <w:tc>
          <w:tcPr>
            <w:tcW w:w="1559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rumination; 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TQ-C</w:t>
            </w:r>
          </w:p>
        </w:tc>
        <w:tc>
          <w:tcPr>
            <w:tcW w:w="1142" w:type="dxa"/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subjective performance ratings</w:t>
            </w:r>
          </w:p>
        </w:tc>
        <w:tc>
          <w:tcPr>
            <w:tcW w:w="9489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highlight w:val="red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negative anticipatory processing predicted subjective performance ratings assessed after the social stress task (F(1, 54) = 14.66, p &lt; 0.001)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Bettis et al., 2019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– 15 (12.24)</w:t>
            </w:r>
          </w:p>
        </w:tc>
        <w:tc>
          <w:tcPr>
            <w:tcW w:w="155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emotion regulation, coping; RSQ</w:t>
            </w:r>
          </w:p>
        </w:tc>
        <w:tc>
          <w:tcPr>
            <w:tcW w:w="1142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affect</w:t>
            </w:r>
          </w:p>
        </w:tc>
        <w:tc>
          <w:tcPr>
            <w:tcW w:w="948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significantly lower emotion ratings </w:t>
            </w:r>
            <w:r w:rsidR="00286E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(SR) </w:t>
            </w:r>
            <w:r w:rsidRPr="00C62F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during the reappraisal condition </w:t>
            </w:r>
            <w:r w:rsidR="00286E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(CV) </w:t>
            </w:r>
            <w:r w:rsidRPr="00C62F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(M= 2.26; SD= .82) than during the react-negative condition (M= 2.84; SD = .80), t(69) = −5.31, p&lt; .001); significantly lower emotion ratings</w:t>
            </w:r>
            <w:r w:rsidR="00286E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(SR)</w:t>
            </w:r>
            <w:r w:rsidRPr="00C62F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during the distraction condition</w:t>
            </w:r>
            <w:r w:rsidR="00286E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(CV)</w:t>
            </w:r>
            <w:r w:rsidRPr="00C62F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(M= 2.13; SD = .98) than during the react-negative condition (M= 2.84; SD = .80), t(69) = −6.26, p&lt; .001)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Hogue et al., 2020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NR (16.08)</w:t>
            </w:r>
          </w:p>
        </w:tc>
        <w:tc>
          <w:tcPr>
            <w:tcW w:w="1559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attributional style</w:t>
            </w:r>
          </w:p>
        </w:tc>
        <w:tc>
          <w:tcPr>
            <w:tcW w:w="1142" w:type="dxa"/>
            <w:tcBorders>
              <w:left w:val="none" w:sz="4" w:space="0" w:color="000000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affect (PANAS)</w:t>
            </w:r>
          </w:p>
        </w:tc>
        <w:tc>
          <w:tcPr>
            <w:tcW w:w="9489" w:type="dxa"/>
            <w:tcBorders>
              <w:left w:val="none" w:sz="4" w:space="0" w:color="000000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significant group differences in negative affect </w:t>
            </w:r>
            <w:r w:rsidR="00286E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(SR) 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in follow-up analyses (F(1, 67) = 12.59, p &lt; .001, n2 = .158), control group reporting greater negative affect</w:t>
            </w:r>
            <w:r w:rsidR="00286E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(SR)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in response to the stressor than the PST group</w:t>
            </w:r>
            <w:r w:rsidR="00286E4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(CV)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; no group differences in positive affect post-stressor; positive affect significantly decreased from pre- to post-stressor for the control (t(1, 41) = 6.12, p &lt; .001) as well as the intervention group (t(1, 29) = 7.97, p &lt; .001), while negative affect significantly increased only in the control group (t(1, 41) = 4.58, p &lt; .001)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Hains et al., 1992</w:t>
            </w:r>
          </w:p>
        </w:tc>
        <w:tc>
          <w:tcPr>
            <w:tcW w:w="709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C379B2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15 - 16 (NR)</w:t>
            </w:r>
          </w:p>
        </w:tc>
        <w:tc>
          <w:tcPr>
            <w:tcW w:w="1559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maladaptive schemata; ASSQ</w:t>
            </w:r>
          </w:p>
        </w:tc>
        <w:tc>
          <w:tcPr>
            <w:tcW w:w="1142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961770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anger</w:t>
            </w:r>
          </w:p>
        </w:tc>
        <w:tc>
          <w:tcPr>
            <w:tcW w:w="9489" w:type="dxa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after intervention training. significant multivariate group effect (Wilks’s lambda =.036, F(16, 16) = 4.24, p = .001); significant group differences in state anger (F(2, 21) =14.53, p &lt; .001) and anger expression (F(2, 21) =6.19, p&lt;.01), no group difference in the trait anger measure (F(2, 21) =.33, p =.73); treatment groups: significantly lower postscores compared to the control group state anger (F(1, 22) = 26.86, p&lt;.001) and anger expression (F(1, 22)= 10.88, p &lt; .01)</w:t>
            </w:r>
          </w:p>
        </w:tc>
      </w:tr>
    </w:tbl>
    <w:p w:rsidR="00C62FEA" w:rsidRPr="00C62FEA" w:rsidRDefault="00C62FEA" w:rsidP="00C62FEA">
      <w:pPr>
        <w:ind w:right="-283"/>
        <w:rPr>
          <w:rFonts w:ascii="Times New Roman" w:hAnsi="Times New Roman" w:cs="Times New Roman"/>
          <w:color w:val="000000"/>
          <w:sz w:val="16"/>
          <w:szCs w:val="20"/>
          <w:lang w:val="en-US"/>
        </w:rPr>
        <w:sectPr w:rsidR="00C62FEA" w:rsidRPr="00C62FEA" w:rsidSect="0018073A">
          <w:footerReference w:type="even" r:id="rId10"/>
          <w:footerReference w:type="default" r:id="rId11"/>
          <w:pgSz w:w="16838" w:h="11906" w:orient="landscape"/>
          <w:pgMar w:top="613" w:right="819" w:bottom="517" w:left="851" w:header="709" w:footer="331" w:gutter="0"/>
          <w:cols w:space="708"/>
          <w:docGrid w:linePitch="360"/>
        </w:sectPr>
      </w:pP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AB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Attentional Bias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, ACSQ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Adolescent Cognitive Style Questionnaire, </w:t>
      </w:r>
      <w:r w:rsidRPr="00C62FEA">
        <w:rPr>
          <w:rFonts w:ascii="Times New Roman" w:hAnsi="Times New Roman" w:cs="Times New Roman"/>
          <w:color w:val="000000"/>
          <w:sz w:val="16"/>
          <w:szCs w:val="20"/>
          <w:lang w:val="en-US"/>
        </w:rPr>
        <w:t xml:space="preserve"> ASSQ Anxious Self-Statements Questionnaire,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BP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blood pressure,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CCSQ-S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Children’s Cognitive Style Questionnaire—Self implications subscale,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CDI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Children´s Depression Inventory,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CPQ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Cognitive Priming Questionnaire,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CRSQ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Children’s Response Style Questionnaire,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DAS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Dysfunctional Attitudes Scale,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ERS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Emotion Reactivity Scale,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ERQ-CA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Emotion Regulation Questionnaire for Children and Adolescents, 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 xml:space="preserve">FEEL-KJ 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>Questionnaire for assessing emotion regulation in children and adolescents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 xml:space="preserve">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HSC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Hopelessness Scale for Children,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IB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Interpretation Bias,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MAACL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Multiple Affect Adjective Check List,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MFQ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Mood and Feelings Questionnaire,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NA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negative affect,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 xml:space="preserve"> NR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not reported,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PASA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Primary Appraisal / Secondary Appraisal scale,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PIQ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Particular Inferences Questionnaire,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 xml:space="preserve"> RSQ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Responses to Stress Questionnaire,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 xml:space="preserve"> SES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socioeconomic status,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 xml:space="preserve"> SRET 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>Self Referent Encoding Task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, TPR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total peripheral resistance,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>TSST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 xml:space="preserve"> Trierer Stress Test, </w:t>
      </w:r>
      <w:r w:rsidRPr="00C62FEA">
        <w:rPr>
          <w:rFonts w:ascii="Times New Roman" w:hAnsi="Times New Roman" w:cs="Times New Roman"/>
          <w:i/>
          <w:sz w:val="16"/>
          <w:szCs w:val="20"/>
          <w:lang w:val="en-GB"/>
        </w:rPr>
        <w:t xml:space="preserve">TQ </w:t>
      </w:r>
      <w:r w:rsidRPr="00C62FEA">
        <w:rPr>
          <w:rFonts w:ascii="Times New Roman" w:hAnsi="Times New Roman" w:cs="Times New Roman"/>
          <w:sz w:val="16"/>
          <w:szCs w:val="20"/>
          <w:lang w:val="en-GB"/>
        </w:rPr>
        <w:t>Thoughts Questionnaire</w:t>
      </w:r>
      <w:r w:rsidRPr="00C62FEA">
        <w:rPr>
          <w:rFonts w:ascii="Times New Roman" w:hAnsi="Times New Roman" w:cs="Times New Roman"/>
          <w:color w:val="000000"/>
          <w:sz w:val="16"/>
          <w:szCs w:val="20"/>
          <w:lang w:val="en-US"/>
        </w:rPr>
        <w:t xml:space="preserve">, </w:t>
      </w:r>
      <w:r w:rsidRPr="00C62FEA">
        <w:rPr>
          <w:rFonts w:ascii="Times New Roman" w:hAnsi="Times New Roman" w:cs="Times New Roman"/>
          <w:i/>
          <w:color w:val="000000"/>
          <w:sz w:val="16"/>
          <w:szCs w:val="20"/>
          <w:lang w:val="en-US"/>
        </w:rPr>
        <w:t>TQ-C</w:t>
      </w:r>
      <w:r w:rsidRPr="00C62FEA">
        <w:rPr>
          <w:rFonts w:ascii="Times New Roman" w:hAnsi="Times New Roman" w:cs="Times New Roman"/>
          <w:color w:val="000000"/>
          <w:sz w:val="16"/>
          <w:szCs w:val="20"/>
          <w:lang w:val="en-US"/>
        </w:rPr>
        <w:t xml:space="preserve"> Thoughts Questionnaire for Children</w:t>
      </w:r>
    </w:p>
    <w:p w:rsidR="00C62FEA" w:rsidRPr="00C62FEA" w:rsidRDefault="00C62FEA" w:rsidP="00C62FEA">
      <w:pPr>
        <w:rPr>
          <w:rFonts w:ascii="Times New Roman" w:hAnsi="Times New Roman" w:cs="Times New Roman"/>
          <w:lang w:val="en-GB"/>
        </w:rPr>
        <w:sectPr w:rsidR="00C62FEA" w:rsidRPr="00C62FEA" w:rsidSect="0005632C">
          <w:pgSz w:w="16840" w:h="11900" w:orient="landscape"/>
          <w:pgMar w:top="1418" w:right="1134" w:bottom="1418" w:left="1418" w:header="709" w:footer="709" w:gutter="0"/>
          <w:cols w:space="708"/>
          <w:titlePg/>
          <w:docGrid w:linePitch="326"/>
        </w:sectPr>
      </w:pPr>
    </w:p>
    <w:p w:rsidR="00086F96" w:rsidRPr="00C62FEA" w:rsidRDefault="00086F96">
      <w:pPr>
        <w:rPr>
          <w:rFonts w:ascii="Times New Roman" w:hAnsi="Times New Roman" w:cs="Times New Roman"/>
        </w:rPr>
      </w:pPr>
    </w:p>
    <w:sectPr w:rsidR="00086F96" w:rsidRPr="00C62FEA" w:rsidSect="00C62FEA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9D8" w:rsidRDefault="009569D8" w:rsidP="00C62FEA">
      <w:r>
        <w:separator/>
      </w:r>
    </w:p>
  </w:endnote>
  <w:endnote w:type="continuationSeparator" w:id="0">
    <w:p w:rsidR="009569D8" w:rsidRDefault="009569D8" w:rsidP="00C6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Überschrifte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.AppleSystemUIFont">
    <w:altName w:val="Cambria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1041473604"/>
      <w:docPartObj>
        <w:docPartGallery w:val="Page Numbers (Bottom of Page)"/>
        <w:docPartUnique/>
      </w:docPartObj>
    </w:sdtPr>
    <w:sdtContent>
      <w:p w:rsidR="0092031C" w:rsidRDefault="0092031C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92031C" w:rsidRDefault="0092031C" w:rsidP="0092031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201007355"/>
      <w:docPartObj>
        <w:docPartGallery w:val="Page Numbers (Bottom of Page)"/>
        <w:docPartUnique/>
      </w:docPartObj>
    </w:sdtPr>
    <w:sdtContent>
      <w:p w:rsidR="0092031C" w:rsidRDefault="0092031C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:rsidR="0092031C" w:rsidRDefault="0092031C" w:rsidP="0092031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9D8" w:rsidRDefault="009569D8" w:rsidP="00C62FEA">
      <w:r>
        <w:separator/>
      </w:r>
    </w:p>
  </w:footnote>
  <w:footnote w:type="continuationSeparator" w:id="0">
    <w:p w:rsidR="009569D8" w:rsidRDefault="009569D8" w:rsidP="00C62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16E84"/>
    <w:multiLevelType w:val="multilevel"/>
    <w:tmpl w:val="4022E6E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20168"/>
    <w:multiLevelType w:val="multilevel"/>
    <w:tmpl w:val="5DE0B510"/>
    <w:lvl w:ilvl="0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E2895"/>
    <w:multiLevelType w:val="multilevel"/>
    <w:tmpl w:val="0BBA4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F78D3"/>
    <w:multiLevelType w:val="multilevel"/>
    <w:tmpl w:val="2704185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12EF6"/>
    <w:multiLevelType w:val="multilevel"/>
    <w:tmpl w:val="98046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4A77A90"/>
    <w:multiLevelType w:val="multilevel"/>
    <w:tmpl w:val="6FC68B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630F2"/>
    <w:multiLevelType w:val="multilevel"/>
    <w:tmpl w:val="FF68FA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6437E"/>
    <w:multiLevelType w:val="multilevel"/>
    <w:tmpl w:val="EB165214"/>
    <w:lvl w:ilvl="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72F95"/>
    <w:multiLevelType w:val="multilevel"/>
    <w:tmpl w:val="4CCA6594"/>
    <w:lvl w:ilvl="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4D252C2"/>
    <w:multiLevelType w:val="multilevel"/>
    <w:tmpl w:val="4FBEAE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78A236D"/>
    <w:multiLevelType w:val="multilevel"/>
    <w:tmpl w:val="AEAA3E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E0412"/>
    <w:multiLevelType w:val="multilevel"/>
    <w:tmpl w:val="B2EEF9C4"/>
    <w:lvl w:ilvl="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1B1B5E"/>
    <w:multiLevelType w:val="multilevel"/>
    <w:tmpl w:val="390E214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401FF"/>
    <w:multiLevelType w:val="multilevel"/>
    <w:tmpl w:val="9A4A9C3C"/>
    <w:lvl w:ilvl="0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27EB2"/>
    <w:multiLevelType w:val="multilevel"/>
    <w:tmpl w:val="90022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BB97226"/>
    <w:multiLevelType w:val="multilevel"/>
    <w:tmpl w:val="E0E8C79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47DC3"/>
    <w:multiLevelType w:val="multilevel"/>
    <w:tmpl w:val="EEAAB0A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06BB6"/>
    <w:multiLevelType w:val="multilevel"/>
    <w:tmpl w:val="CE505B10"/>
    <w:lvl w:ilvl="0">
      <w:numFmt w:val="decimal"/>
      <w:pStyle w:val="Verzeichnis1"/>
      <w:lvlText w:val="%1."/>
      <w:lvlJc w:val="left"/>
      <w:pPr>
        <w:ind w:left="22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lvlText w:val="%1.%2."/>
      <w:lvlJc w:val="left"/>
      <w:pPr>
        <w:ind w:left="652" w:hanging="432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0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80" w:hanging="1440"/>
      </w:pPr>
      <w:rPr>
        <w:rFonts w:hint="default"/>
      </w:rPr>
    </w:lvl>
  </w:abstractNum>
  <w:abstractNum w:abstractNumId="18" w15:restartNumberingAfterBreak="0">
    <w:nsid w:val="4B18234A"/>
    <w:multiLevelType w:val="multilevel"/>
    <w:tmpl w:val="0074D99A"/>
    <w:lvl w:ilvl="0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32C7E"/>
    <w:multiLevelType w:val="multilevel"/>
    <w:tmpl w:val="7696E436"/>
    <w:lvl w:ilvl="0">
      <w:start w:val="1"/>
      <w:numFmt w:val="decimal"/>
      <w:pStyle w:val="Verzeichnis2"/>
      <w:lvlText w:val="%1."/>
      <w:lvlJc w:val="left"/>
      <w:pPr>
        <w:ind w:left="44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isLgl/>
      <w:lvlText w:val="%1.%2."/>
      <w:lvlJc w:val="left"/>
      <w:pPr>
        <w:ind w:left="872" w:hanging="418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1440"/>
      </w:pPr>
      <w:rPr>
        <w:rFonts w:hint="default"/>
      </w:rPr>
    </w:lvl>
  </w:abstractNum>
  <w:abstractNum w:abstractNumId="20" w15:restartNumberingAfterBreak="0">
    <w:nsid w:val="52D57860"/>
    <w:multiLevelType w:val="multilevel"/>
    <w:tmpl w:val="A7AE6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04B13"/>
    <w:multiLevelType w:val="multilevel"/>
    <w:tmpl w:val="C354EC6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40D42"/>
    <w:multiLevelType w:val="multilevel"/>
    <w:tmpl w:val="7D50F6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027BD"/>
    <w:multiLevelType w:val="multilevel"/>
    <w:tmpl w:val="5E56994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12EA9"/>
    <w:multiLevelType w:val="multilevel"/>
    <w:tmpl w:val="5908F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15A7A20"/>
    <w:multiLevelType w:val="multilevel"/>
    <w:tmpl w:val="D8D29864"/>
    <w:lvl w:ilvl="0">
      <w:start w:val="1"/>
      <w:numFmt w:val="decimal"/>
      <w:lvlText w:val="%1."/>
      <w:lvlJc w:val="left"/>
      <w:pPr>
        <w:ind w:left="44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isLgl/>
      <w:lvlText w:val="%1.%2."/>
      <w:lvlJc w:val="left"/>
      <w:pPr>
        <w:ind w:left="872" w:hanging="418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1440"/>
      </w:pPr>
      <w:rPr>
        <w:rFonts w:hint="default"/>
      </w:rPr>
    </w:lvl>
  </w:abstractNum>
  <w:abstractNum w:abstractNumId="26" w15:restartNumberingAfterBreak="0">
    <w:nsid w:val="6EC305C0"/>
    <w:multiLevelType w:val="multilevel"/>
    <w:tmpl w:val="6FE651E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FF6225"/>
    <w:multiLevelType w:val="multilevel"/>
    <w:tmpl w:val="BFEE8872"/>
    <w:lvl w:ilvl="0">
      <w:numFmt w:val="decimal"/>
      <w:lvlText w:val="%1."/>
      <w:lvlJc w:val="left"/>
      <w:pPr>
        <w:ind w:left="22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lvlText w:val="%1.%2."/>
      <w:lvlJc w:val="left"/>
      <w:pPr>
        <w:ind w:left="652" w:hanging="432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0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80" w:hanging="1440"/>
      </w:pPr>
      <w:rPr>
        <w:rFonts w:hint="default"/>
      </w:rPr>
    </w:lvl>
  </w:abstractNum>
  <w:abstractNum w:abstractNumId="28" w15:restartNumberingAfterBreak="0">
    <w:nsid w:val="745E0E53"/>
    <w:multiLevelType w:val="multilevel"/>
    <w:tmpl w:val="64B27AC0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</w:num>
  <w:num w:numId="3">
    <w:abstractNumId w:val="24"/>
  </w:num>
  <w:num w:numId="4">
    <w:abstractNumId w:val="24"/>
  </w:num>
  <w:num w:numId="5">
    <w:abstractNumId w:val="14"/>
  </w:num>
  <w:num w:numId="6">
    <w:abstractNumId w:val="17"/>
  </w:num>
  <w:num w:numId="7">
    <w:abstractNumId w:val="19"/>
  </w:num>
  <w:num w:numId="8">
    <w:abstractNumId w:val="9"/>
  </w:num>
  <w:num w:numId="9">
    <w:abstractNumId w:val="4"/>
  </w:num>
  <w:num w:numId="10">
    <w:abstractNumId w:val="27"/>
  </w:num>
  <w:num w:numId="11">
    <w:abstractNumId w:val="25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22"/>
  </w:num>
  <w:num w:numId="17">
    <w:abstractNumId w:val="20"/>
  </w:num>
  <w:num w:numId="18">
    <w:abstractNumId w:val="15"/>
  </w:num>
  <w:num w:numId="19">
    <w:abstractNumId w:val="0"/>
  </w:num>
  <w:num w:numId="20">
    <w:abstractNumId w:val="10"/>
  </w:num>
  <w:num w:numId="21">
    <w:abstractNumId w:val="2"/>
  </w:num>
  <w:num w:numId="22">
    <w:abstractNumId w:val="26"/>
  </w:num>
  <w:num w:numId="23">
    <w:abstractNumId w:val="28"/>
  </w:num>
  <w:num w:numId="24">
    <w:abstractNumId w:val="23"/>
  </w:num>
  <w:num w:numId="25">
    <w:abstractNumId w:val="1"/>
  </w:num>
  <w:num w:numId="26">
    <w:abstractNumId w:val="12"/>
  </w:num>
  <w:num w:numId="27">
    <w:abstractNumId w:val="11"/>
  </w:num>
  <w:num w:numId="28">
    <w:abstractNumId w:val="21"/>
  </w:num>
  <w:num w:numId="29">
    <w:abstractNumId w:val="3"/>
  </w:num>
  <w:num w:numId="30">
    <w:abstractNumId w:val="18"/>
  </w:num>
  <w:num w:numId="31">
    <w:abstractNumId w:val="1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EA"/>
    <w:rsid w:val="00086F96"/>
    <w:rsid w:val="00235F90"/>
    <w:rsid w:val="00286E48"/>
    <w:rsid w:val="00375442"/>
    <w:rsid w:val="00490428"/>
    <w:rsid w:val="004E5375"/>
    <w:rsid w:val="00686B44"/>
    <w:rsid w:val="006A0C0A"/>
    <w:rsid w:val="0078378A"/>
    <w:rsid w:val="00856338"/>
    <w:rsid w:val="0092031C"/>
    <w:rsid w:val="009569D8"/>
    <w:rsid w:val="00961770"/>
    <w:rsid w:val="009B1173"/>
    <w:rsid w:val="00A5521F"/>
    <w:rsid w:val="00B478C8"/>
    <w:rsid w:val="00C379B2"/>
    <w:rsid w:val="00C62FEA"/>
    <w:rsid w:val="00CE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1B29C2"/>
  <w14:defaultImageDpi w14:val="32767"/>
  <w15:chartTrackingRefBased/>
  <w15:docId w15:val="{B035CFE6-4C60-1E49-B112-C2B63F72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Plain Table 4" w:uiPriority="44"/>
    <w:lsdException w:name="Plain Table 5" w:uiPriority="45"/>
    <w:lsdException w:name="Grid Table Light" w:uiPriority="59"/>
    <w:lsdException w:name="Grid Table 1 Light" w:uiPriority="46"/>
    <w:lsdException w:name="Grid Table 4" w:uiPriority="59"/>
    <w:lsdException w:name="Grid Table 4 Accent 1" w:uiPriority="5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4 Accent 2" w:uiPriority="59"/>
    <w:lsdException w:name="Grid Table 6 Colorful Accent 2" w:uiPriority="51"/>
    <w:lsdException w:name="Grid Table 7 Colorful Accent 2" w:uiPriority="52"/>
    <w:lsdException w:name="Grid Table 4 Accent 3" w:uiPriority="59"/>
    <w:lsdException w:name="Grid Table 6 Colorful Accent 3" w:uiPriority="51"/>
    <w:lsdException w:name="Grid Table 7 Colorful Accent 3" w:uiPriority="52"/>
    <w:lsdException w:name="Grid Table 4 Accent 4" w:uiPriority="5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4 Accent 5" w:uiPriority="59"/>
    <w:lsdException w:name="Grid Table 6 Colorful Accent 5" w:uiPriority="51"/>
    <w:lsdException w:name="Grid Table 7 Colorful Accent 5" w:uiPriority="52"/>
    <w:lsdException w:name="Grid Table 4 Accent 6" w:uiPriority="59"/>
    <w:lsdException w:name="Grid Table 6 Colorful Accent 6" w:uiPriority="51"/>
    <w:lsdException w:name="Grid Table 7 Colorful Accent 6" w:uiPriority="52"/>
    <w:lsdException w:name="List Table 6 Colorful Accent 1" w:uiPriority="51"/>
    <w:lsdException w:name="List Table 7 Colorful Accent 1" w:uiPriority="52"/>
    <w:lsdException w:name="List Table 6 Colorful Accent 2" w:uiPriority="51"/>
    <w:lsdException w:name="List Table 7 Colorful Accent 2" w:uiPriority="52"/>
    <w:lsdException w:name="List Table 6 Colorful Accent 3" w:uiPriority="51"/>
    <w:lsdException w:name="List Table 7 Colorful Accent 3" w:uiPriority="52"/>
    <w:lsdException w:name="List Table 6 Colorful Accent 4" w:uiPriority="51"/>
    <w:lsdException w:name="List Table 7 Colorful Accent 4" w:uiPriority="52"/>
    <w:lsdException w:name="List Table 6 Colorful Accent 5" w:uiPriority="51"/>
    <w:lsdException w:name="List Table 7 Colorful Accent 5" w:uiPriority="52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856338"/>
    <w:pPr>
      <w:jc w:val="both"/>
    </w:pPr>
    <w:rPr>
      <w:rFonts w:ascii="Arial" w:eastAsiaTheme="minorEastAsia" w:hAnsi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86B44"/>
    <w:pPr>
      <w:keepNext/>
      <w:keepLines/>
      <w:pBdr>
        <w:bottom w:val="single" w:sz="4" w:space="1" w:color="auto"/>
      </w:pBdr>
      <w:spacing w:before="120" w:line="360" w:lineRule="auto"/>
      <w:outlineLvl w:val="0"/>
    </w:pPr>
    <w:rPr>
      <w:rFonts w:eastAsiaTheme="majorEastAsia" w:cs="Arial"/>
      <w:b/>
      <w:bCs/>
      <w:sz w:val="24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56338"/>
    <w:pPr>
      <w:keepNext/>
      <w:keepLines/>
      <w:spacing w:before="120" w:after="120"/>
      <w:ind w:left="708"/>
      <w:outlineLvl w:val="1"/>
    </w:pPr>
    <w:rPr>
      <w:rFonts w:eastAsiaTheme="majorEastAsia" w:cs="Times New Roman (Überschriften"/>
      <w:b/>
      <w:bCs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856338"/>
    <w:pPr>
      <w:keepNext/>
      <w:keepLines/>
      <w:numPr>
        <w:ilvl w:val="2"/>
        <w:numId w:val="4"/>
      </w:numPr>
      <w:spacing w:before="80" w:after="12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856338"/>
    <w:pPr>
      <w:keepNext/>
      <w:keepLines/>
      <w:numPr>
        <w:ilvl w:val="3"/>
        <w:numId w:val="5"/>
      </w:numPr>
      <w:spacing w:before="200"/>
      <w:ind w:left="864" w:hanging="864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62FEA"/>
    <w:pPr>
      <w:keepNext/>
      <w:keepLines/>
      <w:spacing w:before="80" w:after="40"/>
      <w:jc w:val="left"/>
      <w:outlineLvl w:val="4"/>
    </w:pPr>
    <w:rPr>
      <w:rFonts w:eastAsia="Arial" w:cs="Arial"/>
      <w:color w:val="2F5496" w:themeColor="accent1" w:themeShade="B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C62FEA"/>
    <w:pPr>
      <w:keepNext/>
      <w:keepLines/>
      <w:spacing w:before="40"/>
      <w:jc w:val="left"/>
      <w:outlineLvl w:val="5"/>
    </w:pPr>
    <w:rPr>
      <w:rFonts w:eastAsia="Arial" w:cs="Arial"/>
      <w:i/>
      <w:iCs/>
      <w:color w:val="595959" w:themeColor="text1" w:themeTint="A6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C62FEA"/>
    <w:pPr>
      <w:keepNext/>
      <w:keepLines/>
      <w:spacing w:before="40"/>
      <w:jc w:val="left"/>
      <w:outlineLvl w:val="6"/>
    </w:pPr>
    <w:rPr>
      <w:rFonts w:eastAsia="Arial" w:cs="Arial"/>
      <w:color w:val="595959" w:themeColor="text1" w:themeTint="A6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C62FEA"/>
    <w:pPr>
      <w:keepNext/>
      <w:keepLines/>
      <w:jc w:val="left"/>
      <w:outlineLvl w:val="7"/>
    </w:pPr>
    <w:rPr>
      <w:rFonts w:eastAsia="Arial" w:cs="Arial"/>
      <w:i/>
      <w:iCs/>
      <w:color w:val="272727" w:themeColor="text1" w:themeTint="D8"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C62FEA"/>
    <w:pPr>
      <w:keepNext/>
      <w:keepLines/>
      <w:jc w:val="left"/>
      <w:outlineLvl w:val="8"/>
    </w:pPr>
    <w:rPr>
      <w:rFonts w:eastAsia="Arial" w:cs="Arial"/>
      <w:i/>
      <w:iCs/>
      <w:color w:val="272727" w:themeColor="text1" w:themeTint="D8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86B44"/>
    <w:rPr>
      <w:rFonts w:ascii="Arial" w:eastAsiaTheme="majorEastAsia" w:hAnsi="Arial" w:cs="Arial"/>
      <w:b/>
      <w:bCs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6338"/>
    <w:rPr>
      <w:rFonts w:ascii="Arial" w:eastAsiaTheme="majorEastAsia" w:hAnsi="Arial" w:cs="Times New Roman (Überschriften"/>
      <w:b/>
      <w:bCs/>
      <w:sz w:val="2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56338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56338"/>
    <w:rPr>
      <w:rFonts w:ascii="Arial" w:eastAsiaTheme="majorEastAsia" w:hAnsi="Arial" w:cstheme="majorBidi"/>
      <w:b/>
      <w:bCs/>
      <w:i/>
      <w:iCs/>
    </w:rPr>
  </w:style>
  <w:style w:type="paragraph" w:styleId="Inhaltsverzeichnisberschrift">
    <w:name w:val="TOC Heading"/>
    <w:basedOn w:val="berschrift1"/>
    <w:next w:val="Standard"/>
    <w:autoRedefine/>
    <w:uiPriority w:val="39"/>
    <w:unhideWhenUsed/>
    <w:qFormat/>
    <w:rsid w:val="00856338"/>
    <w:pPr>
      <w:spacing w:line="276" w:lineRule="auto"/>
      <w:jc w:val="left"/>
      <w:outlineLvl w:val="9"/>
    </w:pPr>
    <w:rPr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6A0C0A"/>
    <w:pPr>
      <w:numPr>
        <w:numId w:val="6"/>
      </w:numPr>
      <w:spacing w:before="120" w:line="360" w:lineRule="auto"/>
      <w:jc w:val="left"/>
    </w:pPr>
    <w:rPr>
      <w:rFonts w:cstheme="minorHAnsi"/>
      <w:b/>
      <w:bCs/>
      <w:iCs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6A0C0A"/>
    <w:pPr>
      <w:numPr>
        <w:numId w:val="7"/>
      </w:numPr>
      <w:spacing w:before="120" w:line="360" w:lineRule="auto"/>
      <w:jc w:val="left"/>
    </w:pPr>
    <w:rPr>
      <w:rFonts w:cstheme="minorHAnsi"/>
      <w:bCs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62FEA"/>
    <w:rPr>
      <w:rFonts w:ascii="Arial" w:eastAsia="Arial" w:hAnsi="Arial" w:cs="Arial"/>
      <w:color w:val="2F5496" w:themeColor="accent1" w:themeShade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62FEA"/>
    <w:rPr>
      <w:rFonts w:ascii="Arial" w:eastAsia="Arial" w:hAnsi="Arial" w:cs="Arial"/>
      <w:i/>
      <w:iCs/>
      <w:color w:val="595959" w:themeColor="text1" w:themeTint="A6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C62FEA"/>
    <w:rPr>
      <w:rFonts w:ascii="Arial" w:eastAsia="Arial" w:hAnsi="Arial" w:cs="Arial"/>
      <w:color w:val="595959" w:themeColor="text1" w:themeTint="A6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C62FEA"/>
    <w:rPr>
      <w:rFonts w:ascii="Arial" w:eastAsia="Arial" w:hAnsi="Arial" w:cs="Arial"/>
      <w:i/>
      <w:iCs/>
      <w:color w:val="272727" w:themeColor="text1" w:themeTint="D8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C62FEA"/>
    <w:rPr>
      <w:rFonts w:ascii="Arial" w:eastAsia="Arial" w:hAnsi="Arial" w:cs="Arial"/>
      <w:i/>
      <w:iCs/>
      <w:color w:val="272727" w:themeColor="text1" w:themeTint="D8"/>
      <w:lang w:eastAsia="de-DE"/>
    </w:rPr>
  </w:style>
  <w:style w:type="table" w:styleId="TabellemithellemGitternetz">
    <w:name w:val="Grid Table Light"/>
    <w:basedOn w:val="NormaleTabelle"/>
    <w:uiPriority w:val="59"/>
    <w:rsid w:val="00C62FE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Gitternetztabelle1hellAkzent1">
    <w:name w:val="Grid Table 1 Light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itternetztabelle1hellAkzent3">
    <w:name w:val="Grid Table 1 Light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itternetztabelle1hellAkzent4">
    <w:name w:val="Grid Table 1 Light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itternetztabelle1hellAkzent5">
    <w:name w:val="Grid Table 1 Light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itternetztabelle1hellAkzent6">
    <w:name w:val="Grid Table 1 Light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Akzent1">
    <w:name w:val="Grid Table 2 Accent 1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itternetztabelle2Akzent2">
    <w:name w:val="Grid Table 2 Accent 2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itternetztabelle2Akzent3">
    <w:name w:val="Grid Table 2 Accent 3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itternetztabelle2Akzent4">
    <w:name w:val="Grid Table 2 Accent 4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itternetztabelle2Akzent5">
    <w:name w:val="Grid Table 2 Accent 5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itternetztabelle2Akzent6">
    <w:name w:val="Grid Table 2 Accent 6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Akzent1">
    <w:name w:val="Grid Table 3 Accent 1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itternetztabelle3Akzent2">
    <w:name w:val="Grid Table 3 Accent 2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itternetztabelle3Akzent3">
    <w:name w:val="Grid Table 3 Accent 3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itternetztabelle3Akzent4">
    <w:name w:val="Grid Table 3 Accent 4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itternetztabelle3Akzent5">
    <w:name w:val="Grid Table 3 Accent 5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itternetztabelle3Akzent6">
    <w:name w:val="Grid Table 3 Accent 6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Akzent1">
    <w:name w:val="Grid Table 4 Accent 1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itternetztabelle4Akzent2">
    <w:name w:val="Grid Table 4 Accent 2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itternetztabelle4Akzent3">
    <w:name w:val="Grid Table 4 Accent 3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itternetztabelle4Akzent4">
    <w:name w:val="Grid Table 4 Accent 4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itternetztabelle4Akzent5">
    <w:name w:val="Grid Table 4 Accent 5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itternetztabelle4Akzent6">
    <w:name w:val="Grid Table 4 Accent 6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Akzent2">
    <w:name w:val="Grid Table 5 Dark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itternetztabelle5dunkelAkzent3">
    <w:name w:val="Grid Table 5 Dark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styleId="Gitternetztabelle5dunkelAkzent5">
    <w:name w:val="Grid Table 5 Dark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itternetztabelle5dunkelAkzent6">
    <w:name w:val="Grid Table 5 Dark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Listentabelle1hellAkzent1">
    <w:name w:val="List Table 1 Light Accent 1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entabelle1hellAkzent2">
    <w:name w:val="List Table 1 Light Accent 2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entabelle1hellAkzent3">
    <w:name w:val="List Table 1 Light Accent 3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entabelle1hellAkzent4">
    <w:name w:val="List Table 1 Light Accent 4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entabelle1hellAkzent5">
    <w:name w:val="List Table 1 Light Accent 5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entabelle1hellAkzent6">
    <w:name w:val="List Table 1 Light Accent 6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Akzent1">
    <w:name w:val="List Table 2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entabelle2Akzent2">
    <w:name w:val="List Table 2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entabelle2Akzent3">
    <w:name w:val="List Table 2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entabelle2Akzent4">
    <w:name w:val="List Table 2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entabelle2Akzent5">
    <w:name w:val="List Table 2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entabelle2Akzent6">
    <w:name w:val="List Table 2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Akzent1">
    <w:name w:val="List Table 3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entabelle3Akzent2">
    <w:name w:val="List Table 3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entabelle3Akzent3">
    <w:name w:val="List Table 3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entabelle3Akzent4">
    <w:name w:val="List Table 3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entabelle3Akzent5">
    <w:name w:val="List Table 3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entabelle3Akzent6">
    <w:name w:val="List Table 3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Akzent1">
    <w:name w:val="List Table 4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entabelle4Akzent2">
    <w:name w:val="List Table 4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entabelle4Akzent3">
    <w:name w:val="List Table 4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entabelle4Akzent4">
    <w:name w:val="List Table 4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entabelle4Akzent5">
    <w:name w:val="List Table 4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entabelle4Akzent6">
    <w:name w:val="List Table 4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Akzent1">
    <w:name w:val="List Table 5 Dark Accent 1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entabelle5dunkelAkzent2">
    <w:name w:val="List Table 5 Dark Accent 2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entabelle5dunkelAkzent3">
    <w:name w:val="List Table 5 Dark Accent 3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entabelle5dunkelAkzent4">
    <w:name w:val="List Table 5 Dark Accent 4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entabelle5dunkelAkzent5">
    <w:name w:val="List Table 5 Dark Accent 5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entabelle5dunkelAkzent6">
    <w:name w:val="List Table 5 Dark Accent 6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character" w:customStyle="1" w:styleId="Heading5Char">
    <w:name w:val="Heading 5 Char"/>
    <w:basedOn w:val="Absatz-Standardschriftart"/>
    <w:uiPriority w:val="9"/>
    <w:rsid w:val="00C62FEA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bsatz-Standardschriftart"/>
    <w:uiPriority w:val="9"/>
    <w:rsid w:val="00C62FEA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sid w:val="00C62FEA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sid w:val="00C62FE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sid w:val="00C62FE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sid w:val="00C62FEA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sid w:val="00C62FEA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sid w:val="00C62FEA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sid w:val="00C62FEA"/>
    <w:rPr>
      <w:i/>
      <w:iCs/>
      <w:color w:val="2F5496" w:themeColor="accent1" w:themeShade="BF"/>
    </w:rPr>
  </w:style>
  <w:style w:type="character" w:customStyle="1" w:styleId="FootnoteTextChar">
    <w:name w:val="Footnote Text Char"/>
    <w:basedOn w:val="Absatz-Standardschriftart"/>
    <w:uiPriority w:val="99"/>
    <w:semiHidden/>
    <w:rsid w:val="00C62FEA"/>
    <w:rPr>
      <w:sz w:val="20"/>
      <w:szCs w:val="20"/>
    </w:rPr>
  </w:style>
  <w:style w:type="character" w:customStyle="1" w:styleId="EndnoteTextChar">
    <w:name w:val="Endnote Text Char"/>
    <w:basedOn w:val="Absatz-Standardschriftart"/>
    <w:uiPriority w:val="99"/>
    <w:semiHidden/>
    <w:rsid w:val="00C62FEA"/>
    <w:rPr>
      <w:sz w:val="20"/>
      <w:szCs w:val="20"/>
    </w:rPr>
  </w:style>
  <w:style w:type="table" w:styleId="Tabellenraster">
    <w:name w:val="Table Grid"/>
    <w:basedOn w:val="NormaleTabelle"/>
    <w:uiPriority w:val="59"/>
    <w:rsid w:val="00C62F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EinfacheTabelle1">
    <w:name w:val="Plain Table 1"/>
    <w:basedOn w:val="NormaleTabelle"/>
    <w:uiPriority w:val="59"/>
    <w:rsid w:val="00C62FE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rsid w:val="00C62FE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itternetztabelle2">
    <w:name w:val="Grid Table 2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3">
    <w:name w:val="Grid Table 3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4">
    <w:name w:val="Grid Table 4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5dunkel">
    <w:name w:val="Grid Table 5 Dark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itternetztabelle6farbig">
    <w:name w:val="Grid Table 6 Colorful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entabelle2">
    <w:name w:val="List Table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3">
    <w:name w:val="List Table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5dunkel">
    <w:name w:val="List Table 5 Dark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entabelle6farbig">
    <w:name w:val="List Table 6 Colorful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sid w:val="00C62FEA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sid w:val="00C62FEA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sid w:val="00C62FEA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sid w:val="00C62FEA"/>
    <w:rPr>
      <w:rFonts w:ascii="Arial" w:eastAsia="Arial" w:hAnsi="Arial" w:cs="Arial"/>
      <w:i/>
      <w:iCs/>
      <w:color w:val="2F5496" w:themeColor="accent1" w:themeShade="BF"/>
    </w:rPr>
  </w:style>
  <w:style w:type="paragraph" w:styleId="Titel">
    <w:name w:val="Title"/>
    <w:basedOn w:val="Standard"/>
    <w:next w:val="Standard"/>
    <w:link w:val="TitelZchn"/>
    <w:uiPriority w:val="10"/>
    <w:qFormat/>
    <w:rsid w:val="00C62FEA"/>
    <w:pPr>
      <w:spacing w:after="80"/>
      <w:contextualSpacing/>
      <w:jc w:val="left"/>
    </w:pPr>
    <w:rPr>
      <w:rFonts w:eastAsia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2FEA"/>
    <w:rPr>
      <w:rFonts w:ascii="Arial" w:eastAsia="Arial" w:hAnsi="Arial" w:cs="Arial"/>
      <w:spacing w:val="-10"/>
      <w:sz w:val="56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2FEA"/>
    <w:pPr>
      <w:numPr>
        <w:ilvl w:val="1"/>
      </w:numPr>
      <w:jc w:val="left"/>
    </w:pPr>
    <w:rPr>
      <w:rFonts w:ascii="Times New Roman" w:eastAsia="Times New Roman" w:hAnsi="Times New Roman" w:cs="Times New Roman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2FEA"/>
    <w:rPr>
      <w:rFonts w:ascii="Times New Roman" w:eastAsia="Times New Roman" w:hAnsi="Times New Roman" w:cs="Times New Roman"/>
      <w:color w:val="595959" w:themeColor="text1" w:themeTint="A6"/>
      <w:spacing w:val="15"/>
      <w:sz w:val="28"/>
      <w:szCs w:val="28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C62FEA"/>
    <w:pPr>
      <w:spacing w:before="16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</w:rPr>
  </w:style>
  <w:style w:type="character" w:customStyle="1" w:styleId="ZitatZchn">
    <w:name w:val="Zitat Zchn"/>
    <w:basedOn w:val="Absatz-Standardschriftart"/>
    <w:link w:val="Zitat"/>
    <w:uiPriority w:val="29"/>
    <w:rsid w:val="00C62FEA"/>
    <w:rPr>
      <w:rFonts w:ascii="Times New Roman" w:eastAsia="Times New Roman" w:hAnsi="Times New Roman" w:cs="Times New Roman"/>
      <w:i/>
      <w:iCs/>
      <w:color w:val="404040" w:themeColor="text1" w:themeTint="BF"/>
      <w:lang w:eastAsia="de-DE"/>
    </w:rPr>
  </w:style>
  <w:style w:type="character" w:styleId="IntensiveHervorhebung">
    <w:name w:val="Intense Emphasis"/>
    <w:basedOn w:val="Absatz-Standardschriftart"/>
    <w:uiPriority w:val="21"/>
    <w:qFormat/>
    <w:rsid w:val="00C62FE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62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eastAsia="Times New Roman" w:hAnsi="Times New Roman" w:cs="Times New Roman"/>
      <w:i/>
      <w:iCs/>
      <w:color w:val="2F5496" w:themeColor="accent1" w:themeShade="BF"/>
      <w:sz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2FEA"/>
    <w:rPr>
      <w:rFonts w:ascii="Times New Roman" w:eastAsia="Times New Roman" w:hAnsi="Times New Roman" w:cs="Times New Roman"/>
      <w:i/>
      <w:iCs/>
      <w:color w:val="2F5496" w:themeColor="accent1" w:themeShade="BF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C62FEA"/>
    <w:rPr>
      <w:b/>
      <w:bCs/>
      <w:smallCaps/>
      <w:color w:val="2F5496" w:themeColor="accent1" w:themeShade="BF"/>
      <w:spacing w:val="5"/>
    </w:rPr>
  </w:style>
  <w:style w:type="paragraph" w:styleId="KeinLeerraum">
    <w:name w:val="No Spacing"/>
    <w:basedOn w:val="Standard"/>
    <w:uiPriority w:val="1"/>
    <w:qFormat/>
    <w:rsid w:val="00C62FEA"/>
    <w:pPr>
      <w:jc w:val="left"/>
    </w:pPr>
    <w:rPr>
      <w:rFonts w:ascii="Times New Roman" w:eastAsia="Times New Roman" w:hAnsi="Times New Roman" w:cs="Times New Roman"/>
      <w:sz w:val="24"/>
    </w:rPr>
  </w:style>
  <w:style w:type="character" w:styleId="SchwacheHervorhebung">
    <w:name w:val="Subtle Emphasis"/>
    <w:basedOn w:val="Absatz-Standardschriftart"/>
    <w:uiPriority w:val="19"/>
    <w:qFormat/>
    <w:rsid w:val="00C62FEA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C62FEA"/>
    <w:rPr>
      <w:i/>
      <w:iCs/>
    </w:rPr>
  </w:style>
  <w:style w:type="character" w:styleId="Fett">
    <w:name w:val="Strong"/>
    <w:basedOn w:val="Absatz-Standardschriftart"/>
    <w:uiPriority w:val="22"/>
    <w:qFormat/>
    <w:rsid w:val="00C62FEA"/>
    <w:rPr>
      <w:b/>
      <w:bCs/>
    </w:rPr>
  </w:style>
  <w:style w:type="character" w:styleId="SchwacherVerweis">
    <w:name w:val="Subtle Reference"/>
    <w:basedOn w:val="Absatz-Standardschriftart"/>
    <w:uiPriority w:val="31"/>
    <w:qFormat/>
    <w:rsid w:val="00C62FEA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C62FEA"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  <w:rsid w:val="00C62FEA"/>
  </w:style>
  <w:style w:type="character" w:customStyle="1" w:styleId="FooterChar">
    <w:name w:val="Footer Char"/>
    <w:basedOn w:val="Absatz-Standardschriftart"/>
    <w:uiPriority w:val="99"/>
    <w:rsid w:val="00C62FEA"/>
  </w:style>
  <w:style w:type="paragraph" w:styleId="Beschriftung">
    <w:name w:val="caption"/>
    <w:basedOn w:val="Standard"/>
    <w:next w:val="Standard"/>
    <w:uiPriority w:val="35"/>
    <w:unhideWhenUsed/>
    <w:qFormat/>
    <w:rsid w:val="00C62FEA"/>
    <w:pPr>
      <w:spacing w:after="200"/>
      <w:jc w:val="left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62FEA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62FE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C62FEA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62FEA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62FE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C62FEA"/>
    <w:rPr>
      <w:vertAlign w:val="superscript"/>
    </w:rPr>
  </w:style>
  <w:style w:type="paragraph" w:styleId="Verzeichnis3">
    <w:name w:val="toc 3"/>
    <w:basedOn w:val="Standard"/>
    <w:next w:val="Standard"/>
    <w:uiPriority w:val="39"/>
    <w:unhideWhenUsed/>
    <w:rsid w:val="00C62FEA"/>
    <w:pPr>
      <w:spacing w:after="100"/>
      <w:ind w:left="44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4">
    <w:name w:val="toc 4"/>
    <w:basedOn w:val="Standard"/>
    <w:next w:val="Standard"/>
    <w:uiPriority w:val="39"/>
    <w:unhideWhenUsed/>
    <w:rsid w:val="00C62FEA"/>
    <w:pPr>
      <w:spacing w:after="100"/>
      <w:ind w:left="66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5">
    <w:name w:val="toc 5"/>
    <w:basedOn w:val="Standard"/>
    <w:next w:val="Standard"/>
    <w:uiPriority w:val="39"/>
    <w:unhideWhenUsed/>
    <w:rsid w:val="00C62FEA"/>
    <w:pPr>
      <w:spacing w:after="100"/>
      <w:ind w:left="88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6">
    <w:name w:val="toc 6"/>
    <w:basedOn w:val="Standard"/>
    <w:next w:val="Standard"/>
    <w:uiPriority w:val="39"/>
    <w:unhideWhenUsed/>
    <w:rsid w:val="00C62FEA"/>
    <w:pPr>
      <w:spacing w:after="100"/>
      <w:ind w:left="110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7">
    <w:name w:val="toc 7"/>
    <w:basedOn w:val="Standard"/>
    <w:next w:val="Standard"/>
    <w:uiPriority w:val="39"/>
    <w:unhideWhenUsed/>
    <w:rsid w:val="00C62FEA"/>
    <w:pPr>
      <w:spacing w:after="100"/>
      <w:ind w:left="132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8">
    <w:name w:val="toc 8"/>
    <w:basedOn w:val="Standard"/>
    <w:next w:val="Standard"/>
    <w:uiPriority w:val="39"/>
    <w:unhideWhenUsed/>
    <w:rsid w:val="00C62FEA"/>
    <w:pPr>
      <w:spacing w:after="100"/>
      <w:ind w:left="154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9">
    <w:name w:val="toc 9"/>
    <w:basedOn w:val="Standard"/>
    <w:next w:val="Standard"/>
    <w:uiPriority w:val="39"/>
    <w:unhideWhenUsed/>
    <w:rsid w:val="00C62FEA"/>
    <w:pPr>
      <w:spacing w:after="100"/>
      <w:ind w:left="1760"/>
      <w:jc w:val="left"/>
    </w:pPr>
    <w:rPr>
      <w:rFonts w:ascii="Times New Roman" w:eastAsia="Times New Roman" w:hAnsi="Times New Roman" w:cs="Times New Roman"/>
      <w:sz w:val="24"/>
    </w:rPr>
  </w:style>
  <w:style w:type="paragraph" w:styleId="Abbildungsverzeichnis">
    <w:name w:val="table of figures"/>
    <w:basedOn w:val="Standard"/>
    <w:next w:val="Standard"/>
    <w:uiPriority w:val="99"/>
    <w:unhideWhenUsed/>
    <w:rsid w:val="00C62FEA"/>
    <w:pPr>
      <w:jc w:val="left"/>
    </w:pPr>
    <w:rPr>
      <w:rFonts w:ascii="Times New Roman" w:eastAsia="Times New Roman" w:hAnsi="Times New Roman" w:cs="Times New Roman"/>
      <w:sz w:val="24"/>
    </w:rPr>
  </w:style>
  <w:style w:type="character" w:styleId="Kommentarzeichen">
    <w:name w:val="annotation reference"/>
    <w:basedOn w:val="Absatz-Standardschriftart"/>
    <w:uiPriority w:val="99"/>
    <w:unhideWhenUsed/>
    <w:rsid w:val="00C62FEA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62FEA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2FEA"/>
    <w:pPr>
      <w:jc w:val="lef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2FEA"/>
    <w:rPr>
      <w:rFonts w:ascii="Times New Roman" w:eastAsia="Times New Roman" w:hAnsi="Times New Roman" w:cs="Times New Roman"/>
      <w:sz w:val="18"/>
      <w:szCs w:val="18"/>
      <w:lang w:eastAsia="de-DE"/>
    </w:rPr>
  </w:style>
  <w:style w:type="character" w:styleId="NichtaufgelsteErwhnung">
    <w:name w:val="Unresolved Mention"/>
    <w:basedOn w:val="Absatz-Standardschriftart"/>
    <w:uiPriority w:val="99"/>
    <w:rsid w:val="00C62FEA"/>
    <w:rPr>
      <w:color w:val="605E5C"/>
      <w:shd w:val="clear" w:color="auto" w:fill="E1DFDD"/>
    </w:rPr>
  </w:style>
  <w:style w:type="paragraph" w:customStyle="1" w:styleId="p1">
    <w:name w:val="p1"/>
    <w:basedOn w:val="Standard"/>
    <w:rsid w:val="00C62FEA"/>
    <w:pPr>
      <w:jc w:val="left"/>
    </w:pPr>
    <w:rPr>
      <w:rFonts w:ascii=".AppleSystemUIFont" w:eastAsia="Times New Roman" w:hAnsi=".AppleSystemUIFont" w:cs="Times New Roman"/>
      <w:sz w:val="26"/>
      <w:szCs w:val="26"/>
    </w:rPr>
  </w:style>
  <w:style w:type="paragraph" w:styleId="Listenabsatz">
    <w:name w:val="List Paragraph"/>
    <w:basedOn w:val="Standard"/>
    <w:uiPriority w:val="34"/>
    <w:qFormat/>
    <w:rsid w:val="00C62FEA"/>
    <w:pPr>
      <w:ind w:left="720"/>
      <w:contextualSpacing/>
      <w:jc w:val="left"/>
    </w:pPr>
    <w:rPr>
      <w:rFonts w:asciiTheme="minorHAnsi" w:eastAsiaTheme="minorHAnsi" w:hAnsiTheme="minorHAnsi"/>
      <w:sz w:val="24"/>
      <w:lang w:val="en-AU" w:eastAsia="en-US"/>
    </w:rPr>
  </w:style>
  <w:style w:type="paragraph" w:styleId="StandardWeb">
    <w:name w:val="Normal (Web)"/>
    <w:basedOn w:val="Standard"/>
    <w:uiPriority w:val="99"/>
    <w:unhideWhenUsed/>
    <w:rsid w:val="00C62FE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val="en-GB"/>
    </w:rPr>
  </w:style>
  <w:style w:type="paragraph" w:customStyle="1" w:styleId="Literaturverzeichnis1">
    <w:name w:val="Literaturverzeichnis1"/>
    <w:basedOn w:val="Standard"/>
    <w:link w:val="BibliographyZchn"/>
    <w:rsid w:val="00C62FEA"/>
    <w:pPr>
      <w:ind w:left="720" w:hanging="720"/>
      <w:jc w:val="left"/>
    </w:pPr>
    <w:rPr>
      <w:rFonts w:ascii="Times New Roman" w:eastAsiaTheme="minorHAnsi" w:hAnsi="Times New Roman" w:cs="Times New Roman"/>
      <w:sz w:val="24"/>
      <w:lang w:val="en-GB" w:eastAsia="en-US"/>
    </w:rPr>
  </w:style>
  <w:style w:type="character" w:customStyle="1" w:styleId="BibliographyZchn">
    <w:name w:val="Bibliography Zchn"/>
    <w:basedOn w:val="Absatz-Standardschriftart"/>
    <w:link w:val="Literaturverzeichnis1"/>
    <w:rsid w:val="00C62FEA"/>
    <w:rPr>
      <w:rFonts w:ascii="Times New Roman" w:hAnsi="Times New Roman" w:cs="Times New Roman"/>
      <w:lang w:val="en-GB"/>
    </w:rPr>
  </w:style>
  <w:style w:type="paragraph" w:customStyle="1" w:styleId="Literaturverzeichnis2">
    <w:name w:val="Literaturverzeichnis2"/>
    <w:basedOn w:val="Standard"/>
    <w:link w:val="BibliographyZchn1"/>
    <w:rsid w:val="00C62FEA"/>
    <w:pPr>
      <w:spacing w:line="480" w:lineRule="auto"/>
      <w:ind w:left="720" w:hanging="720"/>
      <w:jc w:val="left"/>
    </w:pPr>
    <w:rPr>
      <w:rFonts w:ascii="Times New Roman" w:eastAsia="Times New Roman" w:hAnsi="Times New Roman" w:cs="Times New Roman"/>
      <w:sz w:val="24"/>
      <w:lang w:val="en-AU"/>
    </w:rPr>
  </w:style>
  <w:style w:type="character" w:customStyle="1" w:styleId="BibliographyZchn1">
    <w:name w:val="Bibliography Zchn1"/>
    <w:basedOn w:val="Absatz-Standardschriftart"/>
    <w:link w:val="Literaturverzeichnis2"/>
    <w:rsid w:val="00C62FEA"/>
    <w:rPr>
      <w:rFonts w:ascii="Times New Roman" w:eastAsia="Times New Roman" w:hAnsi="Times New Roman" w:cs="Times New Roman"/>
      <w:lang w:val="en-AU" w:eastAsia="de-DE"/>
    </w:rPr>
  </w:style>
  <w:style w:type="paragraph" w:styleId="Kommentartext">
    <w:name w:val="annotation text"/>
    <w:basedOn w:val="Standard"/>
    <w:link w:val="KommentartextZchn"/>
    <w:uiPriority w:val="99"/>
    <w:unhideWhenUsed/>
    <w:rsid w:val="00C62FEA"/>
    <w:pPr>
      <w:spacing w:after="160"/>
      <w:jc w:val="left"/>
    </w:pPr>
    <w:rPr>
      <w:rFonts w:asciiTheme="minorHAnsi" w:hAnsiTheme="minorHAnsi"/>
      <w:sz w:val="20"/>
      <w:szCs w:val="20"/>
      <w:lang w:val="en-AU"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62FEA"/>
    <w:rPr>
      <w:rFonts w:eastAsiaTheme="minorEastAsia"/>
      <w:sz w:val="20"/>
      <w:szCs w:val="20"/>
      <w:lang w:val="en-AU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62FEA"/>
    <w:pPr>
      <w:spacing w:after="0"/>
    </w:pPr>
    <w:rPr>
      <w:rFonts w:ascii="Times New Roman" w:eastAsia="Times New Roman" w:hAnsi="Times New Roman" w:cs="Times New Roman"/>
      <w:b/>
      <w:bCs/>
      <w:lang w:val="de-DE"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62FEA"/>
    <w:rPr>
      <w:rFonts w:ascii="Times New Roman" w:eastAsia="Times New Roman" w:hAnsi="Times New Roman" w:cs="Times New Roman"/>
      <w:b/>
      <w:bCs/>
      <w:sz w:val="20"/>
      <w:szCs w:val="20"/>
      <w:lang w:val="en-AU" w:eastAsia="de-DE"/>
    </w:rPr>
  </w:style>
  <w:style w:type="paragraph" w:styleId="berarbeitung">
    <w:name w:val="Revision"/>
    <w:hidden/>
    <w:uiPriority w:val="99"/>
    <w:semiHidden/>
    <w:rsid w:val="00C62FEA"/>
    <w:rPr>
      <w:rFonts w:ascii="Times New Roman" w:eastAsia="Times New Roman" w:hAnsi="Times New Roman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62FEA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C62FEA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62FEA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C62FEA"/>
    <w:rPr>
      <w:rFonts w:ascii="Times New Roman" w:eastAsia="Times New Roman" w:hAnsi="Times New Roman" w:cs="Times New Roman"/>
      <w:lang w:eastAsia="de-DE"/>
    </w:rPr>
  </w:style>
  <w:style w:type="paragraph" w:customStyle="1" w:styleId="Literaturverzeichnis3">
    <w:name w:val="Literaturverzeichnis3"/>
    <w:basedOn w:val="Standard"/>
    <w:link w:val="BibliographyZchn2"/>
    <w:rsid w:val="00C62FEA"/>
    <w:pPr>
      <w:spacing w:line="480" w:lineRule="auto"/>
      <w:ind w:left="720" w:hanging="720"/>
      <w:jc w:val="left"/>
    </w:pPr>
    <w:rPr>
      <w:rFonts w:ascii="Times New Roman" w:eastAsia="Times New Roman" w:hAnsi="Times New Roman" w:cs="Times New Roman"/>
      <w:sz w:val="24"/>
      <w:lang w:val="en-US"/>
    </w:rPr>
  </w:style>
  <w:style w:type="character" w:customStyle="1" w:styleId="BibliographyZchn2">
    <w:name w:val="Bibliography Zchn2"/>
    <w:basedOn w:val="Absatz-Standardschriftart"/>
    <w:link w:val="Literaturverzeichnis3"/>
    <w:rsid w:val="00C62FEA"/>
    <w:rPr>
      <w:rFonts w:ascii="Times New Roman" w:eastAsia="Times New Roman" w:hAnsi="Times New Roman" w:cs="Times New Roman"/>
      <w:lang w:val="en-US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C62FEA"/>
    <w:rPr>
      <w:color w:val="954F72" w:themeColor="followedHyperlink"/>
      <w:u w:val="single"/>
    </w:rPr>
  </w:style>
  <w:style w:type="table" w:styleId="EinfacheTabelle5">
    <w:name w:val="Plain Table 5"/>
    <w:basedOn w:val="NormaleTabelle"/>
    <w:uiPriority w:val="45"/>
    <w:rsid w:val="00C62FE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left w:val="none" w:sz="4" w:space="0" w:color="000000"/>
        </w:tcBorders>
      </w:tcPr>
    </w:tblStylePr>
    <w:tblStylePr w:type="swCell">
      <w:tblPr/>
      <w:tcPr>
        <w:tcBorders>
          <w:right w:val="none" w:sz="4" w:space="0" w:color="000000"/>
        </w:tcBorders>
      </w:tcPr>
    </w:tblStylePr>
  </w:style>
  <w:style w:type="table" w:styleId="Gitternetztabelle1hell">
    <w:name w:val="Grid Table 1 Light"/>
    <w:basedOn w:val="NormaleTabelle"/>
    <w:uiPriority w:val="46"/>
    <w:rsid w:val="00C62FE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4">
    <w:name w:val="Plain Table 4"/>
    <w:basedOn w:val="NormaleTabelle"/>
    <w:uiPriority w:val="44"/>
    <w:rsid w:val="00C62FE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teraturverzeichnis">
    <w:name w:val="Bibliography"/>
    <w:basedOn w:val="Standard"/>
    <w:next w:val="Standard"/>
    <w:uiPriority w:val="37"/>
    <w:unhideWhenUsed/>
    <w:rsid w:val="00C62FEA"/>
    <w:pPr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apple-converted-space">
    <w:name w:val="apple-converted-space"/>
    <w:basedOn w:val="Absatz-Standardschriftart"/>
    <w:rsid w:val="00C62FEA"/>
  </w:style>
  <w:style w:type="character" w:styleId="Seitenzahl">
    <w:name w:val="page number"/>
    <w:basedOn w:val="Absatz-Standardschriftart"/>
    <w:uiPriority w:val="99"/>
    <w:semiHidden/>
    <w:unhideWhenUsed/>
    <w:rsid w:val="0092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ie.baeumler@med.uni-muenchen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eonie.baeumler@med.uni-muenchen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1405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Bäumler</dc:creator>
  <cp:keywords/>
  <dc:description/>
  <cp:lastModifiedBy>Leonie Bäumler</cp:lastModifiedBy>
  <cp:revision>7</cp:revision>
  <dcterms:created xsi:type="dcterms:W3CDTF">2025-11-01T08:59:00Z</dcterms:created>
  <dcterms:modified xsi:type="dcterms:W3CDTF">2026-03-14T20:16:00Z</dcterms:modified>
</cp:coreProperties>
</file>