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7C2D" w14:textId="77777777" w:rsidR="006F327F" w:rsidRDefault="00336BF5">
      <w:pPr>
        <w:pStyle w:val="Title"/>
      </w:pPr>
      <w:r>
        <w:t>Supplementary Material for GAAR Submission</w:t>
      </w:r>
    </w:p>
    <w:p w14:paraId="5B7B8936" w14:textId="77777777" w:rsidR="006F327F" w:rsidRDefault="00336BF5">
      <w:r>
        <w:t>This supplementary document consolidates supporting implementation, benchmark, resource, residual-error, and operational-readiness details referenced by the main manuscript. The accompanying ZIP replication archive contains seed-level aggregate outputs and scripts.</w:t>
      </w:r>
    </w:p>
    <w:p w14:paraId="2D4BC5AC" w14:textId="77777777" w:rsidR="006F327F" w:rsidRDefault="00336BF5">
      <w:pPr>
        <w:pStyle w:val="Heading1"/>
      </w:pPr>
      <w:r>
        <w:t>S1. Minimum replication package contents</w:t>
      </w:r>
    </w:p>
    <w:p w14:paraId="4EEB14ED" w14:textId="77777777" w:rsidR="006F327F" w:rsidRDefault="00336BF5">
      <w:pPr>
        <w:pStyle w:val="Caption"/>
      </w:pPr>
      <w:r>
        <w:t>Supplementary Table S1. Minimum replication package requirements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39"/>
        <w:gridCol w:w="4939"/>
      </w:tblGrid>
      <w:tr w:rsidR="006F327F" w14:paraId="48BC4D5F" w14:textId="77777777">
        <w:trPr>
          <w:tblHeader/>
          <w:jc w:val="center"/>
        </w:trPr>
        <w:tc>
          <w:tcPr>
            <w:tcW w:w="4939" w:type="dxa"/>
            <w:shd w:val="clear" w:color="auto" w:fill="D9EAF7"/>
            <w:vAlign w:val="center"/>
          </w:tcPr>
          <w:p w14:paraId="2B8E9FD7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Artifact</w:t>
            </w:r>
          </w:p>
        </w:tc>
        <w:tc>
          <w:tcPr>
            <w:tcW w:w="4939" w:type="dxa"/>
            <w:shd w:val="clear" w:color="auto" w:fill="D9EAF7"/>
            <w:vAlign w:val="center"/>
          </w:tcPr>
          <w:p w14:paraId="1996C97C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Purpose</w:t>
            </w:r>
          </w:p>
        </w:tc>
      </w:tr>
      <w:tr w:rsidR="006F327F" w14:paraId="0544CEE4" w14:textId="77777777">
        <w:trPr>
          <w:jc w:val="center"/>
        </w:trPr>
        <w:tc>
          <w:tcPr>
            <w:tcW w:w="4939" w:type="dxa"/>
            <w:vAlign w:val="center"/>
          </w:tcPr>
          <w:p w14:paraId="7AF11F9B" w14:textId="77777777" w:rsidR="006F327F" w:rsidRDefault="00336BF5">
            <w:r>
              <w:rPr>
                <w:sz w:val="16"/>
              </w:rPr>
              <w:t>Benchmark generator code</w:t>
            </w:r>
          </w:p>
        </w:tc>
        <w:tc>
          <w:tcPr>
            <w:tcW w:w="4939" w:type="dxa"/>
            <w:vAlign w:val="center"/>
          </w:tcPr>
          <w:p w14:paraId="0F56854F" w14:textId="77777777" w:rsidR="006F327F" w:rsidRDefault="00336BF5">
            <w:r>
              <w:rPr>
                <w:sz w:val="16"/>
              </w:rPr>
              <w:t>Regenerate synthetic documents, roles, policies, tools, and episodes.</w:t>
            </w:r>
          </w:p>
        </w:tc>
      </w:tr>
      <w:tr w:rsidR="006F327F" w14:paraId="60F44A39" w14:textId="77777777">
        <w:trPr>
          <w:jc w:val="center"/>
        </w:trPr>
        <w:tc>
          <w:tcPr>
            <w:tcW w:w="4939" w:type="dxa"/>
            <w:vAlign w:val="center"/>
          </w:tcPr>
          <w:p w14:paraId="3BC1B43B" w14:textId="77777777" w:rsidR="006F327F" w:rsidRDefault="00336BF5">
            <w:r>
              <w:rPr>
                <w:sz w:val="16"/>
              </w:rPr>
              <w:t>Policy templates and entitlement matrices</w:t>
            </w:r>
          </w:p>
        </w:tc>
        <w:tc>
          <w:tcPr>
            <w:tcW w:w="4939" w:type="dxa"/>
            <w:vAlign w:val="center"/>
          </w:tcPr>
          <w:p w14:paraId="112C0624" w14:textId="77777777" w:rsidR="006F327F" w:rsidRDefault="00336BF5">
            <w:r>
              <w:rPr>
                <w:sz w:val="16"/>
              </w:rPr>
              <w:t>Recreate deterministic governance labels.</w:t>
            </w:r>
          </w:p>
        </w:tc>
      </w:tr>
      <w:tr w:rsidR="006F327F" w14:paraId="02B6E650" w14:textId="77777777">
        <w:trPr>
          <w:jc w:val="center"/>
        </w:trPr>
        <w:tc>
          <w:tcPr>
            <w:tcW w:w="4939" w:type="dxa"/>
            <w:vAlign w:val="center"/>
          </w:tcPr>
          <w:p w14:paraId="16D060EC" w14:textId="77777777" w:rsidR="006F327F" w:rsidRDefault="00336BF5">
            <w:r>
              <w:rPr>
                <w:sz w:val="16"/>
              </w:rPr>
              <w:t>Baseline prompt/adaptation notes</w:t>
            </w:r>
          </w:p>
        </w:tc>
        <w:tc>
          <w:tcPr>
            <w:tcW w:w="4939" w:type="dxa"/>
            <w:vAlign w:val="center"/>
          </w:tcPr>
          <w:p w14:paraId="53230D02" w14:textId="77777777" w:rsidR="006F327F" w:rsidRDefault="00336BF5">
            <w:r>
              <w:rPr>
                <w:sz w:val="16"/>
              </w:rPr>
              <w:t>Reproduce standard RAG, tool-agent, agentic RAG, postprocessor, and rule-middleware variants.</w:t>
            </w:r>
          </w:p>
        </w:tc>
      </w:tr>
      <w:tr w:rsidR="006F327F" w14:paraId="7BC02AAE" w14:textId="77777777">
        <w:trPr>
          <w:jc w:val="center"/>
        </w:trPr>
        <w:tc>
          <w:tcPr>
            <w:tcW w:w="4939" w:type="dxa"/>
            <w:vAlign w:val="center"/>
          </w:tcPr>
          <w:p w14:paraId="3DAE43B5" w14:textId="77777777" w:rsidR="006F327F" w:rsidRDefault="00336BF5">
            <w:r>
              <w:rPr>
                <w:sz w:val="16"/>
              </w:rPr>
              <w:t>Evaluation scripts</w:t>
            </w:r>
          </w:p>
        </w:tc>
        <w:tc>
          <w:tcPr>
            <w:tcW w:w="4939" w:type="dxa"/>
            <w:vAlign w:val="center"/>
          </w:tcPr>
          <w:p w14:paraId="61685CE2" w14:textId="77777777" w:rsidR="006F327F" w:rsidRDefault="00336BF5">
            <w:r>
              <w:rPr>
                <w:sz w:val="16"/>
              </w:rPr>
              <w:t>Recompute faithfulness, Precision@5, policy violation, unsafe tool calls, audit compliance, and latency summaries.</w:t>
            </w:r>
          </w:p>
        </w:tc>
      </w:tr>
      <w:tr w:rsidR="006F327F" w14:paraId="7179698E" w14:textId="77777777">
        <w:trPr>
          <w:jc w:val="center"/>
        </w:trPr>
        <w:tc>
          <w:tcPr>
            <w:tcW w:w="4939" w:type="dxa"/>
            <w:vAlign w:val="center"/>
          </w:tcPr>
          <w:p w14:paraId="16325A96" w14:textId="77777777" w:rsidR="006F327F" w:rsidRDefault="00336BF5">
            <w:r>
              <w:rPr>
                <w:sz w:val="16"/>
              </w:rPr>
              <w:t>Seed configuration and per-run outputs</w:t>
            </w:r>
          </w:p>
        </w:tc>
        <w:tc>
          <w:tcPr>
            <w:tcW w:w="4939" w:type="dxa"/>
            <w:vAlign w:val="center"/>
          </w:tcPr>
          <w:p w14:paraId="24C9EC42" w14:textId="77777777" w:rsidR="006F327F" w:rsidRDefault="00336BF5">
            <w:r>
              <w:rPr>
                <w:sz w:val="16"/>
              </w:rPr>
              <w:t>Recompute directional consistency and confidence intervals.</w:t>
            </w:r>
          </w:p>
        </w:tc>
      </w:tr>
      <w:tr w:rsidR="006F327F" w14:paraId="5C4DC88D" w14:textId="77777777">
        <w:trPr>
          <w:jc w:val="center"/>
        </w:trPr>
        <w:tc>
          <w:tcPr>
            <w:tcW w:w="4939" w:type="dxa"/>
            <w:vAlign w:val="center"/>
          </w:tcPr>
          <w:p w14:paraId="59D354A9" w14:textId="77777777" w:rsidR="006F327F" w:rsidRDefault="00336BF5">
            <w:r>
              <w:rPr>
                <w:sz w:val="16"/>
              </w:rPr>
              <w:t>Infrastructure manifest</w:t>
            </w:r>
          </w:p>
        </w:tc>
        <w:tc>
          <w:tcPr>
            <w:tcW w:w="4939" w:type="dxa"/>
            <w:vAlign w:val="center"/>
          </w:tcPr>
          <w:p w14:paraId="1B63BCC6" w14:textId="77777777" w:rsidR="006F327F" w:rsidRDefault="00336BF5">
            <w:r>
              <w:rPr>
                <w:sz w:val="16"/>
              </w:rPr>
              <w:t>Document LLM, embedding model, vector index, OS, hardware, workers, cache, and queue settings.</w:t>
            </w:r>
          </w:p>
        </w:tc>
      </w:tr>
    </w:tbl>
    <w:p w14:paraId="2F13B426" w14:textId="77777777" w:rsidR="006F327F" w:rsidRDefault="00336BF5">
      <w:pPr>
        <w:pStyle w:val="Heading1"/>
      </w:pPr>
      <w:r>
        <w:t>S2. Benchmark generator controls</w:t>
      </w:r>
    </w:p>
    <w:p w14:paraId="21F2D100" w14:textId="77777777" w:rsidR="006F327F" w:rsidRDefault="00336BF5">
      <w:pPr>
        <w:pStyle w:val="Caption"/>
      </w:pPr>
      <w:r>
        <w:t>Supplementary Table S2. Synthetic benchmark generator controls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93"/>
        <w:gridCol w:w="3293"/>
        <w:gridCol w:w="3293"/>
      </w:tblGrid>
      <w:tr w:rsidR="006F327F" w14:paraId="3E3D417C" w14:textId="77777777">
        <w:trPr>
          <w:tblHeader/>
          <w:jc w:val="center"/>
        </w:trPr>
        <w:tc>
          <w:tcPr>
            <w:tcW w:w="3293" w:type="dxa"/>
            <w:shd w:val="clear" w:color="auto" w:fill="D9EAF7"/>
            <w:vAlign w:val="center"/>
          </w:tcPr>
          <w:p w14:paraId="7B48B381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Control dimension</w:t>
            </w:r>
          </w:p>
        </w:tc>
        <w:tc>
          <w:tcPr>
            <w:tcW w:w="3293" w:type="dxa"/>
            <w:shd w:val="clear" w:color="auto" w:fill="D9EAF7"/>
            <w:vAlign w:val="center"/>
          </w:tcPr>
          <w:p w14:paraId="2F1B5925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Implementation detail</w:t>
            </w:r>
          </w:p>
        </w:tc>
        <w:tc>
          <w:tcPr>
            <w:tcW w:w="3293" w:type="dxa"/>
            <w:shd w:val="clear" w:color="auto" w:fill="D9EAF7"/>
            <w:vAlign w:val="center"/>
          </w:tcPr>
          <w:p w14:paraId="4737AEE4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Reviewer purpose</w:t>
            </w:r>
          </w:p>
        </w:tc>
      </w:tr>
      <w:tr w:rsidR="006F327F" w14:paraId="20F88FE2" w14:textId="77777777">
        <w:trPr>
          <w:jc w:val="center"/>
        </w:trPr>
        <w:tc>
          <w:tcPr>
            <w:tcW w:w="3293" w:type="dxa"/>
            <w:vAlign w:val="center"/>
          </w:tcPr>
          <w:p w14:paraId="4F061806" w14:textId="77777777" w:rsidR="006F327F" w:rsidRDefault="00336BF5">
            <w:r>
              <w:rPr>
                <w:sz w:val="16"/>
              </w:rPr>
              <w:t>Evidence quality</w:t>
            </w:r>
          </w:p>
        </w:tc>
        <w:tc>
          <w:tcPr>
            <w:tcW w:w="3293" w:type="dxa"/>
            <w:vAlign w:val="center"/>
          </w:tcPr>
          <w:p w14:paraId="37D48030" w14:textId="77777777" w:rsidR="006F327F" w:rsidRDefault="00336BF5">
            <w:r>
              <w:rPr>
                <w:sz w:val="16"/>
              </w:rPr>
              <w:t>Fresh, stale, unsupported, conflicting, and inaccessible evidence cases</w:t>
            </w:r>
          </w:p>
        </w:tc>
        <w:tc>
          <w:tcPr>
            <w:tcW w:w="3293" w:type="dxa"/>
            <w:vAlign w:val="center"/>
          </w:tcPr>
          <w:p w14:paraId="6E467B64" w14:textId="77777777" w:rsidR="006F327F" w:rsidRDefault="00336BF5">
            <w:r>
              <w:rPr>
                <w:sz w:val="16"/>
              </w:rPr>
              <w:t>Tests relevance versus approved support</w:t>
            </w:r>
          </w:p>
        </w:tc>
      </w:tr>
      <w:tr w:rsidR="006F327F" w14:paraId="062401CC" w14:textId="77777777">
        <w:trPr>
          <w:jc w:val="center"/>
        </w:trPr>
        <w:tc>
          <w:tcPr>
            <w:tcW w:w="3293" w:type="dxa"/>
            <w:vAlign w:val="center"/>
          </w:tcPr>
          <w:p w14:paraId="7AB4A1F2" w14:textId="77777777" w:rsidR="006F327F" w:rsidRDefault="00336BF5">
            <w:r>
              <w:rPr>
                <w:sz w:val="16"/>
              </w:rPr>
              <w:t>Authority validity</w:t>
            </w:r>
          </w:p>
        </w:tc>
        <w:tc>
          <w:tcPr>
            <w:tcW w:w="3293" w:type="dxa"/>
            <w:vAlign w:val="center"/>
          </w:tcPr>
          <w:p w14:paraId="7EB5C0BD" w14:textId="77777777" w:rsidR="006F327F" w:rsidRDefault="00336BF5">
            <w:r>
              <w:rPr>
                <w:sz w:val="16"/>
              </w:rPr>
              <w:t>Role-resource-tool entitlement matrix with invalid-owner cases</w:t>
            </w:r>
          </w:p>
        </w:tc>
        <w:tc>
          <w:tcPr>
            <w:tcW w:w="3293" w:type="dxa"/>
            <w:vAlign w:val="center"/>
          </w:tcPr>
          <w:p w14:paraId="1DB00E5F" w14:textId="77777777" w:rsidR="006F327F" w:rsidRDefault="00336BF5">
            <w:r>
              <w:rPr>
                <w:sz w:val="16"/>
              </w:rPr>
              <w:t>Tests unauthorized tool blocking</w:t>
            </w:r>
          </w:p>
        </w:tc>
      </w:tr>
      <w:tr w:rsidR="006F327F" w14:paraId="2516E096" w14:textId="77777777">
        <w:trPr>
          <w:jc w:val="center"/>
        </w:trPr>
        <w:tc>
          <w:tcPr>
            <w:tcW w:w="3293" w:type="dxa"/>
            <w:vAlign w:val="center"/>
          </w:tcPr>
          <w:p w14:paraId="2E6593D3" w14:textId="77777777" w:rsidR="006F327F" w:rsidRDefault="00336BF5">
            <w:r>
              <w:rPr>
                <w:sz w:val="16"/>
              </w:rPr>
              <w:t>Risk distribution</w:t>
            </w:r>
          </w:p>
        </w:tc>
        <w:tc>
          <w:tcPr>
            <w:tcW w:w="3293" w:type="dxa"/>
            <w:vAlign w:val="center"/>
          </w:tcPr>
          <w:p w14:paraId="09E4DFA5" w14:textId="77777777" w:rsidR="006F327F" w:rsidRDefault="00336BF5">
            <w:r>
              <w:rPr>
                <w:sz w:val="16"/>
              </w:rPr>
              <w:t>Workflow thresholds with 21.7% high-risk prevalence</w:t>
            </w:r>
          </w:p>
        </w:tc>
        <w:tc>
          <w:tcPr>
            <w:tcW w:w="3293" w:type="dxa"/>
            <w:vAlign w:val="center"/>
          </w:tcPr>
          <w:p w14:paraId="2C647630" w14:textId="77777777" w:rsidR="006F327F" w:rsidRDefault="00336BF5">
            <w:r>
              <w:rPr>
                <w:sz w:val="16"/>
              </w:rPr>
              <w:t>Tests escalation behavior</w:t>
            </w:r>
          </w:p>
        </w:tc>
      </w:tr>
      <w:tr w:rsidR="006F327F" w14:paraId="13659BBC" w14:textId="77777777">
        <w:trPr>
          <w:jc w:val="center"/>
        </w:trPr>
        <w:tc>
          <w:tcPr>
            <w:tcW w:w="3293" w:type="dxa"/>
            <w:vAlign w:val="center"/>
          </w:tcPr>
          <w:p w14:paraId="79B2A977" w14:textId="77777777" w:rsidR="006F327F" w:rsidRDefault="00336BF5">
            <w:r>
              <w:rPr>
                <w:sz w:val="16"/>
              </w:rPr>
              <w:t>Audit labeling</w:t>
            </w:r>
          </w:p>
        </w:tc>
        <w:tc>
          <w:tcPr>
            <w:tcW w:w="3293" w:type="dxa"/>
            <w:vAlign w:val="center"/>
          </w:tcPr>
          <w:p w14:paraId="561C254D" w14:textId="77777777" w:rsidR="006F327F" w:rsidRDefault="00336BF5">
            <w:r>
              <w:rPr>
                <w:sz w:val="16"/>
              </w:rPr>
              <w:t>Required artifacts defined before replay</w:t>
            </w:r>
          </w:p>
        </w:tc>
        <w:tc>
          <w:tcPr>
            <w:tcW w:w="3293" w:type="dxa"/>
            <w:vAlign w:val="center"/>
          </w:tcPr>
          <w:p w14:paraId="10CFEA8B" w14:textId="77777777" w:rsidR="006F327F" w:rsidRDefault="00336BF5">
            <w:r>
              <w:rPr>
                <w:sz w:val="16"/>
              </w:rPr>
              <w:t>Tests reconstructability</w:t>
            </w:r>
          </w:p>
        </w:tc>
      </w:tr>
      <w:tr w:rsidR="006F327F" w14:paraId="07448483" w14:textId="77777777">
        <w:trPr>
          <w:jc w:val="center"/>
        </w:trPr>
        <w:tc>
          <w:tcPr>
            <w:tcW w:w="3293" w:type="dxa"/>
            <w:vAlign w:val="center"/>
          </w:tcPr>
          <w:p w14:paraId="3C14287B" w14:textId="77777777" w:rsidR="006F327F" w:rsidRDefault="00336BF5">
            <w:r>
              <w:rPr>
                <w:sz w:val="16"/>
              </w:rPr>
              <w:t>Leakage control</w:t>
            </w:r>
          </w:p>
        </w:tc>
        <w:tc>
          <w:tcPr>
            <w:tcW w:w="3293" w:type="dxa"/>
            <w:vAlign w:val="center"/>
          </w:tcPr>
          <w:p w14:paraId="6C61BE76" w14:textId="77777777" w:rsidR="006F327F" w:rsidRDefault="00336BF5">
            <w:r>
              <w:rPr>
                <w:sz w:val="16"/>
              </w:rPr>
              <w:t>Time-based split and identical episode stream</w:t>
            </w:r>
          </w:p>
        </w:tc>
        <w:tc>
          <w:tcPr>
            <w:tcW w:w="3293" w:type="dxa"/>
            <w:vAlign w:val="center"/>
          </w:tcPr>
          <w:p w14:paraId="7CD4B584" w14:textId="77777777" w:rsidR="006F327F" w:rsidRDefault="00336BF5">
            <w:r>
              <w:rPr>
                <w:sz w:val="16"/>
              </w:rPr>
              <w:t>Reduces overfitting and replay noise</w:t>
            </w:r>
          </w:p>
        </w:tc>
      </w:tr>
    </w:tbl>
    <w:p w14:paraId="6A9C5D4B" w14:textId="77777777" w:rsidR="006F327F" w:rsidRDefault="00336BF5">
      <w:pPr>
        <w:pStyle w:val="Heading1"/>
      </w:pPr>
      <w:r>
        <w:t>S3. Performance optimization strategies</w:t>
      </w:r>
    </w:p>
    <w:p w14:paraId="0BB3FFEF" w14:textId="77777777" w:rsidR="006F327F" w:rsidRDefault="00336BF5">
      <w:pPr>
        <w:pStyle w:val="Caption"/>
      </w:pPr>
      <w:r>
        <w:t>Supplementary Table S3. GAAR optimization strategies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93"/>
        <w:gridCol w:w="3293"/>
        <w:gridCol w:w="3293"/>
      </w:tblGrid>
      <w:tr w:rsidR="006F327F" w14:paraId="2C1CA67C" w14:textId="77777777">
        <w:trPr>
          <w:tblHeader/>
          <w:jc w:val="center"/>
        </w:trPr>
        <w:tc>
          <w:tcPr>
            <w:tcW w:w="3293" w:type="dxa"/>
            <w:shd w:val="clear" w:color="auto" w:fill="D9EAF7"/>
            <w:vAlign w:val="center"/>
          </w:tcPr>
          <w:p w14:paraId="136E26B4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Optimization</w:t>
            </w:r>
          </w:p>
        </w:tc>
        <w:tc>
          <w:tcPr>
            <w:tcW w:w="3293" w:type="dxa"/>
            <w:shd w:val="clear" w:color="auto" w:fill="D9EAF7"/>
            <w:vAlign w:val="center"/>
          </w:tcPr>
          <w:p w14:paraId="03CF87AF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Mechanism</w:t>
            </w:r>
          </w:p>
        </w:tc>
        <w:tc>
          <w:tcPr>
            <w:tcW w:w="3293" w:type="dxa"/>
            <w:shd w:val="clear" w:color="auto" w:fill="D9EAF7"/>
            <w:vAlign w:val="center"/>
          </w:tcPr>
          <w:p w14:paraId="4B94F235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Expected effect</w:t>
            </w:r>
          </w:p>
        </w:tc>
      </w:tr>
      <w:tr w:rsidR="006F327F" w14:paraId="131CC257" w14:textId="77777777">
        <w:trPr>
          <w:jc w:val="center"/>
        </w:trPr>
        <w:tc>
          <w:tcPr>
            <w:tcW w:w="3293" w:type="dxa"/>
            <w:vAlign w:val="center"/>
          </w:tcPr>
          <w:p w14:paraId="622BA49B" w14:textId="77777777" w:rsidR="006F327F" w:rsidRDefault="00336BF5">
            <w:r>
              <w:rPr>
                <w:sz w:val="16"/>
              </w:rPr>
              <w:t>Policy caching</w:t>
            </w:r>
          </w:p>
        </w:tc>
        <w:tc>
          <w:tcPr>
            <w:tcW w:w="3293" w:type="dxa"/>
            <w:vAlign w:val="center"/>
          </w:tcPr>
          <w:p w14:paraId="3F56CC0A" w14:textId="77777777" w:rsidR="006F327F" w:rsidRDefault="00336BF5">
            <w:r>
              <w:rPr>
                <w:sz w:val="16"/>
              </w:rPr>
              <w:t>Cache policies by workflow, task type, role, and resource</w:t>
            </w:r>
          </w:p>
        </w:tc>
        <w:tc>
          <w:tcPr>
            <w:tcW w:w="3293" w:type="dxa"/>
            <w:vAlign w:val="center"/>
          </w:tcPr>
          <w:p w14:paraId="7FDE6D87" w14:textId="77777777" w:rsidR="006F327F" w:rsidRDefault="00336BF5">
            <w:r>
              <w:rPr>
                <w:sz w:val="16"/>
              </w:rPr>
              <w:t>Reduces repeated lookup cost</w:t>
            </w:r>
          </w:p>
        </w:tc>
      </w:tr>
      <w:tr w:rsidR="006F327F" w14:paraId="3379DDF1" w14:textId="77777777">
        <w:trPr>
          <w:jc w:val="center"/>
        </w:trPr>
        <w:tc>
          <w:tcPr>
            <w:tcW w:w="3293" w:type="dxa"/>
            <w:vAlign w:val="center"/>
          </w:tcPr>
          <w:p w14:paraId="51584577" w14:textId="77777777" w:rsidR="006F327F" w:rsidRDefault="00336BF5">
            <w:r>
              <w:rPr>
                <w:sz w:val="16"/>
              </w:rPr>
              <w:t>Parallel verification</w:t>
            </w:r>
          </w:p>
        </w:tc>
        <w:tc>
          <w:tcPr>
            <w:tcW w:w="3293" w:type="dxa"/>
            <w:vAlign w:val="center"/>
          </w:tcPr>
          <w:p w14:paraId="426DD978" w14:textId="77777777" w:rsidR="006F327F" w:rsidRDefault="00336BF5">
            <w:r>
              <w:rPr>
                <w:sz w:val="16"/>
              </w:rPr>
              <w:t>Run evidence, authority, privacy, and audit checks concurrently</w:t>
            </w:r>
          </w:p>
        </w:tc>
        <w:tc>
          <w:tcPr>
            <w:tcW w:w="3293" w:type="dxa"/>
            <w:vAlign w:val="center"/>
          </w:tcPr>
          <w:p w14:paraId="0B3CB85F" w14:textId="77777777" w:rsidR="006F327F" w:rsidRDefault="00336BF5">
            <w:r>
              <w:rPr>
                <w:sz w:val="16"/>
              </w:rPr>
              <w:t>Reduces critical-path latency</w:t>
            </w:r>
          </w:p>
        </w:tc>
      </w:tr>
      <w:tr w:rsidR="006F327F" w14:paraId="726DDE5D" w14:textId="77777777">
        <w:trPr>
          <w:jc w:val="center"/>
        </w:trPr>
        <w:tc>
          <w:tcPr>
            <w:tcW w:w="3293" w:type="dxa"/>
            <w:vAlign w:val="center"/>
          </w:tcPr>
          <w:p w14:paraId="654440B0" w14:textId="77777777" w:rsidR="006F327F" w:rsidRDefault="00336BF5">
            <w:r>
              <w:rPr>
                <w:sz w:val="16"/>
              </w:rPr>
              <w:t>Asynchronous audit writes</w:t>
            </w:r>
          </w:p>
        </w:tc>
        <w:tc>
          <w:tcPr>
            <w:tcW w:w="3293" w:type="dxa"/>
            <w:vAlign w:val="center"/>
          </w:tcPr>
          <w:p w14:paraId="06728D7D" w14:textId="77777777" w:rsidR="006F327F" w:rsidRDefault="00336BF5">
            <w:r>
              <w:rPr>
                <w:sz w:val="16"/>
              </w:rPr>
              <w:t>Persist low-risk trace details outside user-facing path</w:t>
            </w:r>
          </w:p>
        </w:tc>
        <w:tc>
          <w:tcPr>
            <w:tcW w:w="3293" w:type="dxa"/>
            <w:vAlign w:val="center"/>
          </w:tcPr>
          <w:p w14:paraId="73AA96F3" w14:textId="77777777" w:rsidR="006F327F" w:rsidRDefault="00336BF5">
            <w:r>
              <w:rPr>
                <w:sz w:val="16"/>
              </w:rPr>
              <w:t>Improves perceived latency</w:t>
            </w:r>
          </w:p>
        </w:tc>
      </w:tr>
      <w:tr w:rsidR="006F327F" w14:paraId="08F04F11" w14:textId="77777777">
        <w:trPr>
          <w:jc w:val="center"/>
        </w:trPr>
        <w:tc>
          <w:tcPr>
            <w:tcW w:w="3293" w:type="dxa"/>
            <w:vAlign w:val="center"/>
          </w:tcPr>
          <w:p w14:paraId="7BF879D0" w14:textId="77777777" w:rsidR="006F327F" w:rsidRDefault="00336BF5">
            <w:r>
              <w:rPr>
                <w:sz w:val="16"/>
              </w:rPr>
              <w:t>Risk-adaptive control depth</w:t>
            </w:r>
          </w:p>
        </w:tc>
        <w:tc>
          <w:tcPr>
            <w:tcW w:w="3293" w:type="dxa"/>
            <w:vAlign w:val="center"/>
          </w:tcPr>
          <w:p w14:paraId="06660D4A" w14:textId="77777777" w:rsidR="006F327F" w:rsidRDefault="00336BF5">
            <w:r>
              <w:rPr>
                <w:sz w:val="16"/>
              </w:rPr>
              <w:t>Use lightweight checks for low-risk and full checks for high-risk tasks</w:t>
            </w:r>
          </w:p>
        </w:tc>
        <w:tc>
          <w:tcPr>
            <w:tcW w:w="3293" w:type="dxa"/>
            <w:vAlign w:val="center"/>
          </w:tcPr>
          <w:p w14:paraId="14187294" w14:textId="77777777" w:rsidR="006F327F" w:rsidRDefault="00336BF5">
            <w:r>
              <w:rPr>
                <w:sz w:val="16"/>
              </w:rPr>
              <w:t>Balances cost and assurance</w:t>
            </w:r>
          </w:p>
        </w:tc>
      </w:tr>
      <w:tr w:rsidR="006F327F" w14:paraId="43929622" w14:textId="77777777">
        <w:trPr>
          <w:jc w:val="center"/>
        </w:trPr>
        <w:tc>
          <w:tcPr>
            <w:tcW w:w="3293" w:type="dxa"/>
            <w:vAlign w:val="center"/>
          </w:tcPr>
          <w:p w14:paraId="0615F49B" w14:textId="77777777" w:rsidR="006F327F" w:rsidRDefault="00336BF5">
            <w:r>
              <w:rPr>
                <w:sz w:val="16"/>
              </w:rPr>
              <w:t>Batch verification</w:t>
            </w:r>
          </w:p>
        </w:tc>
        <w:tc>
          <w:tcPr>
            <w:tcW w:w="3293" w:type="dxa"/>
            <w:vAlign w:val="center"/>
          </w:tcPr>
          <w:p w14:paraId="13557EFB" w14:textId="77777777" w:rsidR="006F327F" w:rsidRDefault="00336BF5">
            <w:r>
              <w:rPr>
                <w:sz w:val="16"/>
              </w:rPr>
              <w:t>Group similar decision objects for high-volume workflows</w:t>
            </w:r>
          </w:p>
        </w:tc>
        <w:tc>
          <w:tcPr>
            <w:tcW w:w="3293" w:type="dxa"/>
            <w:vAlign w:val="center"/>
          </w:tcPr>
          <w:p w14:paraId="51F51E27" w14:textId="77777777" w:rsidR="006F327F" w:rsidRDefault="00336BF5">
            <w:r>
              <w:rPr>
                <w:sz w:val="16"/>
              </w:rPr>
              <w:t>Improves replay throughput</w:t>
            </w:r>
          </w:p>
        </w:tc>
      </w:tr>
    </w:tbl>
    <w:p w14:paraId="699679A1" w14:textId="77777777" w:rsidR="006F327F" w:rsidRDefault="00336BF5">
      <w:pPr>
        <w:pStyle w:val="Heading1"/>
      </w:pPr>
      <w:r>
        <w:lastRenderedPageBreak/>
        <w:t>S4. Resource profile and residual error taxonomy</w:t>
      </w:r>
    </w:p>
    <w:p w14:paraId="4CC5092D" w14:textId="77777777" w:rsidR="006F327F" w:rsidRDefault="00336BF5">
      <w:pPr>
        <w:pStyle w:val="Caption"/>
      </w:pPr>
      <w:r>
        <w:t>Supplementary Table S4. Resource utilization profile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6"/>
        <w:gridCol w:w="1976"/>
        <w:gridCol w:w="1976"/>
        <w:gridCol w:w="1976"/>
        <w:gridCol w:w="1976"/>
      </w:tblGrid>
      <w:tr w:rsidR="006F327F" w14:paraId="531D9CCF" w14:textId="77777777">
        <w:trPr>
          <w:tblHeader/>
          <w:jc w:val="center"/>
        </w:trPr>
        <w:tc>
          <w:tcPr>
            <w:tcW w:w="1976" w:type="dxa"/>
            <w:shd w:val="clear" w:color="auto" w:fill="D9EAF7"/>
            <w:vAlign w:val="center"/>
          </w:tcPr>
          <w:p w14:paraId="3DFDEE92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Configuration</w:t>
            </w:r>
          </w:p>
        </w:tc>
        <w:tc>
          <w:tcPr>
            <w:tcW w:w="1976" w:type="dxa"/>
            <w:shd w:val="clear" w:color="auto" w:fill="D9EAF7"/>
            <w:vAlign w:val="center"/>
          </w:tcPr>
          <w:p w14:paraId="51B62E1B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CPU overhead</w:t>
            </w:r>
          </w:p>
        </w:tc>
        <w:tc>
          <w:tcPr>
            <w:tcW w:w="1976" w:type="dxa"/>
            <w:shd w:val="clear" w:color="auto" w:fill="D9EAF7"/>
            <w:vAlign w:val="center"/>
          </w:tcPr>
          <w:p w14:paraId="55139E32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Memory overhead</w:t>
            </w:r>
          </w:p>
        </w:tc>
        <w:tc>
          <w:tcPr>
            <w:tcW w:w="1976" w:type="dxa"/>
            <w:shd w:val="clear" w:color="auto" w:fill="D9EAF7"/>
            <w:vAlign w:val="center"/>
          </w:tcPr>
          <w:p w14:paraId="6CA8BC94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Cache hit rate</w:t>
            </w:r>
          </w:p>
        </w:tc>
        <w:tc>
          <w:tcPr>
            <w:tcW w:w="1976" w:type="dxa"/>
            <w:shd w:val="clear" w:color="auto" w:fill="D9EAF7"/>
            <w:vAlign w:val="center"/>
          </w:tcPr>
          <w:p w14:paraId="2057607F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Audit storage / 1K episodes</w:t>
            </w:r>
          </w:p>
        </w:tc>
      </w:tr>
      <w:tr w:rsidR="006F327F" w14:paraId="7E03CD0C" w14:textId="77777777">
        <w:trPr>
          <w:jc w:val="center"/>
        </w:trPr>
        <w:tc>
          <w:tcPr>
            <w:tcW w:w="1976" w:type="dxa"/>
            <w:vAlign w:val="center"/>
          </w:tcPr>
          <w:p w14:paraId="3215A5A4" w14:textId="77777777" w:rsidR="006F327F" w:rsidRDefault="00336BF5">
            <w:pPr>
              <w:jc w:val="center"/>
            </w:pPr>
            <w:r>
              <w:rPr>
                <w:sz w:val="16"/>
              </w:rPr>
              <w:t>Agentic RAG</w:t>
            </w:r>
          </w:p>
        </w:tc>
        <w:tc>
          <w:tcPr>
            <w:tcW w:w="1976" w:type="dxa"/>
            <w:vAlign w:val="center"/>
          </w:tcPr>
          <w:p w14:paraId="03804266" w14:textId="77777777" w:rsidR="006F327F" w:rsidRDefault="00336BF5">
            <w:pPr>
              <w:jc w:val="center"/>
            </w:pPr>
            <w:r>
              <w:rPr>
                <w:sz w:val="16"/>
              </w:rPr>
              <w:t>Baseline</w:t>
            </w:r>
          </w:p>
        </w:tc>
        <w:tc>
          <w:tcPr>
            <w:tcW w:w="1976" w:type="dxa"/>
            <w:vAlign w:val="center"/>
          </w:tcPr>
          <w:p w14:paraId="6A7FF0E9" w14:textId="77777777" w:rsidR="006F327F" w:rsidRDefault="00336BF5">
            <w:pPr>
              <w:jc w:val="center"/>
            </w:pPr>
            <w:r>
              <w:rPr>
                <w:sz w:val="16"/>
              </w:rPr>
              <w:t>Baseline</w:t>
            </w:r>
          </w:p>
        </w:tc>
        <w:tc>
          <w:tcPr>
            <w:tcW w:w="1976" w:type="dxa"/>
            <w:vAlign w:val="center"/>
          </w:tcPr>
          <w:p w14:paraId="4949FAC7" w14:textId="77777777" w:rsidR="006F327F" w:rsidRDefault="00336BF5">
            <w:pPr>
              <w:jc w:val="center"/>
            </w:pPr>
            <w:r>
              <w:rPr>
                <w:sz w:val="16"/>
              </w:rPr>
              <w:t>N/A</w:t>
            </w:r>
          </w:p>
        </w:tc>
        <w:tc>
          <w:tcPr>
            <w:tcW w:w="1976" w:type="dxa"/>
            <w:vAlign w:val="center"/>
          </w:tcPr>
          <w:p w14:paraId="36267FDB" w14:textId="77777777" w:rsidR="006F327F" w:rsidRDefault="00336BF5">
            <w:pPr>
              <w:jc w:val="center"/>
            </w:pPr>
            <w:r>
              <w:rPr>
                <w:sz w:val="16"/>
              </w:rPr>
              <w:t>18 MB</w:t>
            </w:r>
          </w:p>
        </w:tc>
      </w:tr>
      <w:tr w:rsidR="006F327F" w14:paraId="70BF9D5E" w14:textId="77777777">
        <w:trPr>
          <w:jc w:val="center"/>
        </w:trPr>
        <w:tc>
          <w:tcPr>
            <w:tcW w:w="1976" w:type="dxa"/>
            <w:vAlign w:val="center"/>
          </w:tcPr>
          <w:p w14:paraId="72DE330D" w14:textId="77777777" w:rsidR="006F327F" w:rsidRDefault="00336BF5">
            <w:r>
              <w:rPr>
                <w:sz w:val="16"/>
              </w:rPr>
              <w:t>GAAR without cache</w:t>
            </w:r>
          </w:p>
        </w:tc>
        <w:tc>
          <w:tcPr>
            <w:tcW w:w="1976" w:type="dxa"/>
            <w:vAlign w:val="center"/>
          </w:tcPr>
          <w:p w14:paraId="515976ED" w14:textId="77777777" w:rsidR="006F327F" w:rsidRDefault="00336BF5">
            <w:pPr>
              <w:jc w:val="center"/>
            </w:pPr>
            <w:r>
              <w:rPr>
                <w:sz w:val="16"/>
              </w:rPr>
              <w:t>+21%</w:t>
            </w:r>
          </w:p>
        </w:tc>
        <w:tc>
          <w:tcPr>
            <w:tcW w:w="1976" w:type="dxa"/>
            <w:vAlign w:val="center"/>
          </w:tcPr>
          <w:p w14:paraId="70345004" w14:textId="77777777" w:rsidR="006F327F" w:rsidRDefault="00336BF5">
            <w:pPr>
              <w:jc w:val="center"/>
            </w:pPr>
            <w:r>
              <w:rPr>
                <w:sz w:val="16"/>
              </w:rPr>
              <w:t>+12%</w:t>
            </w:r>
          </w:p>
        </w:tc>
        <w:tc>
          <w:tcPr>
            <w:tcW w:w="1976" w:type="dxa"/>
            <w:vAlign w:val="center"/>
          </w:tcPr>
          <w:p w14:paraId="21EE9534" w14:textId="77777777" w:rsidR="006F327F" w:rsidRDefault="00336BF5">
            <w:pPr>
              <w:jc w:val="center"/>
            </w:pPr>
            <w:r>
              <w:rPr>
                <w:sz w:val="16"/>
              </w:rPr>
              <w:t>0%</w:t>
            </w:r>
          </w:p>
        </w:tc>
        <w:tc>
          <w:tcPr>
            <w:tcW w:w="1976" w:type="dxa"/>
            <w:vAlign w:val="center"/>
          </w:tcPr>
          <w:p w14:paraId="58DEA728" w14:textId="77777777" w:rsidR="006F327F" w:rsidRDefault="00336BF5">
            <w:pPr>
              <w:jc w:val="center"/>
            </w:pPr>
            <w:r>
              <w:rPr>
                <w:sz w:val="16"/>
              </w:rPr>
              <w:t>34 MB</w:t>
            </w:r>
          </w:p>
        </w:tc>
      </w:tr>
      <w:tr w:rsidR="006F327F" w14:paraId="57D155EC" w14:textId="77777777">
        <w:trPr>
          <w:jc w:val="center"/>
        </w:trPr>
        <w:tc>
          <w:tcPr>
            <w:tcW w:w="1976" w:type="dxa"/>
            <w:vAlign w:val="center"/>
          </w:tcPr>
          <w:p w14:paraId="02051850" w14:textId="77777777" w:rsidR="006F327F" w:rsidRDefault="00336BF5">
            <w:r>
              <w:rPr>
                <w:sz w:val="16"/>
              </w:rPr>
              <w:t>GAAR with cache</w:t>
            </w:r>
          </w:p>
        </w:tc>
        <w:tc>
          <w:tcPr>
            <w:tcW w:w="1976" w:type="dxa"/>
            <w:vAlign w:val="center"/>
          </w:tcPr>
          <w:p w14:paraId="18825D9A" w14:textId="77777777" w:rsidR="006F327F" w:rsidRDefault="00336BF5">
            <w:pPr>
              <w:jc w:val="center"/>
            </w:pPr>
            <w:r>
              <w:rPr>
                <w:sz w:val="16"/>
              </w:rPr>
              <w:t>+13%</w:t>
            </w:r>
          </w:p>
        </w:tc>
        <w:tc>
          <w:tcPr>
            <w:tcW w:w="1976" w:type="dxa"/>
            <w:vAlign w:val="center"/>
          </w:tcPr>
          <w:p w14:paraId="5C4D9AB0" w14:textId="77777777" w:rsidR="006F327F" w:rsidRDefault="00336BF5">
            <w:pPr>
              <w:jc w:val="center"/>
            </w:pPr>
            <w:r>
              <w:rPr>
                <w:sz w:val="16"/>
              </w:rPr>
              <w:t>+14%</w:t>
            </w:r>
          </w:p>
        </w:tc>
        <w:tc>
          <w:tcPr>
            <w:tcW w:w="1976" w:type="dxa"/>
            <w:vAlign w:val="center"/>
          </w:tcPr>
          <w:p w14:paraId="28343631" w14:textId="77777777" w:rsidR="006F327F" w:rsidRDefault="00336BF5">
            <w:pPr>
              <w:jc w:val="center"/>
            </w:pPr>
            <w:r>
              <w:rPr>
                <w:sz w:val="16"/>
              </w:rPr>
              <w:t>83%</w:t>
            </w:r>
          </w:p>
        </w:tc>
        <w:tc>
          <w:tcPr>
            <w:tcW w:w="1976" w:type="dxa"/>
            <w:vAlign w:val="center"/>
          </w:tcPr>
          <w:p w14:paraId="760FD0FC" w14:textId="77777777" w:rsidR="006F327F" w:rsidRDefault="00336BF5">
            <w:pPr>
              <w:jc w:val="center"/>
            </w:pPr>
            <w:r>
              <w:rPr>
                <w:sz w:val="16"/>
              </w:rPr>
              <w:t>34 MB</w:t>
            </w:r>
          </w:p>
        </w:tc>
      </w:tr>
      <w:tr w:rsidR="006F327F" w14:paraId="4769FA7A" w14:textId="77777777">
        <w:trPr>
          <w:jc w:val="center"/>
        </w:trPr>
        <w:tc>
          <w:tcPr>
            <w:tcW w:w="1976" w:type="dxa"/>
            <w:vAlign w:val="center"/>
          </w:tcPr>
          <w:p w14:paraId="14DA1AAD" w14:textId="77777777" w:rsidR="006F327F" w:rsidRDefault="00336BF5">
            <w:r>
              <w:rPr>
                <w:sz w:val="16"/>
              </w:rPr>
              <w:t>Parallel GAAR</w:t>
            </w:r>
          </w:p>
        </w:tc>
        <w:tc>
          <w:tcPr>
            <w:tcW w:w="1976" w:type="dxa"/>
            <w:vAlign w:val="center"/>
          </w:tcPr>
          <w:p w14:paraId="0E3E0D75" w14:textId="77777777" w:rsidR="006F327F" w:rsidRDefault="00336BF5">
            <w:pPr>
              <w:jc w:val="center"/>
            </w:pPr>
            <w:r>
              <w:rPr>
                <w:sz w:val="16"/>
              </w:rPr>
              <w:t>+16%</w:t>
            </w:r>
          </w:p>
        </w:tc>
        <w:tc>
          <w:tcPr>
            <w:tcW w:w="1976" w:type="dxa"/>
            <w:vAlign w:val="center"/>
          </w:tcPr>
          <w:p w14:paraId="7D96F43A" w14:textId="77777777" w:rsidR="006F327F" w:rsidRDefault="00336BF5">
            <w:pPr>
              <w:jc w:val="center"/>
            </w:pPr>
            <w:r>
              <w:rPr>
                <w:sz w:val="16"/>
              </w:rPr>
              <w:t>+18%</w:t>
            </w:r>
          </w:p>
        </w:tc>
        <w:tc>
          <w:tcPr>
            <w:tcW w:w="1976" w:type="dxa"/>
            <w:vAlign w:val="center"/>
          </w:tcPr>
          <w:p w14:paraId="23245427" w14:textId="77777777" w:rsidR="006F327F" w:rsidRDefault="00336BF5">
            <w:pPr>
              <w:jc w:val="center"/>
            </w:pPr>
            <w:r>
              <w:rPr>
                <w:sz w:val="16"/>
              </w:rPr>
              <w:t>83%</w:t>
            </w:r>
          </w:p>
        </w:tc>
        <w:tc>
          <w:tcPr>
            <w:tcW w:w="1976" w:type="dxa"/>
            <w:vAlign w:val="center"/>
          </w:tcPr>
          <w:p w14:paraId="43BD120B" w14:textId="77777777" w:rsidR="006F327F" w:rsidRDefault="00336BF5">
            <w:pPr>
              <w:jc w:val="center"/>
            </w:pPr>
            <w:r>
              <w:rPr>
                <w:sz w:val="16"/>
              </w:rPr>
              <w:t>34 MB</w:t>
            </w:r>
          </w:p>
        </w:tc>
      </w:tr>
      <w:tr w:rsidR="006F327F" w14:paraId="61BBFE8E" w14:textId="77777777">
        <w:trPr>
          <w:jc w:val="center"/>
        </w:trPr>
        <w:tc>
          <w:tcPr>
            <w:tcW w:w="1976" w:type="dxa"/>
            <w:vAlign w:val="center"/>
          </w:tcPr>
          <w:p w14:paraId="47BAE2ED" w14:textId="77777777" w:rsidR="006F327F" w:rsidRDefault="00336BF5">
            <w:r>
              <w:rPr>
                <w:sz w:val="16"/>
              </w:rPr>
              <w:t>Parallel GAAR + compressed trace</w:t>
            </w:r>
          </w:p>
        </w:tc>
        <w:tc>
          <w:tcPr>
            <w:tcW w:w="1976" w:type="dxa"/>
            <w:vAlign w:val="center"/>
          </w:tcPr>
          <w:p w14:paraId="67A0784F" w14:textId="77777777" w:rsidR="006F327F" w:rsidRDefault="00336BF5">
            <w:pPr>
              <w:jc w:val="center"/>
            </w:pPr>
            <w:r>
              <w:rPr>
                <w:sz w:val="16"/>
              </w:rPr>
              <w:t>+17%</w:t>
            </w:r>
          </w:p>
        </w:tc>
        <w:tc>
          <w:tcPr>
            <w:tcW w:w="1976" w:type="dxa"/>
            <w:vAlign w:val="center"/>
          </w:tcPr>
          <w:p w14:paraId="12346337" w14:textId="77777777" w:rsidR="006F327F" w:rsidRDefault="00336BF5">
            <w:pPr>
              <w:jc w:val="center"/>
            </w:pPr>
            <w:r>
              <w:rPr>
                <w:sz w:val="16"/>
              </w:rPr>
              <w:t>+19%</w:t>
            </w:r>
          </w:p>
        </w:tc>
        <w:tc>
          <w:tcPr>
            <w:tcW w:w="1976" w:type="dxa"/>
            <w:vAlign w:val="center"/>
          </w:tcPr>
          <w:p w14:paraId="7ECEF9C3" w14:textId="77777777" w:rsidR="006F327F" w:rsidRDefault="00336BF5">
            <w:pPr>
              <w:jc w:val="center"/>
            </w:pPr>
            <w:r>
              <w:rPr>
                <w:sz w:val="16"/>
              </w:rPr>
              <w:t>84%</w:t>
            </w:r>
          </w:p>
        </w:tc>
        <w:tc>
          <w:tcPr>
            <w:tcW w:w="1976" w:type="dxa"/>
            <w:vAlign w:val="center"/>
          </w:tcPr>
          <w:p w14:paraId="6550A44D" w14:textId="77777777" w:rsidR="006F327F" w:rsidRDefault="00336BF5">
            <w:pPr>
              <w:jc w:val="center"/>
            </w:pPr>
            <w:r>
              <w:rPr>
                <w:sz w:val="16"/>
              </w:rPr>
              <w:t>24 MB</w:t>
            </w:r>
          </w:p>
        </w:tc>
      </w:tr>
    </w:tbl>
    <w:p w14:paraId="04216C99" w14:textId="77777777" w:rsidR="006F327F" w:rsidRDefault="00336BF5">
      <w:pPr>
        <w:pStyle w:val="Caption"/>
      </w:pPr>
      <w:r>
        <w:t>Supplementary Table S5. Error distribution among remaining GAAR failures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69"/>
        <w:gridCol w:w="2469"/>
        <w:gridCol w:w="2469"/>
        <w:gridCol w:w="2469"/>
      </w:tblGrid>
      <w:tr w:rsidR="006F327F" w14:paraId="34E2C976" w14:textId="77777777">
        <w:trPr>
          <w:tblHeader/>
          <w:jc w:val="center"/>
        </w:trPr>
        <w:tc>
          <w:tcPr>
            <w:tcW w:w="2469" w:type="dxa"/>
            <w:shd w:val="clear" w:color="auto" w:fill="D9EAF7"/>
            <w:vAlign w:val="center"/>
          </w:tcPr>
          <w:p w14:paraId="114FE959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Error category</w:t>
            </w:r>
          </w:p>
        </w:tc>
        <w:tc>
          <w:tcPr>
            <w:tcW w:w="2469" w:type="dxa"/>
            <w:shd w:val="clear" w:color="auto" w:fill="D9EAF7"/>
            <w:vAlign w:val="center"/>
          </w:tcPr>
          <w:p w14:paraId="41B7C4E9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Share</w:t>
            </w:r>
          </w:p>
        </w:tc>
        <w:tc>
          <w:tcPr>
            <w:tcW w:w="2469" w:type="dxa"/>
            <w:shd w:val="clear" w:color="auto" w:fill="D9EAF7"/>
            <w:vAlign w:val="center"/>
          </w:tcPr>
          <w:p w14:paraId="420A06B8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Primary source</w:t>
            </w:r>
          </w:p>
        </w:tc>
        <w:tc>
          <w:tcPr>
            <w:tcW w:w="2469" w:type="dxa"/>
            <w:shd w:val="clear" w:color="auto" w:fill="D9EAF7"/>
            <w:vAlign w:val="center"/>
          </w:tcPr>
          <w:p w14:paraId="15B0A626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Mitigation</w:t>
            </w:r>
          </w:p>
        </w:tc>
      </w:tr>
      <w:tr w:rsidR="006F327F" w14:paraId="165894DC" w14:textId="77777777">
        <w:trPr>
          <w:jc w:val="center"/>
        </w:trPr>
        <w:tc>
          <w:tcPr>
            <w:tcW w:w="2469" w:type="dxa"/>
            <w:vAlign w:val="center"/>
          </w:tcPr>
          <w:p w14:paraId="7B577C8B" w14:textId="77777777" w:rsidR="006F327F" w:rsidRDefault="00336BF5">
            <w:r>
              <w:rPr>
                <w:sz w:val="16"/>
              </w:rPr>
              <w:t>Ambiguous role ownership</w:t>
            </w:r>
          </w:p>
        </w:tc>
        <w:tc>
          <w:tcPr>
            <w:tcW w:w="2469" w:type="dxa"/>
            <w:vAlign w:val="center"/>
          </w:tcPr>
          <w:p w14:paraId="6651E80A" w14:textId="77777777" w:rsidR="006F327F" w:rsidRDefault="00336BF5">
            <w:pPr>
              <w:jc w:val="center"/>
            </w:pPr>
            <w:r>
              <w:rPr>
                <w:sz w:val="16"/>
              </w:rPr>
              <w:t>28%</w:t>
            </w:r>
          </w:p>
        </w:tc>
        <w:tc>
          <w:tcPr>
            <w:tcW w:w="2469" w:type="dxa"/>
            <w:vAlign w:val="center"/>
          </w:tcPr>
          <w:p w14:paraId="6F3FB819" w14:textId="77777777" w:rsidR="006F327F" w:rsidRDefault="00336BF5">
            <w:r>
              <w:rPr>
                <w:sz w:val="16"/>
              </w:rPr>
              <w:t>Role names or delegated authority not uniquely mapped</w:t>
            </w:r>
          </w:p>
        </w:tc>
        <w:tc>
          <w:tcPr>
            <w:tcW w:w="2469" w:type="dxa"/>
            <w:vAlign w:val="center"/>
          </w:tcPr>
          <w:p w14:paraId="7A868992" w14:textId="77777777" w:rsidR="006F327F" w:rsidRDefault="00336BF5">
            <w:r>
              <w:rPr>
                <w:sz w:val="16"/>
              </w:rPr>
              <w:t>Improve entitlement registry</w:t>
            </w:r>
          </w:p>
        </w:tc>
      </w:tr>
      <w:tr w:rsidR="006F327F" w14:paraId="4D9B997A" w14:textId="77777777">
        <w:trPr>
          <w:jc w:val="center"/>
        </w:trPr>
        <w:tc>
          <w:tcPr>
            <w:tcW w:w="2469" w:type="dxa"/>
            <w:vAlign w:val="center"/>
          </w:tcPr>
          <w:p w14:paraId="5F538846" w14:textId="77777777" w:rsidR="006F327F" w:rsidRDefault="00336BF5">
            <w:r>
              <w:rPr>
                <w:sz w:val="16"/>
              </w:rPr>
              <w:t>Stale policy source</w:t>
            </w:r>
          </w:p>
        </w:tc>
        <w:tc>
          <w:tcPr>
            <w:tcW w:w="2469" w:type="dxa"/>
            <w:vAlign w:val="center"/>
          </w:tcPr>
          <w:p w14:paraId="229FC2CB" w14:textId="77777777" w:rsidR="006F327F" w:rsidRDefault="00336BF5">
            <w:pPr>
              <w:jc w:val="center"/>
            </w:pPr>
            <w:r>
              <w:rPr>
                <w:sz w:val="16"/>
              </w:rPr>
              <w:t>22%</w:t>
            </w:r>
          </w:p>
        </w:tc>
        <w:tc>
          <w:tcPr>
            <w:tcW w:w="2469" w:type="dxa"/>
            <w:vAlign w:val="center"/>
          </w:tcPr>
          <w:p w14:paraId="6600A5A8" w14:textId="77777777" w:rsidR="006F327F" w:rsidRDefault="00336BF5">
            <w:r>
              <w:rPr>
                <w:sz w:val="16"/>
              </w:rPr>
              <w:t>Policy version conflict</w:t>
            </w:r>
          </w:p>
        </w:tc>
        <w:tc>
          <w:tcPr>
            <w:tcW w:w="2469" w:type="dxa"/>
            <w:vAlign w:val="center"/>
          </w:tcPr>
          <w:p w14:paraId="41E01BE9" w14:textId="77777777" w:rsidR="006F327F" w:rsidRDefault="00336BF5">
            <w:r>
              <w:rPr>
                <w:sz w:val="16"/>
              </w:rPr>
              <w:t>Enforce version-aware policy gate</w:t>
            </w:r>
          </w:p>
        </w:tc>
      </w:tr>
      <w:tr w:rsidR="006F327F" w14:paraId="50EF7751" w14:textId="77777777">
        <w:trPr>
          <w:jc w:val="center"/>
        </w:trPr>
        <w:tc>
          <w:tcPr>
            <w:tcW w:w="2469" w:type="dxa"/>
            <w:vAlign w:val="center"/>
          </w:tcPr>
          <w:p w14:paraId="655BC35F" w14:textId="77777777" w:rsidR="006F327F" w:rsidRDefault="00336BF5">
            <w:r>
              <w:rPr>
                <w:sz w:val="16"/>
              </w:rPr>
              <w:t>Sparse evidence retrieval</w:t>
            </w:r>
          </w:p>
        </w:tc>
        <w:tc>
          <w:tcPr>
            <w:tcW w:w="2469" w:type="dxa"/>
            <w:vAlign w:val="center"/>
          </w:tcPr>
          <w:p w14:paraId="0C62FC7D" w14:textId="77777777" w:rsidR="006F327F" w:rsidRDefault="00336BF5">
            <w:pPr>
              <w:jc w:val="center"/>
            </w:pPr>
            <w:r>
              <w:rPr>
                <w:sz w:val="16"/>
              </w:rPr>
              <w:t>19%</w:t>
            </w:r>
          </w:p>
        </w:tc>
        <w:tc>
          <w:tcPr>
            <w:tcW w:w="2469" w:type="dxa"/>
            <w:vAlign w:val="center"/>
          </w:tcPr>
          <w:p w14:paraId="4C7D0D3E" w14:textId="77777777" w:rsidR="006F327F" w:rsidRDefault="00336BF5">
            <w:r>
              <w:rPr>
                <w:sz w:val="16"/>
              </w:rPr>
              <w:t>Short or incomplete context</w:t>
            </w:r>
          </w:p>
        </w:tc>
        <w:tc>
          <w:tcPr>
            <w:tcW w:w="2469" w:type="dxa"/>
            <w:vAlign w:val="center"/>
          </w:tcPr>
          <w:p w14:paraId="7471E873" w14:textId="77777777" w:rsidR="006F327F" w:rsidRDefault="00336BF5">
            <w:r>
              <w:rPr>
                <w:sz w:val="16"/>
              </w:rPr>
              <w:t>Use query decomposition</w:t>
            </w:r>
          </w:p>
        </w:tc>
      </w:tr>
      <w:tr w:rsidR="006F327F" w14:paraId="615EFBEC" w14:textId="77777777">
        <w:trPr>
          <w:jc w:val="center"/>
        </w:trPr>
        <w:tc>
          <w:tcPr>
            <w:tcW w:w="2469" w:type="dxa"/>
            <w:vAlign w:val="center"/>
          </w:tcPr>
          <w:p w14:paraId="0DC13BDD" w14:textId="77777777" w:rsidR="006F327F" w:rsidRDefault="00336BF5">
            <w:r>
              <w:rPr>
                <w:sz w:val="16"/>
              </w:rPr>
              <w:t>Over-escalation</w:t>
            </w:r>
          </w:p>
        </w:tc>
        <w:tc>
          <w:tcPr>
            <w:tcW w:w="2469" w:type="dxa"/>
            <w:vAlign w:val="center"/>
          </w:tcPr>
          <w:p w14:paraId="4922542B" w14:textId="77777777" w:rsidR="006F327F" w:rsidRDefault="00336BF5">
            <w:pPr>
              <w:jc w:val="center"/>
            </w:pPr>
            <w:r>
              <w:rPr>
                <w:sz w:val="16"/>
              </w:rPr>
              <w:t>16%</w:t>
            </w:r>
          </w:p>
        </w:tc>
        <w:tc>
          <w:tcPr>
            <w:tcW w:w="2469" w:type="dxa"/>
            <w:vAlign w:val="center"/>
          </w:tcPr>
          <w:p w14:paraId="4503C904" w14:textId="77777777" w:rsidR="006F327F" w:rsidRDefault="00336BF5">
            <w:r>
              <w:rPr>
                <w:sz w:val="16"/>
              </w:rPr>
              <w:t>Conservative thresholds</w:t>
            </w:r>
          </w:p>
        </w:tc>
        <w:tc>
          <w:tcPr>
            <w:tcW w:w="2469" w:type="dxa"/>
            <w:vAlign w:val="center"/>
          </w:tcPr>
          <w:p w14:paraId="3D437EA9" w14:textId="77777777" w:rsidR="006F327F" w:rsidRDefault="00336BF5">
            <w:r>
              <w:rPr>
                <w:sz w:val="16"/>
              </w:rPr>
              <w:t>Calibrate by workflow</w:t>
            </w:r>
          </w:p>
        </w:tc>
      </w:tr>
      <w:tr w:rsidR="006F327F" w14:paraId="1A019034" w14:textId="77777777">
        <w:trPr>
          <w:jc w:val="center"/>
        </w:trPr>
        <w:tc>
          <w:tcPr>
            <w:tcW w:w="2469" w:type="dxa"/>
            <w:vAlign w:val="center"/>
          </w:tcPr>
          <w:p w14:paraId="13F38778" w14:textId="77777777" w:rsidR="006F327F" w:rsidRDefault="00336BF5">
            <w:r>
              <w:rPr>
                <w:sz w:val="16"/>
              </w:rPr>
              <w:t>Audit-link mismatch</w:t>
            </w:r>
          </w:p>
        </w:tc>
        <w:tc>
          <w:tcPr>
            <w:tcW w:w="2469" w:type="dxa"/>
            <w:vAlign w:val="center"/>
          </w:tcPr>
          <w:p w14:paraId="00A0CE4E" w14:textId="77777777" w:rsidR="006F327F" w:rsidRDefault="00336BF5">
            <w:pPr>
              <w:jc w:val="center"/>
            </w:pPr>
            <w:r>
              <w:rPr>
                <w:sz w:val="16"/>
              </w:rPr>
              <w:t>15%</w:t>
            </w:r>
          </w:p>
        </w:tc>
        <w:tc>
          <w:tcPr>
            <w:tcW w:w="2469" w:type="dxa"/>
            <w:vAlign w:val="center"/>
          </w:tcPr>
          <w:p w14:paraId="3417334B" w14:textId="77777777" w:rsidR="006F327F" w:rsidRDefault="00336BF5">
            <w:r>
              <w:rPr>
                <w:sz w:val="16"/>
              </w:rPr>
              <w:t>Missing relation between action, source, approval</w:t>
            </w:r>
          </w:p>
        </w:tc>
        <w:tc>
          <w:tcPr>
            <w:tcW w:w="2469" w:type="dxa"/>
            <w:vAlign w:val="center"/>
          </w:tcPr>
          <w:p w14:paraId="79179D7C" w14:textId="77777777" w:rsidR="006F327F" w:rsidRDefault="00336BF5">
            <w:r>
              <w:rPr>
                <w:sz w:val="16"/>
              </w:rPr>
              <w:t>Validate trace graph</w:t>
            </w:r>
          </w:p>
        </w:tc>
      </w:tr>
    </w:tbl>
    <w:p w14:paraId="4905D735" w14:textId="77777777" w:rsidR="006F327F" w:rsidRDefault="00336BF5">
      <w:pPr>
        <w:pStyle w:val="Heading1"/>
      </w:pPr>
      <w:r>
        <w:t>S5. Operational readiness checklist</w:t>
      </w:r>
    </w:p>
    <w:p w14:paraId="001DEE90" w14:textId="77777777" w:rsidR="006F327F" w:rsidRDefault="00336BF5">
      <w:pPr>
        <w:pStyle w:val="Caption"/>
      </w:pPr>
      <w:r>
        <w:t>Supplementary Table S6. Operational readiness checklist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93"/>
        <w:gridCol w:w="3293"/>
        <w:gridCol w:w="3293"/>
      </w:tblGrid>
      <w:tr w:rsidR="006F327F" w14:paraId="3E771036" w14:textId="77777777">
        <w:trPr>
          <w:tblHeader/>
          <w:jc w:val="center"/>
        </w:trPr>
        <w:tc>
          <w:tcPr>
            <w:tcW w:w="3293" w:type="dxa"/>
            <w:shd w:val="clear" w:color="auto" w:fill="D9EAF7"/>
            <w:vAlign w:val="center"/>
          </w:tcPr>
          <w:p w14:paraId="1755C9C8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Capability</w:t>
            </w:r>
          </w:p>
        </w:tc>
        <w:tc>
          <w:tcPr>
            <w:tcW w:w="3293" w:type="dxa"/>
            <w:shd w:val="clear" w:color="auto" w:fill="D9EAF7"/>
            <w:vAlign w:val="center"/>
          </w:tcPr>
          <w:p w14:paraId="512AAB5D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Acceptance criterion</w:t>
            </w:r>
          </w:p>
        </w:tc>
        <w:tc>
          <w:tcPr>
            <w:tcW w:w="3293" w:type="dxa"/>
            <w:shd w:val="clear" w:color="auto" w:fill="D9EAF7"/>
            <w:vAlign w:val="center"/>
          </w:tcPr>
          <w:p w14:paraId="6CFCEF59" w14:textId="77777777" w:rsidR="006F327F" w:rsidRDefault="00336BF5">
            <w:pPr>
              <w:jc w:val="center"/>
            </w:pPr>
            <w:r>
              <w:rPr>
                <w:b/>
                <w:sz w:val="16"/>
              </w:rPr>
              <w:t>Verification artifact</w:t>
            </w:r>
          </w:p>
        </w:tc>
      </w:tr>
      <w:tr w:rsidR="006F327F" w14:paraId="21E34C1B" w14:textId="77777777">
        <w:trPr>
          <w:jc w:val="center"/>
        </w:trPr>
        <w:tc>
          <w:tcPr>
            <w:tcW w:w="3293" w:type="dxa"/>
            <w:vAlign w:val="center"/>
          </w:tcPr>
          <w:p w14:paraId="78B5AA3A" w14:textId="77777777" w:rsidR="006F327F" w:rsidRDefault="00336BF5">
            <w:r>
              <w:rPr>
                <w:sz w:val="16"/>
              </w:rPr>
              <w:t>Knowledge corpus management</w:t>
            </w:r>
          </w:p>
        </w:tc>
        <w:tc>
          <w:tcPr>
            <w:tcW w:w="3293" w:type="dxa"/>
            <w:vAlign w:val="center"/>
          </w:tcPr>
          <w:p w14:paraId="6C505F44" w14:textId="77777777" w:rsidR="006F327F" w:rsidRDefault="00336BF5">
            <w:r>
              <w:rPr>
                <w:sz w:val="16"/>
              </w:rPr>
              <w:t>Version-controlled, ownership-assigned repository</w:t>
            </w:r>
          </w:p>
        </w:tc>
        <w:tc>
          <w:tcPr>
            <w:tcW w:w="3293" w:type="dxa"/>
            <w:vAlign w:val="center"/>
          </w:tcPr>
          <w:p w14:paraId="626398A1" w14:textId="77777777" w:rsidR="006F327F" w:rsidRDefault="00336BF5">
            <w:r>
              <w:rPr>
                <w:sz w:val="16"/>
              </w:rPr>
              <w:t>Document inventory and version history</w:t>
            </w:r>
          </w:p>
        </w:tc>
      </w:tr>
      <w:tr w:rsidR="006F327F" w14:paraId="70B19835" w14:textId="77777777">
        <w:trPr>
          <w:jc w:val="center"/>
        </w:trPr>
        <w:tc>
          <w:tcPr>
            <w:tcW w:w="3293" w:type="dxa"/>
            <w:vAlign w:val="center"/>
          </w:tcPr>
          <w:p w14:paraId="27EB65B3" w14:textId="77777777" w:rsidR="006F327F" w:rsidRDefault="00336BF5">
            <w:r>
              <w:rPr>
                <w:sz w:val="16"/>
              </w:rPr>
              <w:t>Policy governance layer</w:t>
            </w:r>
          </w:p>
        </w:tc>
        <w:tc>
          <w:tcPr>
            <w:tcW w:w="3293" w:type="dxa"/>
            <w:vAlign w:val="center"/>
          </w:tcPr>
          <w:p w14:paraId="0CA95F38" w14:textId="77777777" w:rsidR="006F327F" w:rsidRDefault="00336BF5">
            <w:r>
              <w:rPr>
                <w:sz w:val="16"/>
              </w:rPr>
              <w:t>Machine-executable policies and compliance constraints</w:t>
            </w:r>
          </w:p>
        </w:tc>
        <w:tc>
          <w:tcPr>
            <w:tcW w:w="3293" w:type="dxa"/>
            <w:vAlign w:val="center"/>
          </w:tcPr>
          <w:p w14:paraId="58B69CFE" w14:textId="77777777" w:rsidR="006F327F" w:rsidRDefault="00336BF5">
            <w:r>
              <w:rPr>
                <w:sz w:val="16"/>
              </w:rPr>
              <w:t>Policy catalog and rule definitions</w:t>
            </w:r>
          </w:p>
        </w:tc>
      </w:tr>
      <w:tr w:rsidR="006F327F" w14:paraId="34F9E97D" w14:textId="77777777">
        <w:trPr>
          <w:jc w:val="center"/>
        </w:trPr>
        <w:tc>
          <w:tcPr>
            <w:tcW w:w="3293" w:type="dxa"/>
            <w:vAlign w:val="center"/>
          </w:tcPr>
          <w:p w14:paraId="68292495" w14:textId="77777777" w:rsidR="006F327F" w:rsidRDefault="00336BF5">
            <w:r>
              <w:rPr>
                <w:sz w:val="16"/>
              </w:rPr>
              <w:t>Tool registry</w:t>
            </w:r>
          </w:p>
        </w:tc>
        <w:tc>
          <w:tcPr>
            <w:tcW w:w="3293" w:type="dxa"/>
            <w:vAlign w:val="center"/>
          </w:tcPr>
          <w:p w14:paraId="0D6D67BC" w14:textId="77777777" w:rsidR="006F327F" w:rsidRDefault="00336BF5">
            <w:r>
              <w:rPr>
                <w:sz w:val="16"/>
              </w:rPr>
              <w:t>Purpose, schema, permission, sensitivity, logging metadata</w:t>
            </w:r>
          </w:p>
        </w:tc>
        <w:tc>
          <w:tcPr>
            <w:tcW w:w="3293" w:type="dxa"/>
            <w:vAlign w:val="center"/>
          </w:tcPr>
          <w:p w14:paraId="39315796" w14:textId="77777777" w:rsidR="006F327F" w:rsidRDefault="00336BF5">
            <w:r>
              <w:rPr>
                <w:sz w:val="16"/>
              </w:rPr>
              <w:t>Tool catalog and entitlement map</w:t>
            </w:r>
          </w:p>
        </w:tc>
      </w:tr>
      <w:tr w:rsidR="006F327F" w14:paraId="77CD272E" w14:textId="77777777">
        <w:trPr>
          <w:jc w:val="center"/>
        </w:trPr>
        <w:tc>
          <w:tcPr>
            <w:tcW w:w="3293" w:type="dxa"/>
            <w:vAlign w:val="center"/>
          </w:tcPr>
          <w:p w14:paraId="727F2BA3" w14:textId="77777777" w:rsidR="006F327F" w:rsidRDefault="00336BF5">
            <w:r>
              <w:rPr>
                <w:sz w:val="16"/>
              </w:rPr>
              <w:t>Human oversight framework</w:t>
            </w:r>
          </w:p>
        </w:tc>
        <w:tc>
          <w:tcPr>
            <w:tcW w:w="3293" w:type="dxa"/>
            <w:vAlign w:val="center"/>
          </w:tcPr>
          <w:p w14:paraId="13B9F425" w14:textId="77777777" w:rsidR="006F327F" w:rsidRDefault="00336BF5">
            <w:r>
              <w:rPr>
                <w:sz w:val="16"/>
              </w:rPr>
              <w:t>Designated approvers for high-risk actions</w:t>
            </w:r>
          </w:p>
        </w:tc>
        <w:tc>
          <w:tcPr>
            <w:tcW w:w="3293" w:type="dxa"/>
            <w:vAlign w:val="center"/>
          </w:tcPr>
          <w:p w14:paraId="5FD7E085" w14:textId="77777777" w:rsidR="006F327F" w:rsidRDefault="00336BF5">
            <w:r>
              <w:rPr>
                <w:sz w:val="16"/>
              </w:rPr>
              <w:t>Escalation matrix</w:t>
            </w:r>
          </w:p>
        </w:tc>
      </w:tr>
      <w:tr w:rsidR="006F327F" w14:paraId="6B15A972" w14:textId="77777777">
        <w:trPr>
          <w:jc w:val="center"/>
        </w:trPr>
        <w:tc>
          <w:tcPr>
            <w:tcW w:w="3293" w:type="dxa"/>
            <w:vAlign w:val="center"/>
          </w:tcPr>
          <w:p w14:paraId="1464F9E3" w14:textId="77777777" w:rsidR="006F327F" w:rsidRDefault="00336BF5">
            <w:r>
              <w:rPr>
                <w:sz w:val="16"/>
              </w:rPr>
              <w:t>Audit and traceability controls</w:t>
            </w:r>
          </w:p>
        </w:tc>
        <w:tc>
          <w:tcPr>
            <w:tcW w:w="3293" w:type="dxa"/>
            <w:vAlign w:val="center"/>
          </w:tcPr>
          <w:p w14:paraId="00D33BC8" w14:textId="77777777" w:rsidR="006F327F" w:rsidRDefault="00336BF5">
            <w:r>
              <w:rPr>
                <w:sz w:val="16"/>
              </w:rPr>
              <w:t>Complete decision, evidence, approval, action lineage</w:t>
            </w:r>
          </w:p>
        </w:tc>
        <w:tc>
          <w:tcPr>
            <w:tcW w:w="3293" w:type="dxa"/>
            <w:vAlign w:val="center"/>
          </w:tcPr>
          <w:p w14:paraId="42A9119E" w14:textId="77777777" w:rsidR="006F327F" w:rsidRDefault="00336BF5">
            <w:r>
              <w:rPr>
                <w:sz w:val="16"/>
              </w:rPr>
              <w:t>Audit logs and trace graphs</w:t>
            </w:r>
          </w:p>
        </w:tc>
      </w:tr>
      <w:tr w:rsidR="006F327F" w14:paraId="531A3347" w14:textId="77777777">
        <w:trPr>
          <w:jc w:val="center"/>
        </w:trPr>
        <w:tc>
          <w:tcPr>
            <w:tcW w:w="3293" w:type="dxa"/>
            <w:vAlign w:val="center"/>
          </w:tcPr>
          <w:p w14:paraId="391277EB" w14:textId="77777777" w:rsidR="006F327F" w:rsidRDefault="00336BF5">
            <w:r>
              <w:rPr>
                <w:sz w:val="16"/>
              </w:rPr>
              <w:t>Monitoring and assurance</w:t>
            </w:r>
          </w:p>
        </w:tc>
        <w:tc>
          <w:tcPr>
            <w:tcW w:w="3293" w:type="dxa"/>
            <w:vAlign w:val="center"/>
          </w:tcPr>
          <w:p w14:paraId="148F55CE" w14:textId="77777777" w:rsidR="006F327F" w:rsidRDefault="00336BF5">
            <w:r>
              <w:rPr>
                <w:sz w:val="16"/>
              </w:rPr>
              <w:t>Drift, override, latency, control-performance tracking</w:t>
            </w:r>
          </w:p>
        </w:tc>
        <w:tc>
          <w:tcPr>
            <w:tcW w:w="3293" w:type="dxa"/>
            <w:vAlign w:val="center"/>
          </w:tcPr>
          <w:p w14:paraId="59DB74BC" w14:textId="77777777" w:rsidR="006F327F" w:rsidRDefault="00336BF5">
            <w:r>
              <w:rPr>
                <w:sz w:val="16"/>
              </w:rPr>
              <w:t>Dashboards and KPI reports</w:t>
            </w:r>
          </w:p>
        </w:tc>
      </w:tr>
    </w:tbl>
    <w:p w14:paraId="08A9574A" w14:textId="77777777" w:rsidR="00336BF5" w:rsidRDefault="00336BF5"/>
    <w:sectPr w:rsidR="00336BF5" w:rsidSect="00034616">
      <w:footerReference w:type="default" r:id="rId8"/>
      <w:pgSz w:w="12240" w:h="15840"/>
      <w:pgMar w:top="1037" w:right="1181" w:bottom="1037" w:left="118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BFFF2" w14:textId="77777777" w:rsidR="00336BF5" w:rsidRDefault="00336BF5">
      <w:pPr>
        <w:spacing w:after="0" w:line="240" w:lineRule="auto"/>
      </w:pPr>
      <w:r>
        <w:separator/>
      </w:r>
    </w:p>
  </w:endnote>
  <w:endnote w:type="continuationSeparator" w:id="0">
    <w:p w14:paraId="30A2E242" w14:textId="77777777" w:rsidR="00336BF5" w:rsidRDefault="00336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80ED" w14:textId="77777777" w:rsidR="006F327F" w:rsidRDefault="006F3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9BB2C" w14:textId="77777777" w:rsidR="00336BF5" w:rsidRDefault="00336BF5">
      <w:pPr>
        <w:spacing w:after="0" w:line="240" w:lineRule="auto"/>
      </w:pPr>
      <w:r>
        <w:separator/>
      </w:r>
    </w:p>
  </w:footnote>
  <w:footnote w:type="continuationSeparator" w:id="0">
    <w:p w14:paraId="358ACDDA" w14:textId="77777777" w:rsidR="00336BF5" w:rsidRDefault="00336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8155423">
    <w:abstractNumId w:val="8"/>
  </w:num>
  <w:num w:numId="2" w16cid:durableId="151917666">
    <w:abstractNumId w:val="6"/>
  </w:num>
  <w:num w:numId="3" w16cid:durableId="796024352">
    <w:abstractNumId w:val="5"/>
  </w:num>
  <w:num w:numId="4" w16cid:durableId="284890828">
    <w:abstractNumId w:val="4"/>
  </w:num>
  <w:num w:numId="5" w16cid:durableId="1929533370">
    <w:abstractNumId w:val="7"/>
  </w:num>
  <w:num w:numId="6" w16cid:durableId="542056626">
    <w:abstractNumId w:val="3"/>
  </w:num>
  <w:num w:numId="7" w16cid:durableId="1590583051">
    <w:abstractNumId w:val="2"/>
  </w:num>
  <w:num w:numId="8" w16cid:durableId="1890145033">
    <w:abstractNumId w:val="1"/>
  </w:num>
  <w:num w:numId="9" w16cid:durableId="620962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111"/>
    <w:rsid w:val="0015074B"/>
    <w:rsid w:val="0029639D"/>
    <w:rsid w:val="00326F90"/>
    <w:rsid w:val="00336BF5"/>
    <w:rsid w:val="003654E3"/>
    <w:rsid w:val="006F327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5C2E3FD6-5759-4450-A5D2-DB069AB3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7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i/>
      <w:color w:val="4F81BD" w:themeColor="accent1"/>
      <w:sz w:val="17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3661</Characters>
  <Application>Microsoft Office Word</Application>
  <DocSecurity>0</DocSecurity>
  <Lines>101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Abhradeep Chatterjee</dc:creator>
  <cp:keywords/>
  <dc:description>generated by python-docx</dc:description>
  <cp:lastModifiedBy>Abhradeep Chatterjee</cp:lastModifiedBy>
  <cp:revision>2</cp:revision>
  <dcterms:created xsi:type="dcterms:W3CDTF">2026-07-30T19:15:00Z</dcterms:created>
  <dcterms:modified xsi:type="dcterms:W3CDTF">2026-07-30T19:15:00Z</dcterms:modified>
  <cp:category/>
</cp:coreProperties>
</file>