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10D4" w14:textId="77777777" w:rsidR="00162A7B" w:rsidRDefault="00162A7B" w:rsidP="00D819E3">
      <w:pPr>
        <w:rPr>
          <w:b/>
          <w:bCs w:val="0"/>
        </w:rPr>
      </w:pPr>
    </w:p>
    <w:p w14:paraId="2E90B845" w14:textId="2481E107" w:rsidR="00DB7154" w:rsidRPr="001E18FC" w:rsidRDefault="00DB7154" w:rsidP="001C7EDA">
      <w:pPr>
        <w:spacing w:line="240" w:lineRule="auto"/>
        <w:rPr>
          <w:lang w:val="en-US"/>
        </w:rPr>
      </w:pPr>
    </w:p>
    <w:p w14:paraId="1C81EF83" w14:textId="77777777" w:rsidR="002E51B7" w:rsidRDefault="002E51B7" w:rsidP="00B330D4">
      <w:pPr>
        <w:rPr>
          <w:color w:val="000000" w:themeColor="text1"/>
        </w:rPr>
      </w:pPr>
    </w:p>
    <w:tbl>
      <w:tblPr>
        <w:tblW w:w="15877" w:type="dxa"/>
        <w:tblInd w:w="-8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458"/>
        <w:gridCol w:w="1430"/>
        <w:gridCol w:w="1219"/>
        <w:gridCol w:w="1270"/>
        <w:gridCol w:w="1809"/>
        <w:gridCol w:w="1648"/>
        <w:gridCol w:w="1647"/>
        <w:gridCol w:w="1708"/>
        <w:gridCol w:w="2155"/>
        <w:gridCol w:w="1533"/>
      </w:tblGrid>
      <w:tr w:rsidR="002E51B7" w:rsidRPr="001E18FC" w14:paraId="7FE94AD8" w14:textId="77777777" w:rsidTr="00B330D4">
        <w:trPr>
          <w:trHeight w:val="228"/>
        </w:trPr>
        <w:tc>
          <w:tcPr>
            <w:tcW w:w="1541" w:type="dxa"/>
            <w:tcMar>
              <w:top w:w="100" w:type="dxa"/>
              <w:left w:w="100" w:type="dxa"/>
              <w:bottom w:w="100" w:type="dxa"/>
              <w:right w:w="100" w:type="dxa"/>
            </w:tcMar>
            <w:hideMark/>
          </w:tcPr>
          <w:p w14:paraId="3FCE40F1" w14:textId="77777777" w:rsidR="002E51B7" w:rsidRPr="001E18FC" w:rsidRDefault="002E51B7" w:rsidP="002E3318">
            <w:pPr>
              <w:spacing w:line="240" w:lineRule="auto"/>
              <w:rPr>
                <w:b/>
              </w:rPr>
            </w:pPr>
            <w:r w:rsidRPr="001E18FC">
              <w:rPr>
                <w:b/>
              </w:rPr>
              <w:t>Study ID</w:t>
            </w:r>
          </w:p>
        </w:tc>
        <w:tc>
          <w:tcPr>
            <w:tcW w:w="1436" w:type="dxa"/>
            <w:tcMar>
              <w:top w:w="100" w:type="dxa"/>
              <w:left w:w="100" w:type="dxa"/>
              <w:bottom w:w="100" w:type="dxa"/>
              <w:right w:w="100" w:type="dxa"/>
            </w:tcMar>
            <w:hideMark/>
          </w:tcPr>
          <w:p w14:paraId="669E3AE9" w14:textId="77777777" w:rsidR="002E51B7" w:rsidRPr="001E18FC" w:rsidRDefault="002E51B7" w:rsidP="002E3318">
            <w:pPr>
              <w:spacing w:line="240" w:lineRule="auto"/>
              <w:rPr>
                <w:b/>
              </w:rPr>
            </w:pPr>
            <w:r w:rsidRPr="001E18FC">
              <w:rPr>
                <w:b/>
              </w:rPr>
              <w:t>Author, year</w:t>
            </w:r>
          </w:p>
        </w:tc>
        <w:tc>
          <w:tcPr>
            <w:tcW w:w="1242" w:type="dxa"/>
            <w:tcMar>
              <w:top w:w="100" w:type="dxa"/>
              <w:left w:w="100" w:type="dxa"/>
              <w:bottom w:w="100" w:type="dxa"/>
              <w:right w:w="100" w:type="dxa"/>
            </w:tcMar>
            <w:hideMark/>
          </w:tcPr>
          <w:p w14:paraId="5F46E2EC" w14:textId="77777777" w:rsidR="002E51B7" w:rsidRPr="001E18FC" w:rsidRDefault="002E51B7" w:rsidP="002E3318">
            <w:pPr>
              <w:spacing w:line="240" w:lineRule="auto"/>
              <w:rPr>
                <w:b/>
              </w:rPr>
            </w:pPr>
            <w:r w:rsidRPr="001E18FC">
              <w:rPr>
                <w:b/>
              </w:rPr>
              <w:t>Country</w:t>
            </w:r>
          </w:p>
        </w:tc>
        <w:tc>
          <w:tcPr>
            <w:tcW w:w="1296" w:type="dxa"/>
            <w:tcMar>
              <w:top w:w="100" w:type="dxa"/>
              <w:left w:w="100" w:type="dxa"/>
              <w:bottom w:w="100" w:type="dxa"/>
              <w:right w:w="100" w:type="dxa"/>
            </w:tcMar>
            <w:hideMark/>
          </w:tcPr>
          <w:p w14:paraId="3D7C4F40" w14:textId="77777777" w:rsidR="002E51B7" w:rsidRPr="001E18FC" w:rsidRDefault="002E51B7" w:rsidP="002E3318">
            <w:pPr>
              <w:spacing w:line="240" w:lineRule="auto"/>
              <w:rPr>
                <w:b/>
              </w:rPr>
            </w:pPr>
            <w:r w:rsidRPr="001E18FC">
              <w:rPr>
                <w:b/>
              </w:rPr>
              <w:t>Study design and data source</w:t>
            </w:r>
          </w:p>
        </w:tc>
        <w:tc>
          <w:tcPr>
            <w:tcW w:w="1816" w:type="dxa"/>
            <w:tcMar>
              <w:top w:w="100" w:type="dxa"/>
              <w:left w:w="100" w:type="dxa"/>
              <w:bottom w:w="100" w:type="dxa"/>
              <w:right w:w="100" w:type="dxa"/>
            </w:tcMar>
            <w:hideMark/>
          </w:tcPr>
          <w:p w14:paraId="64F92A15" w14:textId="77777777" w:rsidR="002E51B7" w:rsidRPr="001E18FC" w:rsidRDefault="002E51B7" w:rsidP="002E3318">
            <w:pPr>
              <w:spacing w:line="240" w:lineRule="auto"/>
              <w:rPr>
                <w:b/>
              </w:rPr>
            </w:pPr>
            <w:r w:rsidRPr="001E18FC">
              <w:rPr>
                <w:b/>
              </w:rPr>
              <w:t>Population characteristics (sample size and ethnicity age, diagnosis) </w:t>
            </w:r>
          </w:p>
        </w:tc>
        <w:tc>
          <w:tcPr>
            <w:tcW w:w="1663" w:type="dxa"/>
            <w:tcMar>
              <w:top w:w="100" w:type="dxa"/>
              <w:left w:w="100" w:type="dxa"/>
              <w:bottom w:w="100" w:type="dxa"/>
              <w:right w:w="100" w:type="dxa"/>
            </w:tcMar>
            <w:hideMark/>
          </w:tcPr>
          <w:p w14:paraId="45D04DAE" w14:textId="77777777" w:rsidR="002E51B7" w:rsidRPr="001E18FC" w:rsidRDefault="002E51B7" w:rsidP="002E3318">
            <w:pPr>
              <w:spacing w:line="240" w:lineRule="auto"/>
              <w:rPr>
                <w:b/>
              </w:rPr>
            </w:pPr>
            <w:r w:rsidRPr="001E18FC">
              <w:rPr>
                <w:b/>
              </w:rPr>
              <w:t>Aims</w:t>
            </w:r>
          </w:p>
        </w:tc>
        <w:tc>
          <w:tcPr>
            <w:tcW w:w="1666" w:type="dxa"/>
            <w:tcMar>
              <w:top w:w="100" w:type="dxa"/>
              <w:left w:w="100" w:type="dxa"/>
              <w:bottom w:w="100" w:type="dxa"/>
              <w:right w:w="100" w:type="dxa"/>
            </w:tcMar>
            <w:hideMark/>
          </w:tcPr>
          <w:p w14:paraId="6340F52F" w14:textId="77777777" w:rsidR="002E51B7" w:rsidRPr="001E18FC" w:rsidRDefault="002E51B7" w:rsidP="002E3318">
            <w:pPr>
              <w:spacing w:line="240" w:lineRule="auto"/>
              <w:rPr>
                <w:b/>
              </w:rPr>
            </w:pPr>
            <w:r w:rsidRPr="001E18FC">
              <w:rPr>
                <w:b/>
              </w:rPr>
              <w:t>Medication included in the study</w:t>
            </w:r>
          </w:p>
        </w:tc>
        <w:tc>
          <w:tcPr>
            <w:tcW w:w="1715" w:type="dxa"/>
            <w:tcMar>
              <w:top w:w="100" w:type="dxa"/>
              <w:left w:w="100" w:type="dxa"/>
              <w:bottom w:w="100" w:type="dxa"/>
              <w:right w:w="100" w:type="dxa"/>
            </w:tcMar>
            <w:hideMark/>
          </w:tcPr>
          <w:p w14:paraId="4E0AF845" w14:textId="77777777" w:rsidR="002E51B7" w:rsidRPr="001E18FC" w:rsidRDefault="002E51B7" w:rsidP="002E3318">
            <w:pPr>
              <w:spacing w:line="240" w:lineRule="auto"/>
              <w:rPr>
                <w:b/>
              </w:rPr>
            </w:pPr>
            <w:r w:rsidRPr="001E18FC">
              <w:rPr>
                <w:b/>
              </w:rPr>
              <w:t>Comparison</w:t>
            </w:r>
          </w:p>
        </w:tc>
        <w:tc>
          <w:tcPr>
            <w:tcW w:w="2235" w:type="dxa"/>
            <w:tcMar>
              <w:top w:w="100" w:type="dxa"/>
              <w:left w:w="100" w:type="dxa"/>
              <w:bottom w:w="100" w:type="dxa"/>
              <w:right w:w="100" w:type="dxa"/>
            </w:tcMar>
            <w:hideMark/>
          </w:tcPr>
          <w:p w14:paraId="15E353FF" w14:textId="77777777" w:rsidR="002E51B7" w:rsidRPr="001E18FC" w:rsidRDefault="002E51B7" w:rsidP="002E3318">
            <w:pPr>
              <w:spacing w:line="240" w:lineRule="auto"/>
              <w:rPr>
                <w:b/>
              </w:rPr>
            </w:pPr>
            <w:r w:rsidRPr="001E18FC">
              <w:rPr>
                <w:b/>
              </w:rPr>
              <w:t>Main findings </w:t>
            </w:r>
          </w:p>
        </w:tc>
        <w:tc>
          <w:tcPr>
            <w:tcW w:w="1267" w:type="dxa"/>
            <w:tcMar>
              <w:top w:w="100" w:type="dxa"/>
              <w:left w:w="100" w:type="dxa"/>
              <w:bottom w:w="100" w:type="dxa"/>
              <w:right w:w="100" w:type="dxa"/>
            </w:tcMar>
            <w:hideMark/>
          </w:tcPr>
          <w:p w14:paraId="4D1A2AD0" w14:textId="77777777" w:rsidR="002E51B7" w:rsidRPr="001E18FC" w:rsidRDefault="002E51B7" w:rsidP="002E3318">
            <w:pPr>
              <w:spacing w:line="240" w:lineRule="auto"/>
              <w:rPr>
                <w:b/>
              </w:rPr>
            </w:pPr>
            <w:r w:rsidRPr="001E18FC">
              <w:rPr>
                <w:b/>
              </w:rPr>
              <w:t>Limitations</w:t>
            </w:r>
          </w:p>
        </w:tc>
      </w:tr>
      <w:tr w:rsidR="002E51B7" w:rsidRPr="001E18FC" w14:paraId="05A4B1F3" w14:textId="77777777" w:rsidTr="00B330D4">
        <w:trPr>
          <w:trHeight w:val="1156"/>
        </w:trPr>
        <w:tc>
          <w:tcPr>
            <w:tcW w:w="1541" w:type="dxa"/>
            <w:tcMar>
              <w:top w:w="100" w:type="dxa"/>
              <w:left w:w="100" w:type="dxa"/>
              <w:bottom w:w="100" w:type="dxa"/>
              <w:right w:w="100" w:type="dxa"/>
            </w:tcMar>
            <w:hideMark/>
          </w:tcPr>
          <w:p w14:paraId="33E94624" w14:textId="77777777" w:rsidR="002E51B7" w:rsidRPr="001E18FC" w:rsidRDefault="002E51B7" w:rsidP="002E3318">
            <w:pPr>
              <w:spacing w:line="240" w:lineRule="auto"/>
              <w:rPr>
                <w:bCs w:val="0"/>
              </w:rPr>
            </w:pPr>
            <w:r w:rsidRPr="001E18FC">
              <w:rPr>
                <w:bCs w:val="0"/>
              </w:rPr>
              <w:t>1</w:t>
            </w:r>
          </w:p>
        </w:tc>
        <w:tc>
          <w:tcPr>
            <w:tcW w:w="1436" w:type="dxa"/>
            <w:tcMar>
              <w:top w:w="100" w:type="dxa"/>
              <w:left w:w="100" w:type="dxa"/>
              <w:bottom w:w="100" w:type="dxa"/>
              <w:right w:w="100" w:type="dxa"/>
            </w:tcMar>
            <w:hideMark/>
          </w:tcPr>
          <w:p w14:paraId="1734AEB8" w14:textId="77777777" w:rsidR="002E51B7" w:rsidRPr="001E18FC" w:rsidRDefault="002E51B7" w:rsidP="002E3318">
            <w:pPr>
              <w:spacing w:line="240" w:lineRule="auto"/>
              <w:rPr>
                <w:bCs w:val="0"/>
              </w:rPr>
            </w:pPr>
            <w:r w:rsidRPr="001E18FC">
              <w:rPr>
                <w:bCs w:val="0"/>
              </w:rPr>
              <w:t xml:space="preserve">Chudasama et al. </w:t>
            </w:r>
            <w:r>
              <w:rPr>
                <w:bCs w:val="0"/>
              </w:rPr>
              <w:fldChar w:fldCharType="begin"/>
            </w:r>
            <w:r>
              <w:rPr>
                <w:bCs w:val="0"/>
              </w:rPr>
              <w:instrText xml:space="preserve"> ADDIN ZOTERO_ITEM CSL_CITATION {"citationID":"hgf57Kmt","properties":{"formattedCitation":"[27]","plainCitation":"[27]","noteIndex":0},"citationItems":[{"id":503,"uris":["http://zotero.org/users/local/U0NhoMYh/items/K4HAQWJS"],"itemData":{"id":503,"type":"article-journal","abstract":"Abstract Aim To investigate factors associated with delays in receiving glucose-lowering therapy in patients newly diagnosed with type 2 diabetes mellitus (T2DM), and explore the preferential order and time of intensifications. Materials and Methods Retrospective cohort study including 120?409 adults with T2DM initiating first- to fourth-line glucose-lowering therapy in primary care between 2000 and 2018, using the UK Clinical Practice Research Datalink linked to Hospital Episode Statistics, Office of National Statistics death registration, and 2007 Index of Multiple Deprivation data. Associations were investigated using time-to-event analysis. Results The longest delays to prescription of first-line therapy were observed in older patients, of black or other ethnicities, and with multimorbidity. People from the most deprived areas received earlier first-line treatment than those from the least deprived areas. The majority were treated with metformin (82.4%) as the first-line prescription, sulphonylurea (50.4%) as second-line, dipeptidyl peptidase-4 inhibitor (27.7%) as third-line, and insulin (28.0%) as fourth-line. In the past 5?years, there was an increase in prescriptions of dipeptidyl peptidase-4-inhibitor and sodium-glucose transport protein-2 inhibitor. The median time was 0.5?years for first-line prescription, 4.1 for second-line, 4.6 for third-line and 4.7 for fourth-line. After T2DM diagnosis, 25% of patients developed cardiovascular disease and non-cardiovascular disease complications within a median time of 12-14?years, and received intensification 5-6?years later. Conclusions Within the complex challenges of managing blood glucose levels and risk of additional comorbidities, future health care research and guidelines should focus on overcoming therapeutic inertia particularly at an earlier stage for older patients, from ethnic minorities and with multimorbidities.","container-title":"Diabetes, Obesity and Metabolism","DOI":"10.1111/dom.14482","ISSN":"1462-8902","issue":"11","note":"publisher: John Wiley &amp; Sons, Ltd","page":"2437-2445","source":"dom-pubs.pericles-prod.literatumonline.com (Atypon)","title":"Ethnic, social and multimorbidity disparities in therapeutic inertia: A UK primary care observational study in patients newly diagnosed with type 2 diabetes","title-short":"Ethnic, social and multimorbidity disparities in therapeutic inertia","volume":"23","author":[{"family":"Chudasama","given":"Yogini V."},{"family":"Zaccardi","given":"Francesco"},{"family":"Coles","given":"Briana"},{"family":"Gillies","given":"Clare L."},{"family":"Hvid","given":"Christian"},{"family":"Seidu","given":"Samuel"},{"family":"Davies","given":"Melanie J."},{"family":"Khunti","given":"Kamlesh"}],"issued":{"date-parts":[["2021",11]]}}}],"schema":"https://github.com/citation-style-language/schema/raw/master/csl-citation.json"} </w:instrText>
            </w:r>
            <w:r>
              <w:rPr>
                <w:bCs w:val="0"/>
              </w:rPr>
              <w:fldChar w:fldCharType="separate"/>
            </w:r>
            <w:r>
              <w:rPr>
                <w:bCs w:val="0"/>
                <w:noProof/>
              </w:rPr>
              <w:t>[27]</w:t>
            </w:r>
            <w:r>
              <w:rPr>
                <w:bCs w:val="0"/>
              </w:rPr>
              <w:fldChar w:fldCharType="end"/>
            </w:r>
          </w:p>
        </w:tc>
        <w:tc>
          <w:tcPr>
            <w:tcW w:w="1242" w:type="dxa"/>
            <w:tcMar>
              <w:top w:w="100" w:type="dxa"/>
              <w:left w:w="100" w:type="dxa"/>
              <w:bottom w:w="100" w:type="dxa"/>
              <w:right w:w="100" w:type="dxa"/>
            </w:tcMar>
            <w:hideMark/>
          </w:tcPr>
          <w:p w14:paraId="5B1F81F0" w14:textId="77777777" w:rsidR="002E51B7" w:rsidRPr="001E18FC" w:rsidRDefault="002E51B7" w:rsidP="002E3318">
            <w:pPr>
              <w:spacing w:line="240" w:lineRule="auto"/>
              <w:rPr>
                <w:bCs w:val="0"/>
              </w:rPr>
            </w:pPr>
            <w:r w:rsidRPr="001E18FC">
              <w:rPr>
                <w:bCs w:val="0"/>
              </w:rPr>
              <w:t>UK</w:t>
            </w:r>
          </w:p>
        </w:tc>
        <w:tc>
          <w:tcPr>
            <w:tcW w:w="1296" w:type="dxa"/>
            <w:tcMar>
              <w:top w:w="100" w:type="dxa"/>
              <w:left w:w="100" w:type="dxa"/>
              <w:bottom w:w="100" w:type="dxa"/>
              <w:right w:w="100" w:type="dxa"/>
            </w:tcMar>
            <w:hideMark/>
          </w:tcPr>
          <w:p w14:paraId="62C8BDC2" w14:textId="77777777" w:rsidR="002E51B7" w:rsidRPr="001E18FC" w:rsidRDefault="002E51B7" w:rsidP="002E3318">
            <w:pPr>
              <w:spacing w:line="240" w:lineRule="auto"/>
              <w:rPr>
                <w:bCs w:val="0"/>
              </w:rPr>
            </w:pPr>
            <w:r w:rsidRPr="001E18FC">
              <w:rPr>
                <w:bCs w:val="0"/>
              </w:rPr>
              <w:t>Cohort study, Data taken from the CRPD</w:t>
            </w:r>
          </w:p>
        </w:tc>
        <w:tc>
          <w:tcPr>
            <w:tcW w:w="1816" w:type="dxa"/>
            <w:tcMar>
              <w:top w:w="100" w:type="dxa"/>
              <w:left w:w="100" w:type="dxa"/>
              <w:bottom w:w="100" w:type="dxa"/>
              <w:right w:w="100" w:type="dxa"/>
            </w:tcMar>
            <w:hideMark/>
          </w:tcPr>
          <w:p w14:paraId="4A24B90E" w14:textId="77777777" w:rsidR="002E51B7" w:rsidRPr="001E18FC" w:rsidRDefault="002E51B7" w:rsidP="002E3318">
            <w:pPr>
              <w:spacing w:line="240" w:lineRule="auto"/>
              <w:rPr>
                <w:bCs w:val="0"/>
              </w:rPr>
            </w:pPr>
            <w:r w:rsidRPr="001E18FC">
              <w:rPr>
                <w:bCs w:val="0"/>
              </w:rPr>
              <w:t>N=120,409 </w:t>
            </w:r>
          </w:p>
          <w:p w14:paraId="7DDC3868" w14:textId="77777777" w:rsidR="002E51B7" w:rsidRPr="001E18FC" w:rsidRDefault="002E51B7" w:rsidP="002E3318">
            <w:pPr>
              <w:spacing w:line="240" w:lineRule="auto"/>
              <w:rPr>
                <w:bCs w:val="0"/>
              </w:rPr>
            </w:pPr>
            <w:r w:rsidRPr="001E18FC">
              <w:rPr>
                <w:bCs w:val="0"/>
              </w:rPr>
              <w:t>(91.8% White, 5% South Asian, 2.2% Black, 1.1% Other ethnicities)</w:t>
            </w:r>
          </w:p>
          <w:p w14:paraId="046CE452" w14:textId="77777777" w:rsidR="002E51B7" w:rsidRPr="001E18FC" w:rsidRDefault="002E51B7" w:rsidP="002E3318">
            <w:pPr>
              <w:spacing w:line="240" w:lineRule="auto"/>
              <w:rPr>
                <w:bCs w:val="0"/>
              </w:rPr>
            </w:pPr>
            <w:r w:rsidRPr="001E18FC">
              <w:rPr>
                <w:bCs w:val="0"/>
              </w:rPr>
              <w:t> </w:t>
            </w:r>
          </w:p>
          <w:p w14:paraId="607FDEE6" w14:textId="77777777" w:rsidR="002E51B7" w:rsidRPr="001E18FC" w:rsidRDefault="002E51B7" w:rsidP="002E3318">
            <w:pPr>
              <w:spacing w:line="240" w:lineRule="auto"/>
              <w:rPr>
                <w:bCs w:val="0"/>
              </w:rPr>
            </w:pPr>
            <w:r w:rsidRPr="001E18FC">
              <w:rPr>
                <w:bCs w:val="0"/>
              </w:rPr>
              <w:t>Age &gt;= 18</w:t>
            </w:r>
          </w:p>
          <w:p w14:paraId="249717D7" w14:textId="77777777" w:rsidR="002E51B7" w:rsidRPr="001E18FC" w:rsidRDefault="002E51B7" w:rsidP="002E3318">
            <w:pPr>
              <w:spacing w:line="240" w:lineRule="auto"/>
              <w:rPr>
                <w:bCs w:val="0"/>
              </w:rPr>
            </w:pPr>
            <w:r w:rsidRPr="001E18FC">
              <w:rPr>
                <w:bCs w:val="0"/>
              </w:rPr>
              <w:t>Mean age = 63.5</w:t>
            </w:r>
          </w:p>
          <w:p w14:paraId="537A575D" w14:textId="77777777" w:rsidR="002E51B7" w:rsidRPr="001E18FC" w:rsidRDefault="002E51B7" w:rsidP="002E3318">
            <w:pPr>
              <w:spacing w:line="240" w:lineRule="auto"/>
              <w:rPr>
                <w:bCs w:val="0"/>
              </w:rPr>
            </w:pPr>
            <w:r w:rsidRPr="001E18FC">
              <w:rPr>
                <w:bCs w:val="0"/>
              </w:rPr>
              <w:t> </w:t>
            </w:r>
          </w:p>
          <w:p w14:paraId="177676D6" w14:textId="77777777" w:rsidR="002E51B7" w:rsidRPr="001E18FC" w:rsidRDefault="002E51B7" w:rsidP="002E3318">
            <w:pPr>
              <w:spacing w:line="240" w:lineRule="auto"/>
              <w:rPr>
                <w:bCs w:val="0"/>
              </w:rPr>
            </w:pPr>
            <w:r w:rsidRPr="001E18FC">
              <w:rPr>
                <w:bCs w:val="0"/>
              </w:rPr>
              <w:t>Patients newly diagnosed with T2DM from 2000-2018</w:t>
            </w:r>
          </w:p>
        </w:tc>
        <w:tc>
          <w:tcPr>
            <w:tcW w:w="1663" w:type="dxa"/>
            <w:tcMar>
              <w:top w:w="100" w:type="dxa"/>
              <w:left w:w="100" w:type="dxa"/>
              <w:bottom w:w="100" w:type="dxa"/>
              <w:right w:w="100" w:type="dxa"/>
            </w:tcMar>
            <w:hideMark/>
          </w:tcPr>
          <w:p w14:paraId="36B9A05F" w14:textId="77777777" w:rsidR="002E51B7" w:rsidRPr="001E18FC" w:rsidRDefault="002E51B7" w:rsidP="002E3318">
            <w:pPr>
              <w:spacing w:line="240" w:lineRule="auto"/>
              <w:rPr>
                <w:bCs w:val="0"/>
              </w:rPr>
            </w:pPr>
            <w:r w:rsidRPr="001E18FC">
              <w:rPr>
                <w:bCs w:val="0"/>
              </w:rPr>
              <w:t>Exploring the factors associated with delays in initiating and intensifying T2DM treatment based on ethnic group</w:t>
            </w:r>
          </w:p>
        </w:tc>
        <w:tc>
          <w:tcPr>
            <w:tcW w:w="1666" w:type="dxa"/>
            <w:tcMar>
              <w:top w:w="100" w:type="dxa"/>
              <w:left w:w="100" w:type="dxa"/>
              <w:bottom w:w="100" w:type="dxa"/>
              <w:right w:w="100" w:type="dxa"/>
            </w:tcMar>
            <w:hideMark/>
          </w:tcPr>
          <w:p w14:paraId="0A4A31EF" w14:textId="77777777" w:rsidR="002E51B7" w:rsidRPr="001E18FC" w:rsidRDefault="002E51B7" w:rsidP="002E3318">
            <w:pPr>
              <w:spacing w:line="240" w:lineRule="auto"/>
              <w:rPr>
                <w:bCs w:val="0"/>
              </w:rPr>
            </w:pPr>
            <w:r w:rsidRPr="001E18FC">
              <w:rPr>
                <w:bCs w:val="0"/>
              </w:rPr>
              <w:t>Older non-insulin medications:</w:t>
            </w:r>
          </w:p>
          <w:p w14:paraId="5B6A53FF" w14:textId="77777777" w:rsidR="002E51B7" w:rsidRPr="001E18FC" w:rsidRDefault="002E51B7" w:rsidP="002E3318">
            <w:pPr>
              <w:spacing w:line="240" w:lineRule="auto"/>
              <w:rPr>
                <w:bCs w:val="0"/>
              </w:rPr>
            </w:pPr>
            <w:r w:rsidRPr="001E18FC">
              <w:rPr>
                <w:bCs w:val="0"/>
              </w:rPr>
              <w:t>Metformin </w:t>
            </w:r>
          </w:p>
          <w:p w14:paraId="192543FE" w14:textId="77777777" w:rsidR="002E51B7" w:rsidRPr="001E18FC" w:rsidRDefault="002E51B7" w:rsidP="002E3318">
            <w:pPr>
              <w:spacing w:line="240" w:lineRule="auto"/>
              <w:rPr>
                <w:bCs w:val="0"/>
              </w:rPr>
            </w:pPr>
            <w:r w:rsidRPr="001E18FC">
              <w:rPr>
                <w:bCs w:val="0"/>
              </w:rPr>
              <w:t>SU</w:t>
            </w:r>
          </w:p>
          <w:p w14:paraId="45AE1F65" w14:textId="77777777" w:rsidR="002E51B7" w:rsidRPr="001E18FC" w:rsidRDefault="002E51B7" w:rsidP="002E3318">
            <w:pPr>
              <w:spacing w:line="240" w:lineRule="auto"/>
              <w:rPr>
                <w:bCs w:val="0"/>
              </w:rPr>
            </w:pPr>
            <w:r w:rsidRPr="001E18FC">
              <w:rPr>
                <w:bCs w:val="0"/>
              </w:rPr>
              <w:t>Meglitinides</w:t>
            </w:r>
          </w:p>
          <w:p w14:paraId="43F74167" w14:textId="77777777" w:rsidR="002E51B7" w:rsidRPr="001E18FC" w:rsidRDefault="002E51B7" w:rsidP="002E3318">
            <w:pPr>
              <w:spacing w:line="240" w:lineRule="auto"/>
              <w:rPr>
                <w:bCs w:val="0"/>
              </w:rPr>
            </w:pPr>
            <w:r w:rsidRPr="001E18FC">
              <w:rPr>
                <w:bCs w:val="0"/>
              </w:rPr>
              <w:t>TZD</w:t>
            </w:r>
          </w:p>
          <w:p w14:paraId="7F94F2D7" w14:textId="77777777" w:rsidR="002E51B7" w:rsidRPr="001E18FC" w:rsidRDefault="002E51B7" w:rsidP="002E3318">
            <w:pPr>
              <w:spacing w:line="240" w:lineRule="auto"/>
              <w:rPr>
                <w:bCs w:val="0"/>
              </w:rPr>
            </w:pPr>
            <w:r w:rsidRPr="001E18FC">
              <w:rPr>
                <w:bCs w:val="0"/>
              </w:rPr>
              <w:t> </w:t>
            </w:r>
          </w:p>
          <w:p w14:paraId="10352DED" w14:textId="77777777" w:rsidR="002E51B7" w:rsidRPr="001E18FC" w:rsidRDefault="002E51B7" w:rsidP="002E3318">
            <w:pPr>
              <w:spacing w:line="240" w:lineRule="auto"/>
              <w:rPr>
                <w:bCs w:val="0"/>
              </w:rPr>
            </w:pPr>
            <w:r w:rsidRPr="001E18FC">
              <w:rPr>
                <w:bCs w:val="0"/>
              </w:rPr>
              <w:t>New generation medications:</w:t>
            </w:r>
          </w:p>
          <w:p w14:paraId="632F8E53" w14:textId="77777777" w:rsidR="002E51B7" w:rsidRPr="001E18FC" w:rsidRDefault="002E51B7" w:rsidP="002E3318">
            <w:pPr>
              <w:spacing w:line="240" w:lineRule="auto"/>
              <w:rPr>
                <w:bCs w:val="0"/>
              </w:rPr>
            </w:pPr>
            <w:r w:rsidRPr="001E18FC">
              <w:rPr>
                <w:bCs w:val="0"/>
              </w:rPr>
              <w:t>DPP4i</w:t>
            </w:r>
          </w:p>
          <w:p w14:paraId="3273ECF5" w14:textId="77777777" w:rsidR="002E51B7" w:rsidRPr="001E18FC" w:rsidRDefault="002E51B7" w:rsidP="002E3318">
            <w:pPr>
              <w:spacing w:line="240" w:lineRule="auto"/>
              <w:rPr>
                <w:bCs w:val="0"/>
              </w:rPr>
            </w:pPr>
            <w:r w:rsidRPr="001E18FC">
              <w:rPr>
                <w:bCs w:val="0"/>
              </w:rPr>
              <w:t>SGLT2i</w:t>
            </w:r>
          </w:p>
        </w:tc>
        <w:tc>
          <w:tcPr>
            <w:tcW w:w="1715" w:type="dxa"/>
            <w:tcMar>
              <w:top w:w="100" w:type="dxa"/>
              <w:left w:w="100" w:type="dxa"/>
              <w:bottom w:w="100" w:type="dxa"/>
              <w:right w:w="100" w:type="dxa"/>
            </w:tcMar>
            <w:hideMark/>
          </w:tcPr>
          <w:p w14:paraId="24562E93" w14:textId="77777777" w:rsidR="002E51B7" w:rsidRPr="001E18FC" w:rsidRDefault="002E51B7" w:rsidP="002E3318">
            <w:pPr>
              <w:spacing w:line="240" w:lineRule="auto"/>
              <w:rPr>
                <w:bCs w:val="0"/>
              </w:rPr>
            </w:pPr>
            <w:r w:rsidRPr="001E18FC">
              <w:rPr>
                <w:bCs w:val="0"/>
              </w:rPr>
              <w:t>Time to initiation of</w:t>
            </w:r>
          </w:p>
          <w:p w14:paraId="19458064" w14:textId="77777777" w:rsidR="002E51B7" w:rsidRPr="001E18FC" w:rsidRDefault="002E51B7" w:rsidP="002E3318">
            <w:pPr>
              <w:spacing w:line="240" w:lineRule="auto"/>
              <w:rPr>
                <w:bCs w:val="0"/>
              </w:rPr>
            </w:pPr>
            <w:r w:rsidRPr="001E18FC">
              <w:rPr>
                <w:bCs w:val="0"/>
              </w:rPr>
              <w:t>T2DM treatment between White, South Asian, Black and other ethnic groups</w:t>
            </w:r>
          </w:p>
        </w:tc>
        <w:tc>
          <w:tcPr>
            <w:tcW w:w="2235" w:type="dxa"/>
            <w:tcMar>
              <w:top w:w="100" w:type="dxa"/>
              <w:left w:w="100" w:type="dxa"/>
              <w:bottom w:w="100" w:type="dxa"/>
              <w:right w:w="100" w:type="dxa"/>
            </w:tcMar>
            <w:hideMark/>
          </w:tcPr>
          <w:p w14:paraId="1A5B3EA4" w14:textId="77777777" w:rsidR="002E51B7" w:rsidRPr="001E18FC" w:rsidRDefault="002E51B7" w:rsidP="002E3318">
            <w:pPr>
              <w:spacing w:line="240" w:lineRule="auto"/>
              <w:rPr>
                <w:bCs w:val="0"/>
              </w:rPr>
            </w:pPr>
            <w:r w:rsidRPr="001E18FC">
              <w:rPr>
                <w:bCs w:val="0"/>
              </w:rPr>
              <w:t>South Asian individuals had slightly faster median time to first-line therapy initiation (1.41 years (95% Cl [1.30, 1.53]) compared to White patients (1.43 years (95% Cl [1.40,1.46])</w:t>
            </w:r>
          </w:p>
          <w:p w14:paraId="397EE9E7" w14:textId="77777777" w:rsidR="002E51B7" w:rsidRPr="001E18FC" w:rsidRDefault="002E51B7" w:rsidP="002E3318">
            <w:pPr>
              <w:spacing w:line="240" w:lineRule="auto"/>
              <w:rPr>
                <w:bCs w:val="0"/>
              </w:rPr>
            </w:pPr>
            <w:r w:rsidRPr="001E18FC">
              <w:rPr>
                <w:bCs w:val="0"/>
              </w:rPr>
              <w:t xml:space="preserve">Amongst first line therapies used, 82.38% were metformin drugs, 13.34% were SU, 0. 63% were TZD, 0.03% were GLP1-RA’s and 0.03% were SGLT2i but this was </w:t>
            </w:r>
            <w:r w:rsidRPr="001E18FC">
              <w:rPr>
                <w:bCs w:val="0"/>
              </w:rPr>
              <w:lastRenderedPageBreak/>
              <w:t xml:space="preserve">generalized across the cohort </w:t>
            </w:r>
          </w:p>
          <w:p w14:paraId="54E011F7" w14:textId="77777777" w:rsidR="002E51B7" w:rsidRPr="001E18FC" w:rsidRDefault="002E51B7" w:rsidP="002E3318">
            <w:pPr>
              <w:spacing w:line="240" w:lineRule="auto"/>
              <w:rPr>
                <w:bCs w:val="0"/>
              </w:rPr>
            </w:pPr>
          </w:p>
        </w:tc>
        <w:tc>
          <w:tcPr>
            <w:tcW w:w="1267" w:type="dxa"/>
            <w:tcMar>
              <w:top w:w="100" w:type="dxa"/>
              <w:left w:w="100" w:type="dxa"/>
              <w:bottom w:w="100" w:type="dxa"/>
              <w:right w:w="100" w:type="dxa"/>
            </w:tcMar>
            <w:hideMark/>
          </w:tcPr>
          <w:p w14:paraId="331E22C6" w14:textId="77777777" w:rsidR="002E51B7" w:rsidRPr="001E18FC" w:rsidRDefault="002E51B7" w:rsidP="002E3318">
            <w:pPr>
              <w:spacing w:line="240" w:lineRule="auto"/>
              <w:rPr>
                <w:bCs w:val="0"/>
              </w:rPr>
            </w:pPr>
            <w:r w:rsidRPr="001E18FC">
              <w:rPr>
                <w:bCs w:val="0"/>
              </w:rPr>
              <w:lastRenderedPageBreak/>
              <w:t>Data on intensification of new generation medications was generalized across the entire population following first line therapy initiation and not reported according to ethnicity</w:t>
            </w:r>
          </w:p>
          <w:p w14:paraId="2628CAF1" w14:textId="77777777" w:rsidR="002E51B7" w:rsidRPr="001E18FC" w:rsidRDefault="002E51B7" w:rsidP="002E3318">
            <w:pPr>
              <w:spacing w:line="240" w:lineRule="auto"/>
              <w:rPr>
                <w:bCs w:val="0"/>
              </w:rPr>
            </w:pPr>
            <w:r w:rsidRPr="001E18FC">
              <w:rPr>
                <w:bCs w:val="0"/>
              </w:rPr>
              <w:t xml:space="preserve">Specific data on which first line therapies were used, were </w:t>
            </w:r>
            <w:proofErr w:type="gramStart"/>
            <w:r w:rsidRPr="001E18FC">
              <w:rPr>
                <w:bCs w:val="0"/>
              </w:rPr>
              <w:t>not  differentiated</w:t>
            </w:r>
            <w:proofErr w:type="gramEnd"/>
            <w:r w:rsidRPr="001E18FC">
              <w:rPr>
                <w:bCs w:val="0"/>
              </w:rPr>
              <w:t xml:space="preserve"> </w:t>
            </w:r>
            <w:r w:rsidRPr="001E18FC">
              <w:rPr>
                <w:bCs w:val="0"/>
              </w:rPr>
              <w:lastRenderedPageBreak/>
              <w:t>by ethnicity when it came to reporting the time to first line therapy initiation</w:t>
            </w:r>
          </w:p>
          <w:p w14:paraId="05FE3E32" w14:textId="77777777" w:rsidR="002E51B7" w:rsidRPr="001E18FC" w:rsidRDefault="002E51B7" w:rsidP="002E3318">
            <w:pPr>
              <w:spacing w:line="240" w:lineRule="auto"/>
              <w:rPr>
                <w:bCs w:val="0"/>
              </w:rPr>
            </w:pPr>
            <w:r w:rsidRPr="001E18FC">
              <w:rPr>
                <w:bCs w:val="0"/>
              </w:rPr>
              <w:t>It was an observational study, limiting the ability to establish causality</w:t>
            </w:r>
          </w:p>
        </w:tc>
      </w:tr>
      <w:tr w:rsidR="002E51B7" w:rsidRPr="001E18FC" w14:paraId="2C2ACAAF" w14:textId="77777777" w:rsidTr="00B330D4">
        <w:trPr>
          <w:trHeight w:val="1247"/>
        </w:trPr>
        <w:tc>
          <w:tcPr>
            <w:tcW w:w="1541" w:type="dxa"/>
            <w:tcMar>
              <w:top w:w="100" w:type="dxa"/>
              <w:left w:w="100" w:type="dxa"/>
              <w:bottom w:w="100" w:type="dxa"/>
              <w:right w:w="100" w:type="dxa"/>
            </w:tcMar>
            <w:hideMark/>
          </w:tcPr>
          <w:p w14:paraId="1A4B6A15" w14:textId="77777777" w:rsidR="002E51B7" w:rsidRPr="001E18FC" w:rsidRDefault="002E51B7" w:rsidP="002E3318">
            <w:pPr>
              <w:spacing w:line="240" w:lineRule="auto"/>
              <w:rPr>
                <w:bCs w:val="0"/>
              </w:rPr>
            </w:pPr>
            <w:r w:rsidRPr="001E18FC">
              <w:rPr>
                <w:bCs w:val="0"/>
              </w:rPr>
              <w:lastRenderedPageBreak/>
              <w:t>2</w:t>
            </w:r>
          </w:p>
        </w:tc>
        <w:tc>
          <w:tcPr>
            <w:tcW w:w="1436" w:type="dxa"/>
            <w:tcMar>
              <w:top w:w="100" w:type="dxa"/>
              <w:left w:w="100" w:type="dxa"/>
              <w:bottom w:w="100" w:type="dxa"/>
              <w:right w:w="100" w:type="dxa"/>
            </w:tcMar>
            <w:hideMark/>
          </w:tcPr>
          <w:p w14:paraId="5A3160F3" w14:textId="77777777" w:rsidR="002E51B7" w:rsidRPr="001E18FC" w:rsidRDefault="002E51B7" w:rsidP="002E3318">
            <w:pPr>
              <w:spacing w:line="240" w:lineRule="auto"/>
              <w:rPr>
                <w:bCs w:val="0"/>
              </w:rPr>
            </w:pPr>
            <w:r w:rsidRPr="001E18FC">
              <w:rPr>
                <w:bCs w:val="0"/>
              </w:rPr>
              <w:t>Mathur et al.</w:t>
            </w:r>
            <w:r>
              <w:rPr>
                <w:bCs w:val="0"/>
              </w:rPr>
              <w:t xml:space="preserve"> </w:t>
            </w:r>
            <w:r>
              <w:rPr>
                <w:bCs w:val="0"/>
              </w:rPr>
              <w:fldChar w:fldCharType="begin"/>
            </w:r>
            <w:r>
              <w:rPr>
                <w:bCs w:val="0"/>
              </w:rPr>
              <w:instrText xml:space="preserve"> ADDIN ZOTERO_ITEM CSL_CITATION {"citationID":"6ztIPZ2B","properties":{"formattedCitation":"[25]","plainCitation":"[25]","noteIndex":0},"citationItems":[{"id":494,"uris":["http://zotero.org/users/local/U0NhoMYh/items/PQQCR2XN"],"itemData":{"id":494,"type":"article-journal","abstract":"Background Type 2 diabetes mellitus (T2DM) disproportionately affects individuals of nonwhite ethnic origin. Timely and appropriate initiation and intensification of glucose-lowering therapy is key to reducing the risk of major vascular outcomes. Given that ethnic inequalities in outcomes may stem from differences in therapeutic management, the aim of this study was to identify ethnic differences in the timeliness of initiation and intensification of glucose-lowering therapy in individuals newly diagnosed with T2DM in the United Kingdom. Methods and findings An observational cohort study using the Clinical Practice Research Datalink was conducted using 162,238 adults aged 18 and over diagnosed with T2DM between 1990 and 2017 (mean age 62.7 years, 55.2% male); 93% were of white ethnicity (n = 150,754), 5% were South Asian (n = 8,139), and 2.1% were black (n = 3,345). Ethnic differences in time to initiation and intensification of diabetes treatment were estimated at three time points (initiation of noninsulin monotherapy, intensification to noninsulin combination therapy, and intensification to insulin therapy) using multivariable Cox proportional hazards regression adjusted for factors a priori hypothesised to be associated with initiation and intensification: age, sex, deprivation, glycated haemoglobin (HbA1c), body mass index (BMI), smoking status, comorbidities, consultations, medications, calendar year, and clustering by practice. Odds of experiencing therapeutic inertia (failure to intensify treatment within 12 months of HbA1c &gt;7.5% [58 mmol/mol]), were estimated using multivariable logistic regression adjusted for the same hypothesised confounders. Noninsulin monotherapy was initiated earlier in South Asian and black groups (South Asian HR 1.21, 95% CI 1.08–1.36, p &lt; 0.001; black HR 1.29, 95% CI 1.05–1.59, p = 0.017). Correspondingly, no ethnic differences in therapeutic inertia were evident at initiation. Intensification with noninsulin combination therapy was slower in both nonwhite ethnic groups relative to white (South Asian HR 0.80, 95% CI 0.74–0.87, p &lt; 0.001; black HR 0.79, 95% CI 0.70–0.90, p &lt; 0.001); treatment inertia at this stage was greater in nonwhite groups relative to white (South Asian odds ratio [OR] 1.45, 95% CI 1.23–1.70, p &lt; 0.001; black OR 1.43, 95% CI 1.09–1.87, p = 0.010). Intensification to insulin therapy was slower again for black groups relative to white groups (South Asian HR 0.49, 95% CI 0.41–0.58, p &lt; 0.001; black HR 0.69, 95% CI 0.53–0.89, p = 0.012); correspondingly, treatment inertia was significantly higher in nonwhite groups at this stage relative to white groups (South Asian OR 2.68, 95% CI 1.89–3.80 p &lt; 0.001; black OR 1.82, 95% CI 1.13–2.79, p = 0.013). At both stages of treatment intensification, nonwhite groups had fewer HbA1c measurements than white groups. Limitations included variable quality and completeness of routinely recorded data and a lack of information on medication adherence. Conclusions In this large UK cohort, we found persuasive evidence that South Asian and black groups intensified to noninsulin combination therapy and insulin therapy more slowly than white groups and experienced greater therapeutic inertia following identification of uncontrolled HbA1c. Reasons for delays are multifactorial and may, in part, be related to poorer long-term monitoring of risk factors in nonwhite groups. Initiatives to improve timely and appropriate intensification of diabetes treatment are key to reducing disparities in downstream vascular outcomes in these populations.","container-title":"PLOS Medicine","DOI":"10.1371/journal.pmed.1003106","ISSN":"1549-1676","issue":"5","journalAbbreviation":"PLOS Medicine","language":"en","note":"publisher: Public Library of Science","page":"e1003106","source":"PLoS Journals","title":"Ethnic disparities in initiation and intensification of diabetes treatment in adults with type 2 diabetes in the UK, 1990–2017: A cohort study","title-short":"Ethnic disparities in initiation and intensification of diabetes treatment in adults with type 2 diabetes in the UK, 1990–2017","volume":"17","author":[{"family":"Mathur","given":"Rohini"},{"family":"Farmer","given":"Ruth E."},{"family":"Eastwood","given":"Sophie V."},{"family":"Chaturvedi","given":"Nish"},{"family":"Douglas","given":"Ian"},{"family":"Smeeth","given":"Liam"}],"issued":{"date-parts":[["2020",5,15]]}}}],"schema":"https://github.com/citation-style-language/schema/raw/master/csl-citation.json"} </w:instrText>
            </w:r>
            <w:r>
              <w:rPr>
                <w:bCs w:val="0"/>
              </w:rPr>
              <w:fldChar w:fldCharType="separate"/>
            </w:r>
            <w:r>
              <w:rPr>
                <w:bCs w:val="0"/>
                <w:noProof/>
              </w:rPr>
              <w:t>[25]</w:t>
            </w:r>
            <w:r>
              <w:rPr>
                <w:bCs w:val="0"/>
              </w:rPr>
              <w:fldChar w:fldCharType="end"/>
            </w:r>
          </w:p>
        </w:tc>
        <w:tc>
          <w:tcPr>
            <w:tcW w:w="1242" w:type="dxa"/>
            <w:tcMar>
              <w:top w:w="100" w:type="dxa"/>
              <w:left w:w="100" w:type="dxa"/>
              <w:bottom w:w="100" w:type="dxa"/>
              <w:right w:w="100" w:type="dxa"/>
            </w:tcMar>
            <w:hideMark/>
          </w:tcPr>
          <w:p w14:paraId="33612265" w14:textId="77777777" w:rsidR="002E51B7" w:rsidRPr="001E18FC" w:rsidRDefault="002E51B7" w:rsidP="002E3318">
            <w:pPr>
              <w:spacing w:line="240" w:lineRule="auto"/>
              <w:rPr>
                <w:bCs w:val="0"/>
              </w:rPr>
            </w:pPr>
            <w:r w:rsidRPr="001E18FC">
              <w:rPr>
                <w:bCs w:val="0"/>
              </w:rPr>
              <w:t>UK</w:t>
            </w:r>
          </w:p>
        </w:tc>
        <w:tc>
          <w:tcPr>
            <w:tcW w:w="1296" w:type="dxa"/>
            <w:tcMar>
              <w:top w:w="100" w:type="dxa"/>
              <w:left w:w="100" w:type="dxa"/>
              <w:bottom w:w="100" w:type="dxa"/>
              <w:right w:w="100" w:type="dxa"/>
            </w:tcMar>
            <w:hideMark/>
          </w:tcPr>
          <w:p w14:paraId="3071478C" w14:textId="77777777" w:rsidR="002E51B7" w:rsidRPr="001E18FC" w:rsidRDefault="002E51B7" w:rsidP="002E3318">
            <w:pPr>
              <w:spacing w:line="240" w:lineRule="auto"/>
              <w:rPr>
                <w:bCs w:val="0"/>
              </w:rPr>
            </w:pPr>
            <w:r w:rsidRPr="001E18FC">
              <w:rPr>
                <w:bCs w:val="0"/>
              </w:rPr>
              <w:t>Cohort Study. Data derived from the CRPD</w:t>
            </w:r>
          </w:p>
        </w:tc>
        <w:tc>
          <w:tcPr>
            <w:tcW w:w="1816" w:type="dxa"/>
            <w:tcMar>
              <w:top w:w="100" w:type="dxa"/>
              <w:left w:w="100" w:type="dxa"/>
              <w:bottom w:w="100" w:type="dxa"/>
              <w:right w:w="100" w:type="dxa"/>
            </w:tcMar>
            <w:hideMark/>
          </w:tcPr>
          <w:p w14:paraId="04D28AF2" w14:textId="77777777" w:rsidR="002E51B7" w:rsidRPr="001E18FC" w:rsidRDefault="002E51B7" w:rsidP="002E3318">
            <w:pPr>
              <w:spacing w:line="240" w:lineRule="auto"/>
              <w:rPr>
                <w:bCs w:val="0"/>
              </w:rPr>
            </w:pPr>
            <w:r w:rsidRPr="001E18FC">
              <w:rPr>
                <w:bCs w:val="0"/>
              </w:rPr>
              <w:t>N=162,238</w:t>
            </w:r>
          </w:p>
          <w:p w14:paraId="1C292B86" w14:textId="77777777" w:rsidR="002E51B7" w:rsidRPr="001E18FC" w:rsidRDefault="002E51B7" w:rsidP="002E3318">
            <w:pPr>
              <w:spacing w:line="240" w:lineRule="auto"/>
              <w:rPr>
                <w:bCs w:val="0"/>
              </w:rPr>
            </w:pPr>
            <w:r w:rsidRPr="001E18FC">
              <w:rPr>
                <w:bCs w:val="0"/>
              </w:rPr>
              <w:t>(93% White, 5% South Asian, 2.1% Black)</w:t>
            </w:r>
          </w:p>
          <w:p w14:paraId="727783B3" w14:textId="77777777" w:rsidR="002E51B7" w:rsidRPr="001E18FC" w:rsidRDefault="002E51B7" w:rsidP="002E3318">
            <w:pPr>
              <w:spacing w:line="240" w:lineRule="auto"/>
              <w:rPr>
                <w:bCs w:val="0"/>
              </w:rPr>
            </w:pPr>
            <w:r w:rsidRPr="001E18FC">
              <w:rPr>
                <w:bCs w:val="0"/>
              </w:rPr>
              <w:t> </w:t>
            </w:r>
          </w:p>
          <w:p w14:paraId="6E0469ED" w14:textId="77777777" w:rsidR="002E51B7" w:rsidRPr="001E18FC" w:rsidRDefault="002E51B7" w:rsidP="002E3318">
            <w:pPr>
              <w:spacing w:line="240" w:lineRule="auto"/>
              <w:rPr>
                <w:bCs w:val="0"/>
              </w:rPr>
            </w:pPr>
            <w:r w:rsidRPr="001E18FC">
              <w:rPr>
                <w:bCs w:val="0"/>
              </w:rPr>
              <w:t>Age&gt;=18</w:t>
            </w:r>
          </w:p>
          <w:p w14:paraId="3A60ABB3" w14:textId="77777777" w:rsidR="002E51B7" w:rsidRPr="001E18FC" w:rsidRDefault="002E51B7" w:rsidP="002E3318">
            <w:pPr>
              <w:spacing w:line="240" w:lineRule="auto"/>
              <w:rPr>
                <w:bCs w:val="0"/>
              </w:rPr>
            </w:pPr>
            <w:r w:rsidRPr="001E18FC">
              <w:rPr>
                <w:bCs w:val="0"/>
              </w:rPr>
              <w:t>Mean age = 62.7</w:t>
            </w:r>
          </w:p>
          <w:p w14:paraId="29A7BC95" w14:textId="77777777" w:rsidR="002E51B7" w:rsidRPr="001E18FC" w:rsidRDefault="002E51B7" w:rsidP="002E3318">
            <w:pPr>
              <w:spacing w:line="240" w:lineRule="auto"/>
              <w:rPr>
                <w:bCs w:val="0"/>
              </w:rPr>
            </w:pPr>
            <w:r w:rsidRPr="001E18FC">
              <w:rPr>
                <w:bCs w:val="0"/>
              </w:rPr>
              <w:t> </w:t>
            </w:r>
          </w:p>
          <w:p w14:paraId="22FA6FB4" w14:textId="77777777" w:rsidR="002E51B7" w:rsidRPr="001E18FC" w:rsidRDefault="002E51B7" w:rsidP="002E3318">
            <w:pPr>
              <w:spacing w:line="240" w:lineRule="auto"/>
              <w:rPr>
                <w:bCs w:val="0"/>
              </w:rPr>
            </w:pPr>
            <w:r w:rsidRPr="001E18FC">
              <w:rPr>
                <w:bCs w:val="0"/>
              </w:rPr>
              <w:t>Patients newly diagnosed with T2DM from 1990-2017</w:t>
            </w:r>
          </w:p>
          <w:p w14:paraId="7C9C227B" w14:textId="77777777" w:rsidR="002E51B7" w:rsidRPr="001E18FC" w:rsidRDefault="002E51B7" w:rsidP="002E3318">
            <w:pPr>
              <w:spacing w:line="240" w:lineRule="auto"/>
              <w:rPr>
                <w:bCs w:val="0"/>
              </w:rPr>
            </w:pPr>
          </w:p>
        </w:tc>
        <w:tc>
          <w:tcPr>
            <w:tcW w:w="1663" w:type="dxa"/>
            <w:tcMar>
              <w:top w:w="100" w:type="dxa"/>
              <w:left w:w="100" w:type="dxa"/>
              <w:bottom w:w="100" w:type="dxa"/>
              <w:right w:w="100" w:type="dxa"/>
            </w:tcMar>
            <w:hideMark/>
          </w:tcPr>
          <w:p w14:paraId="0CE3BD93" w14:textId="77777777" w:rsidR="002E51B7" w:rsidRPr="001E18FC" w:rsidRDefault="002E51B7" w:rsidP="002E3318">
            <w:pPr>
              <w:spacing w:line="240" w:lineRule="auto"/>
              <w:rPr>
                <w:bCs w:val="0"/>
              </w:rPr>
            </w:pPr>
            <w:r w:rsidRPr="001E18FC">
              <w:rPr>
                <w:bCs w:val="0"/>
              </w:rPr>
              <w:t xml:space="preserve">Ethnic differences in time to initiation and intensification of </w:t>
            </w:r>
            <w:proofErr w:type="gramStart"/>
            <w:r w:rsidRPr="001E18FC">
              <w:rPr>
                <w:bCs w:val="0"/>
              </w:rPr>
              <w:t>medication ,</w:t>
            </w:r>
            <w:proofErr w:type="gramEnd"/>
            <w:r w:rsidRPr="001E18FC">
              <w:rPr>
                <w:bCs w:val="0"/>
              </w:rPr>
              <w:t xml:space="preserve"> and ethnic differences in treatment delays when blood </w:t>
            </w:r>
            <w:proofErr w:type="gramStart"/>
            <w:r w:rsidRPr="001E18FC">
              <w:rPr>
                <w:bCs w:val="0"/>
              </w:rPr>
              <w:t>glucose  remained</w:t>
            </w:r>
            <w:proofErr w:type="gramEnd"/>
            <w:r w:rsidRPr="001E18FC">
              <w:rPr>
                <w:bCs w:val="0"/>
              </w:rPr>
              <w:t xml:space="preserve"> uncontrolled</w:t>
            </w:r>
          </w:p>
        </w:tc>
        <w:tc>
          <w:tcPr>
            <w:tcW w:w="1666" w:type="dxa"/>
            <w:tcMar>
              <w:top w:w="100" w:type="dxa"/>
              <w:left w:w="100" w:type="dxa"/>
              <w:bottom w:w="100" w:type="dxa"/>
              <w:right w:w="100" w:type="dxa"/>
            </w:tcMar>
            <w:hideMark/>
          </w:tcPr>
          <w:p w14:paraId="17EC71AB" w14:textId="77777777" w:rsidR="002E51B7" w:rsidRPr="001E18FC" w:rsidRDefault="002E51B7" w:rsidP="002E3318">
            <w:pPr>
              <w:spacing w:line="240" w:lineRule="auto"/>
              <w:rPr>
                <w:bCs w:val="0"/>
              </w:rPr>
            </w:pPr>
            <w:r w:rsidRPr="001E18FC">
              <w:rPr>
                <w:bCs w:val="0"/>
              </w:rPr>
              <w:t>Older non-insulin medications:</w:t>
            </w:r>
          </w:p>
          <w:p w14:paraId="64D1689D" w14:textId="77777777" w:rsidR="002E51B7" w:rsidRPr="001E18FC" w:rsidRDefault="002E51B7" w:rsidP="002E3318">
            <w:pPr>
              <w:spacing w:line="240" w:lineRule="auto"/>
              <w:rPr>
                <w:bCs w:val="0"/>
              </w:rPr>
            </w:pPr>
            <w:r w:rsidRPr="001E18FC">
              <w:rPr>
                <w:bCs w:val="0"/>
              </w:rPr>
              <w:t>Metformin</w:t>
            </w:r>
          </w:p>
          <w:p w14:paraId="50A7316A" w14:textId="77777777" w:rsidR="002E51B7" w:rsidRPr="001E18FC" w:rsidRDefault="002E51B7" w:rsidP="002E3318">
            <w:pPr>
              <w:spacing w:line="240" w:lineRule="auto"/>
              <w:rPr>
                <w:bCs w:val="0"/>
              </w:rPr>
            </w:pPr>
            <w:r w:rsidRPr="001E18FC">
              <w:rPr>
                <w:bCs w:val="0"/>
              </w:rPr>
              <w:t>SU</w:t>
            </w:r>
          </w:p>
          <w:p w14:paraId="391F9C4E" w14:textId="77777777" w:rsidR="002E51B7" w:rsidRPr="001E18FC" w:rsidRDefault="002E51B7" w:rsidP="002E3318">
            <w:pPr>
              <w:spacing w:line="240" w:lineRule="auto"/>
              <w:rPr>
                <w:bCs w:val="0"/>
              </w:rPr>
            </w:pPr>
            <w:r w:rsidRPr="001E18FC">
              <w:rPr>
                <w:bCs w:val="0"/>
              </w:rPr>
              <w:t>TZD</w:t>
            </w:r>
          </w:p>
          <w:p w14:paraId="0CBC2C4A" w14:textId="77777777" w:rsidR="002E51B7" w:rsidRPr="001E18FC" w:rsidRDefault="002E51B7" w:rsidP="002E3318">
            <w:pPr>
              <w:spacing w:line="240" w:lineRule="auto"/>
              <w:rPr>
                <w:bCs w:val="0"/>
              </w:rPr>
            </w:pPr>
            <w:r w:rsidRPr="001E18FC">
              <w:rPr>
                <w:bCs w:val="0"/>
              </w:rPr>
              <w:t> </w:t>
            </w:r>
          </w:p>
          <w:p w14:paraId="29FBBF18" w14:textId="77777777" w:rsidR="002E51B7" w:rsidRPr="001E18FC" w:rsidRDefault="002E51B7" w:rsidP="002E3318">
            <w:pPr>
              <w:spacing w:line="240" w:lineRule="auto"/>
              <w:rPr>
                <w:bCs w:val="0"/>
              </w:rPr>
            </w:pPr>
            <w:r w:rsidRPr="001E18FC">
              <w:rPr>
                <w:bCs w:val="0"/>
              </w:rPr>
              <w:t>New generation medications: DPP4i</w:t>
            </w:r>
          </w:p>
          <w:p w14:paraId="39DEB5A4" w14:textId="77777777" w:rsidR="002E51B7" w:rsidRPr="001E18FC" w:rsidRDefault="002E51B7" w:rsidP="002E3318">
            <w:pPr>
              <w:spacing w:line="240" w:lineRule="auto"/>
              <w:rPr>
                <w:bCs w:val="0"/>
              </w:rPr>
            </w:pPr>
            <w:r w:rsidRPr="001E18FC">
              <w:rPr>
                <w:bCs w:val="0"/>
              </w:rPr>
              <w:t>SGLT2I </w:t>
            </w:r>
          </w:p>
          <w:p w14:paraId="2FEB17B7" w14:textId="77777777" w:rsidR="002E51B7" w:rsidRPr="001E18FC" w:rsidRDefault="002E51B7" w:rsidP="002E3318">
            <w:pPr>
              <w:spacing w:line="240" w:lineRule="auto"/>
              <w:rPr>
                <w:bCs w:val="0"/>
              </w:rPr>
            </w:pPr>
            <w:r w:rsidRPr="001E18FC">
              <w:rPr>
                <w:bCs w:val="0"/>
              </w:rPr>
              <w:t>GLP-1RA</w:t>
            </w:r>
          </w:p>
        </w:tc>
        <w:tc>
          <w:tcPr>
            <w:tcW w:w="1715" w:type="dxa"/>
            <w:tcMar>
              <w:top w:w="100" w:type="dxa"/>
              <w:left w:w="100" w:type="dxa"/>
              <w:bottom w:w="100" w:type="dxa"/>
              <w:right w:w="100" w:type="dxa"/>
            </w:tcMar>
            <w:hideMark/>
          </w:tcPr>
          <w:p w14:paraId="68F997BA" w14:textId="77777777" w:rsidR="002E51B7" w:rsidRPr="001E18FC" w:rsidRDefault="002E51B7" w:rsidP="002E3318">
            <w:pPr>
              <w:spacing w:line="240" w:lineRule="auto"/>
              <w:rPr>
                <w:bCs w:val="0"/>
              </w:rPr>
            </w:pPr>
            <w:r w:rsidRPr="001E18FC">
              <w:rPr>
                <w:bCs w:val="0"/>
              </w:rPr>
              <w:t>White (reference) vs. South Asian and Black patients</w:t>
            </w:r>
          </w:p>
          <w:p w14:paraId="4A3EA904" w14:textId="77777777" w:rsidR="002E51B7" w:rsidRPr="001E18FC" w:rsidRDefault="002E51B7" w:rsidP="002E3318">
            <w:pPr>
              <w:spacing w:line="240" w:lineRule="auto"/>
              <w:rPr>
                <w:bCs w:val="0"/>
              </w:rPr>
            </w:pPr>
            <w:r w:rsidRPr="001E18FC">
              <w:rPr>
                <w:bCs w:val="0"/>
              </w:rPr>
              <w:t> </w:t>
            </w:r>
          </w:p>
          <w:p w14:paraId="60E6CE40" w14:textId="77777777" w:rsidR="002E51B7" w:rsidRPr="001E18FC" w:rsidRDefault="002E51B7" w:rsidP="002E3318">
            <w:pPr>
              <w:spacing w:line="240" w:lineRule="auto"/>
              <w:rPr>
                <w:bCs w:val="0"/>
              </w:rPr>
            </w:pPr>
            <w:r w:rsidRPr="001E18FC">
              <w:rPr>
                <w:bCs w:val="0"/>
              </w:rPr>
              <w:t>Therapeutic inertia between ethnicities</w:t>
            </w:r>
          </w:p>
        </w:tc>
        <w:tc>
          <w:tcPr>
            <w:tcW w:w="2235" w:type="dxa"/>
            <w:tcMar>
              <w:top w:w="100" w:type="dxa"/>
              <w:left w:w="100" w:type="dxa"/>
              <w:bottom w:w="100" w:type="dxa"/>
              <w:right w:w="100" w:type="dxa"/>
            </w:tcMar>
            <w:hideMark/>
          </w:tcPr>
          <w:p w14:paraId="11835840" w14:textId="77777777" w:rsidR="002E51B7" w:rsidRPr="001E18FC" w:rsidRDefault="002E51B7" w:rsidP="002E3318">
            <w:pPr>
              <w:spacing w:line="240" w:lineRule="auto"/>
              <w:rPr>
                <w:bCs w:val="0"/>
              </w:rPr>
            </w:pPr>
            <w:r w:rsidRPr="001E18FC">
              <w:rPr>
                <w:bCs w:val="0"/>
              </w:rPr>
              <w:t>Initial initiation of non-insulin monotherapy (metformin) was faster in South Asians HR = 1.21 (95% CI [1.08–1.36]) than White patients </w:t>
            </w:r>
          </w:p>
          <w:p w14:paraId="76DD5169" w14:textId="77777777" w:rsidR="002E51B7" w:rsidRPr="001E18FC" w:rsidRDefault="002E51B7" w:rsidP="002E3318">
            <w:pPr>
              <w:spacing w:line="240" w:lineRule="auto"/>
              <w:rPr>
                <w:bCs w:val="0"/>
              </w:rPr>
            </w:pPr>
            <w:r w:rsidRPr="001E18FC">
              <w:rPr>
                <w:bCs w:val="0"/>
              </w:rPr>
              <w:t> </w:t>
            </w:r>
          </w:p>
          <w:p w14:paraId="238911E5" w14:textId="77777777" w:rsidR="002E51B7" w:rsidRPr="001E18FC" w:rsidRDefault="002E51B7" w:rsidP="002E3318">
            <w:pPr>
              <w:spacing w:line="240" w:lineRule="auto"/>
              <w:rPr>
                <w:bCs w:val="0"/>
              </w:rPr>
            </w:pPr>
            <w:r w:rsidRPr="001E18FC">
              <w:rPr>
                <w:bCs w:val="0"/>
              </w:rPr>
              <w:t xml:space="preserve">Time to intensification was longer in South Asians HR = 0.80 (95% CI [ 0.74–0.87]) than White patients. Treatment inertia for combination therapies was more </w:t>
            </w:r>
            <w:r w:rsidRPr="001E18FC">
              <w:rPr>
                <w:bCs w:val="0"/>
              </w:rPr>
              <w:lastRenderedPageBreak/>
              <w:t>likely in South Asians, OR =1.45 (95% CI [1.23–1.70]) than White patients</w:t>
            </w:r>
          </w:p>
          <w:p w14:paraId="5C80557B" w14:textId="77777777" w:rsidR="002E51B7" w:rsidRPr="001E18FC" w:rsidRDefault="002E51B7" w:rsidP="002E3318">
            <w:pPr>
              <w:spacing w:line="240" w:lineRule="auto"/>
              <w:rPr>
                <w:bCs w:val="0"/>
              </w:rPr>
            </w:pPr>
            <w:r w:rsidRPr="001E18FC">
              <w:rPr>
                <w:bCs w:val="0"/>
              </w:rPr>
              <w:t>South Asians primarily received new generation drugs as third-, fourth- and fifth- line therapies compared to White patients who intensified novel drugs earlier and at a greater proportion, as second-line treatments</w:t>
            </w:r>
          </w:p>
        </w:tc>
        <w:tc>
          <w:tcPr>
            <w:tcW w:w="1267" w:type="dxa"/>
            <w:tcMar>
              <w:top w:w="100" w:type="dxa"/>
              <w:left w:w="100" w:type="dxa"/>
              <w:bottom w:w="100" w:type="dxa"/>
              <w:right w:w="100" w:type="dxa"/>
            </w:tcMar>
            <w:hideMark/>
          </w:tcPr>
          <w:p w14:paraId="425C40FA" w14:textId="77777777" w:rsidR="002E51B7" w:rsidRPr="001E18FC" w:rsidRDefault="002E51B7" w:rsidP="002E3318">
            <w:pPr>
              <w:spacing w:line="240" w:lineRule="auto"/>
              <w:rPr>
                <w:bCs w:val="0"/>
              </w:rPr>
            </w:pPr>
            <w:r w:rsidRPr="001E18FC">
              <w:rPr>
                <w:bCs w:val="0"/>
              </w:rPr>
              <w:lastRenderedPageBreak/>
              <w:t xml:space="preserve">Use of incomplete primary care data </w:t>
            </w:r>
          </w:p>
          <w:p w14:paraId="683582DF" w14:textId="77777777" w:rsidR="002E51B7" w:rsidRPr="001E18FC" w:rsidRDefault="002E51B7" w:rsidP="002E3318">
            <w:pPr>
              <w:spacing w:line="240" w:lineRule="auto"/>
              <w:rPr>
                <w:bCs w:val="0"/>
              </w:rPr>
            </w:pPr>
            <w:r w:rsidRPr="001E18FC">
              <w:rPr>
                <w:bCs w:val="0"/>
              </w:rPr>
              <w:t xml:space="preserve">Unable to ascertain if treatments were </w:t>
            </w:r>
            <w:proofErr w:type="gramStart"/>
            <w:r w:rsidRPr="001E18FC">
              <w:rPr>
                <w:bCs w:val="0"/>
              </w:rPr>
              <w:t>actually taken</w:t>
            </w:r>
            <w:proofErr w:type="gramEnd"/>
            <w:r w:rsidRPr="001E18FC">
              <w:rPr>
                <w:bCs w:val="0"/>
              </w:rPr>
              <w:t xml:space="preserve"> by patients due to lack of </w:t>
            </w:r>
            <w:proofErr w:type="gramStart"/>
            <w:r w:rsidRPr="001E18FC">
              <w:rPr>
                <w:bCs w:val="0"/>
              </w:rPr>
              <w:t>pharmacy  dispensing</w:t>
            </w:r>
            <w:proofErr w:type="gramEnd"/>
            <w:r w:rsidRPr="001E18FC">
              <w:rPr>
                <w:bCs w:val="0"/>
              </w:rPr>
              <w:t xml:space="preserve"> data, only which medications were prescribed</w:t>
            </w:r>
          </w:p>
          <w:p w14:paraId="67EA8CDC" w14:textId="77777777" w:rsidR="002E51B7" w:rsidRPr="001E18FC" w:rsidRDefault="002E51B7" w:rsidP="002E3318">
            <w:pPr>
              <w:spacing w:line="240" w:lineRule="auto"/>
              <w:rPr>
                <w:bCs w:val="0"/>
              </w:rPr>
            </w:pPr>
            <w:r w:rsidRPr="001E18FC">
              <w:rPr>
                <w:bCs w:val="0"/>
              </w:rPr>
              <w:t>Insufficient follow up</w:t>
            </w:r>
          </w:p>
        </w:tc>
      </w:tr>
      <w:tr w:rsidR="002E51B7" w:rsidRPr="001E18FC" w14:paraId="6B04BBF8" w14:textId="77777777" w:rsidTr="00B330D4">
        <w:trPr>
          <w:trHeight w:val="1015"/>
        </w:trPr>
        <w:tc>
          <w:tcPr>
            <w:tcW w:w="1541" w:type="dxa"/>
            <w:tcBorders>
              <w:bottom w:val="single" w:sz="8" w:space="0" w:color="auto"/>
            </w:tcBorders>
            <w:tcMar>
              <w:top w:w="100" w:type="dxa"/>
              <w:left w:w="100" w:type="dxa"/>
              <w:bottom w:w="100" w:type="dxa"/>
              <w:right w:w="100" w:type="dxa"/>
            </w:tcMar>
            <w:hideMark/>
          </w:tcPr>
          <w:p w14:paraId="00AE7199" w14:textId="77777777" w:rsidR="002E51B7" w:rsidRPr="001E18FC" w:rsidRDefault="002E51B7" w:rsidP="002E3318">
            <w:pPr>
              <w:spacing w:line="240" w:lineRule="auto"/>
              <w:rPr>
                <w:bCs w:val="0"/>
              </w:rPr>
            </w:pPr>
            <w:r w:rsidRPr="001E18FC">
              <w:rPr>
                <w:bCs w:val="0"/>
              </w:rPr>
              <w:t>3</w:t>
            </w:r>
          </w:p>
        </w:tc>
        <w:tc>
          <w:tcPr>
            <w:tcW w:w="1436" w:type="dxa"/>
            <w:tcBorders>
              <w:bottom w:val="single" w:sz="8" w:space="0" w:color="auto"/>
            </w:tcBorders>
            <w:tcMar>
              <w:top w:w="100" w:type="dxa"/>
              <w:left w:w="100" w:type="dxa"/>
              <w:bottom w:w="100" w:type="dxa"/>
              <w:right w:w="100" w:type="dxa"/>
            </w:tcMar>
            <w:hideMark/>
          </w:tcPr>
          <w:p w14:paraId="3F489BC7" w14:textId="77777777" w:rsidR="002E51B7" w:rsidRPr="001E18FC" w:rsidRDefault="002E51B7" w:rsidP="002E3318">
            <w:pPr>
              <w:spacing w:line="240" w:lineRule="auto"/>
              <w:rPr>
                <w:bCs w:val="0"/>
              </w:rPr>
            </w:pPr>
            <w:proofErr w:type="spellStart"/>
            <w:r w:rsidRPr="001E18FC">
              <w:rPr>
                <w:bCs w:val="0"/>
              </w:rPr>
              <w:t>Bidulka</w:t>
            </w:r>
            <w:proofErr w:type="spellEnd"/>
            <w:r w:rsidRPr="001E18FC">
              <w:rPr>
                <w:bCs w:val="0"/>
              </w:rPr>
              <w:t xml:space="preserve"> et al.</w:t>
            </w:r>
            <w:r>
              <w:rPr>
                <w:bCs w:val="0"/>
              </w:rPr>
              <w:t xml:space="preserve"> </w:t>
            </w:r>
            <w:r>
              <w:rPr>
                <w:bCs w:val="0"/>
              </w:rPr>
              <w:fldChar w:fldCharType="begin"/>
            </w:r>
            <w:r>
              <w:rPr>
                <w:bCs w:val="0"/>
              </w:rPr>
              <w:instrText xml:space="preserve"> ADDIN ZOTERO_ITEM CSL_CITATION {"citationID":"XdtUWmjo","properties":{"formattedCitation":"[28]","plainCitation":"[28]","noteIndex":0},"citationItems":[{"id":498,"uris":["http://zotero.org/users/local/U0NhoMYh/items/4DSUFWS9"],"itemData":{"id":498,"type":"article-journal","abstract":"Abstract Aims To assess any disparities in the initiation of second-line antidiabetic treatments prescribed among people with type 2 diabetes mellitus (T2DM) in England according to ethnicity and social deprivation level. Materials and methods This cross-sectional study used linked primary (Clinical Practice Research Datalink) and secondary care data (Hospital Episode Statistics), and the Index of Multiple Deprivation (IMD). We included people aged 18?years or older with T2DM who intensified to second-line oral antidiabetic medication between 2014 and 2020 to investigate disparities in second-line antidiabetic treatment prescribing (one of sulphonylureas [SUs], dipeptidyl peptidase-4 [DPP-4] inhibitors, or sodium-glucose cotransporter-2 [SGLT2] inhibitors, in combination with metformin) by ethnicity (White, South Asian, Black, mixed/other) and deprivation level (IMD quintiles). We report prescriptions of the alternative treatments by ethnicity and deprivation level according to predicted percentages derived from multivariable, multinomial logistic regression. Results Among 36?023 people, 85% were White, 10% South Asian, 4% Black and 1% mixed/other. After adjustment, the predicted percentages for SGLT2 inhibitor prescribing by ethnicity were 21% (95% confidence interval [CI] 19?23%), 20% (95% CI 18?22%), 19% (95% CI 16?22%) and 17% (95% CI 14?21%) among people with White, South Asian, Black, and mixed/other ethnicity, respectively. After adjustment, the predicted percentages for SGLT2 inhibitor prescribing by deprivation were 22% (95% CI 20?25%) and 19% (95% CI 17?21%) for the least deprived and the most deprived quintile, respectively. When stratifying by prevalent cardiovascular disease (CVD) status, we found lower predicted percentages of people with prevalent CVD prescribed SGLT2 inhibitors compared with people without prevalent CVD across all ethnicity groups and all levels of social deprivation. Conclusions Among people with T2DM, there were no substantial differences by ethnicity or deprivation level in the percentage prescribed either SGLT2 inhibitors, DPP-4 inhibitors or SUs as second-line antidiabetic treatment.","container-title":"Diabetes, Obesity and Metabolism","DOI":"10.1111/dom.14874","ISSN":"1462-8902","issue":"1","note":"publisher: John Wiley &amp; Sons, Ltd","page":"282-292","source":"dom-pubs.pericles-prod.literatumonline.com (Atypon)","title":"Ethnic and socioeconomic disparities in initiation of second-line antidiabetic treatment for people with type 2 diabetes in England: A cross-sectional study","title-short":"Ethnic and socioeconomic disparities in initiation of second-line antidiabetic treatment for people with type 2 diabetes in England","volume":"25","author":[{"family":"Bidulka","given":"Patrick"},{"family":"Mathur","given":"Rohini"},{"family":"Lugo-Palacios","given":"David G."},{"family":"O'Neill","given":"Stephen"},{"family":"Basu","given":"Anirban"},{"family":"Silverwood","given":"Richard J."},{"family":"Charlton","given":"Paul"},{"family":"Briggs","given":"Andrew"},{"family":"Smeeth","given":"Liam"},{"family":"Adler","given":"Amanda I."},{"family":"Douglas","given":"Ian J."},{"family":"Khunti","given":"Kamlesh"},{"family":"Grieve","given":"Richard"}],"issued":{"date-parts":[["2023",1]]}}}],"schema":"https://github.com/citation-style-language/schema/raw/master/csl-citation.json"} </w:instrText>
            </w:r>
            <w:r>
              <w:rPr>
                <w:bCs w:val="0"/>
              </w:rPr>
              <w:fldChar w:fldCharType="separate"/>
            </w:r>
            <w:r>
              <w:rPr>
                <w:bCs w:val="0"/>
                <w:noProof/>
              </w:rPr>
              <w:t>[28]</w:t>
            </w:r>
            <w:r>
              <w:rPr>
                <w:bCs w:val="0"/>
              </w:rPr>
              <w:fldChar w:fldCharType="end"/>
            </w:r>
          </w:p>
        </w:tc>
        <w:tc>
          <w:tcPr>
            <w:tcW w:w="1242" w:type="dxa"/>
            <w:tcBorders>
              <w:bottom w:val="single" w:sz="8" w:space="0" w:color="auto"/>
            </w:tcBorders>
            <w:tcMar>
              <w:top w:w="100" w:type="dxa"/>
              <w:left w:w="100" w:type="dxa"/>
              <w:bottom w:w="100" w:type="dxa"/>
              <w:right w:w="100" w:type="dxa"/>
            </w:tcMar>
            <w:hideMark/>
          </w:tcPr>
          <w:p w14:paraId="5F8CE6AD" w14:textId="77777777" w:rsidR="002E51B7" w:rsidRPr="001E18FC" w:rsidRDefault="002E51B7" w:rsidP="002E3318">
            <w:pPr>
              <w:spacing w:line="240" w:lineRule="auto"/>
              <w:rPr>
                <w:bCs w:val="0"/>
              </w:rPr>
            </w:pPr>
            <w:r w:rsidRPr="001E18FC">
              <w:rPr>
                <w:bCs w:val="0"/>
              </w:rPr>
              <w:t>UK</w:t>
            </w:r>
          </w:p>
        </w:tc>
        <w:tc>
          <w:tcPr>
            <w:tcW w:w="1296" w:type="dxa"/>
            <w:tcBorders>
              <w:bottom w:val="single" w:sz="8" w:space="0" w:color="auto"/>
            </w:tcBorders>
            <w:tcMar>
              <w:top w:w="100" w:type="dxa"/>
              <w:left w:w="100" w:type="dxa"/>
              <w:bottom w:w="100" w:type="dxa"/>
              <w:right w:w="100" w:type="dxa"/>
            </w:tcMar>
            <w:hideMark/>
          </w:tcPr>
          <w:p w14:paraId="3B7A67CB" w14:textId="77777777" w:rsidR="002E51B7" w:rsidRPr="001E18FC" w:rsidRDefault="002E51B7" w:rsidP="002E3318">
            <w:pPr>
              <w:spacing w:line="240" w:lineRule="auto"/>
              <w:rPr>
                <w:bCs w:val="0"/>
              </w:rPr>
            </w:pPr>
            <w:r w:rsidRPr="001E18FC">
              <w:rPr>
                <w:bCs w:val="0"/>
              </w:rPr>
              <w:t>Cross-sectional study using the CRPD datasets (primary care)</w:t>
            </w:r>
          </w:p>
        </w:tc>
        <w:tc>
          <w:tcPr>
            <w:tcW w:w="1816" w:type="dxa"/>
            <w:tcBorders>
              <w:bottom w:val="single" w:sz="8" w:space="0" w:color="auto"/>
            </w:tcBorders>
            <w:tcMar>
              <w:top w:w="100" w:type="dxa"/>
              <w:left w:w="100" w:type="dxa"/>
              <w:bottom w:w="100" w:type="dxa"/>
              <w:right w:w="100" w:type="dxa"/>
            </w:tcMar>
            <w:hideMark/>
          </w:tcPr>
          <w:p w14:paraId="61ECB4A1" w14:textId="77777777" w:rsidR="002E51B7" w:rsidRPr="001E18FC" w:rsidRDefault="002E51B7" w:rsidP="002E3318">
            <w:pPr>
              <w:spacing w:line="240" w:lineRule="auto"/>
              <w:rPr>
                <w:bCs w:val="0"/>
              </w:rPr>
            </w:pPr>
            <w:r w:rsidRPr="001E18FC">
              <w:rPr>
                <w:bCs w:val="0"/>
              </w:rPr>
              <w:t>N=36,023 individuals.</w:t>
            </w:r>
          </w:p>
          <w:p w14:paraId="50DA752E" w14:textId="77777777" w:rsidR="002E51B7" w:rsidRPr="001E18FC" w:rsidRDefault="002E51B7" w:rsidP="002E3318">
            <w:pPr>
              <w:spacing w:line="240" w:lineRule="auto"/>
              <w:rPr>
                <w:bCs w:val="0"/>
              </w:rPr>
            </w:pPr>
            <w:r w:rsidRPr="001E18FC">
              <w:rPr>
                <w:bCs w:val="0"/>
              </w:rPr>
              <w:t>(85% White, 10% South Asian, 4% Black, 1% Mixed/Other).</w:t>
            </w:r>
          </w:p>
          <w:p w14:paraId="67CE46BE" w14:textId="77777777" w:rsidR="002E51B7" w:rsidRPr="001E18FC" w:rsidRDefault="002E51B7" w:rsidP="002E3318">
            <w:pPr>
              <w:spacing w:line="240" w:lineRule="auto"/>
              <w:rPr>
                <w:bCs w:val="0"/>
              </w:rPr>
            </w:pPr>
            <w:r w:rsidRPr="001E18FC">
              <w:rPr>
                <w:bCs w:val="0"/>
              </w:rPr>
              <w:t> </w:t>
            </w:r>
          </w:p>
          <w:p w14:paraId="6F7CC97A" w14:textId="77777777" w:rsidR="002E51B7" w:rsidRPr="001E18FC" w:rsidRDefault="002E51B7" w:rsidP="002E3318">
            <w:pPr>
              <w:spacing w:line="240" w:lineRule="auto"/>
              <w:rPr>
                <w:bCs w:val="0"/>
              </w:rPr>
            </w:pPr>
            <w:r w:rsidRPr="001E18FC">
              <w:rPr>
                <w:bCs w:val="0"/>
              </w:rPr>
              <w:t>Age&gt;=18</w:t>
            </w:r>
          </w:p>
          <w:p w14:paraId="214A4116" w14:textId="77777777" w:rsidR="002E51B7" w:rsidRPr="001E18FC" w:rsidRDefault="002E51B7" w:rsidP="002E3318">
            <w:pPr>
              <w:spacing w:line="240" w:lineRule="auto"/>
              <w:rPr>
                <w:bCs w:val="0"/>
              </w:rPr>
            </w:pPr>
            <w:r w:rsidRPr="001E18FC">
              <w:rPr>
                <w:bCs w:val="0"/>
              </w:rPr>
              <w:t>Mean age = 59</w:t>
            </w:r>
          </w:p>
          <w:p w14:paraId="38AFB4E5" w14:textId="77777777" w:rsidR="002E51B7" w:rsidRPr="001E18FC" w:rsidRDefault="002E51B7" w:rsidP="002E3318">
            <w:pPr>
              <w:spacing w:line="240" w:lineRule="auto"/>
              <w:rPr>
                <w:bCs w:val="0"/>
              </w:rPr>
            </w:pPr>
            <w:r w:rsidRPr="001E18FC">
              <w:rPr>
                <w:bCs w:val="0"/>
              </w:rPr>
              <w:t> </w:t>
            </w:r>
          </w:p>
          <w:p w14:paraId="47BB8F1B" w14:textId="77777777" w:rsidR="002E51B7" w:rsidRPr="001E18FC" w:rsidRDefault="002E51B7" w:rsidP="002E3318">
            <w:pPr>
              <w:spacing w:line="240" w:lineRule="auto"/>
              <w:rPr>
                <w:bCs w:val="0"/>
              </w:rPr>
            </w:pPr>
            <w:r w:rsidRPr="001E18FC">
              <w:rPr>
                <w:bCs w:val="0"/>
              </w:rPr>
              <w:t xml:space="preserve">T2DM patients intensifying to second-line </w:t>
            </w:r>
            <w:r w:rsidRPr="001E18FC">
              <w:rPr>
                <w:bCs w:val="0"/>
              </w:rPr>
              <w:lastRenderedPageBreak/>
              <w:t>antidiabetic treatment after metformin monotherapy​ from 2014-2020</w:t>
            </w:r>
          </w:p>
        </w:tc>
        <w:tc>
          <w:tcPr>
            <w:tcW w:w="1663" w:type="dxa"/>
            <w:tcBorders>
              <w:bottom w:val="single" w:sz="8" w:space="0" w:color="auto"/>
            </w:tcBorders>
            <w:tcMar>
              <w:top w:w="100" w:type="dxa"/>
              <w:left w:w="100" w:type="dxa"/>
              <w:bottom w:w="100" w:type="dxa"/>
              <w:right w:w="100" w:type="dxa"/>
            </w:tcMar>
            <w:hideMark/>
          </w:tcPr>
          <w:p w14:paraId="016DD774" w14:textId="77777777" w:rsidR="002E51B7" w:rsidRPr="001E18FC" w:rsidRDefault="002E51B7" w:rsidP="002E3318">
            <w:pPr>
              <w:spacing w:line="240" w:lineRule="auto"/>
              <w:rPr>
                <w:bCs w:val="0"/>
              </w:rPr>
            </w:pPr>
            <w:r w:rsidRPr="001E18FC">
              <w:rPr>
                <w:bCs w:val="0"/>
              </w:rPr>
              <w:lastRenderedPageBreak/>
              <w:t>The study investigated ethnic disparities in the prescribing of second-line antidiabetic treatment after metformin</w:t>
            </w:r>
          </w:p>
        </w:tc>
        <w:tc>
          <w:tcPr>
            <w:tcW w:w="1666" w:type="dxa"/>
            <w:tcBorders>
              <w:bottom w:val="single" w:sz="8" w:space="0" w:color="auto"/>
            </w:tcBorders>
            <w:tcMar>
              <w:top w:w="100" w:type="dxa"/>
              <w:left w:w="100" w:type="dxa"/>
              <w:bottom w:w="100" w:type="dxa"/>
              <w:right w:w="100" w:type="dxa"/>
            </w:tcMar>
            <w:hideMark/>
          </w:tcPr>
          <w:p w14:paraId="6DEF2C0B" w14:textId="77777777" w:rsidR="002E51B7" w:rsidRPr="001E18FC" w:rsidRDefault="002E51B7" w:rsidP="002E3318">
            <w:pPr>
              <w:spacing w:line="240" w:lineRule="auto"/>
              <w:rPr>
                <w:bCs w:val="0"/>
              </w:rPr>
            </w:pPr>
            <w:r w:rsidRPr="001E18FC">
              <w:rPr>
                <w:bCs w:val="0"/>
              </w:rPr>
              <w:t>Older non-insulin medications: </w:t>
            </w:r>
          </w:p>
          <w:p w14:paraId="0B7996F7" w14:textId="77777777" w:rsidR="002E51B7" w:rsidRPr="001E18FC" w:rsidRDefault="002E51B7" w:rsidP="002E3318">
            <w:pPr>
              <w:spacing w:line="240" w:lineRule="auto"/>
              <w:rPr>
                <w:bCs w:val="0"/>
              </w:rPr>
            </w:pPr>
            <w:r w:rsidRPr="001E18FC">
              <w:rPr>
                <w:bCs w:val="0"/>
              </w:rPr>
              <w:t>SU</w:t>
            </w:r>
          </w:p>
          <w:p w14:paraId="52A12F10" w14:textId="77777777" w:rsidR="002E51B7" w:rsidRPr="001E18FC" w:rsidRDefault="002E51B7" w:rsidP="002E3318">
            <w:pPr>
              <w:spacing w:line="240" w:lineRule="auto"/>
              <w:rPr>
                <w:bCs w:val="0"/>
              </w:rPr>
            </w:pPr>
            <w:r w:rsidRPr="001E18FC">
              <w:rPr>
                <w:bCs w:val="0"/>
              </w:rPr>
              <w:t>(baseline)</w:t>
            </w:r>
          </w:p>
          <w:p w14:paraId="0C974E89" w14:textId="77777777" w:rsidR="002E51B7" w:rsidRPr="001E18FC" w:rsidRDefault="002E51B7" w:rsidP="002E3318">
            <w:pPr>
              <w:spacing w:line="240" w:lineRule="auto"/>
              <w:rPr>
                <w:bCs w:val="0"/>
              </w:rPr>
            </w:pPr>
            <w:r w:rsidRPr="001E18FC">
              <w:rPr>
                <w:bCs w:val="0"/>
              </w:rPr>
              <w:t> </w:t>
            </w:r>
          </w:p>
          <w:p w14:paraId="23AC8974" w14:textId="77777777" w:rsidR="002E51B7" w:rsidRPr="001E18FC" w:rsidRDefault="002E51B7" w:rsidP="002E3318">
            <w:pPr>
              <w:spacing w:line="240" w:lineRule="auto"/>
              <w:rPr>
                <w:bCs w:val="0"/>
              </w:rPr>
            </w:pPr>
            <w:r w:rsidRPr="001E18FC">
              <w:rPr>
                <w:bCs w:val="0"/>
              </w:rPr>
              <w:t>New generation medications:</w:t>
            </w:r>
          </w:p>
          <w:p w14:paraId="2D21FD03" w14:textId="77777777" w:rsidR="002E51B7" w:rsidRPr="001E18FC" w:rsidRDefault="002E51B7" w:rsidP="002E3318">
            <w:pPr>
              <w:spacing w:line="240" w:lineRule="auto"/>
              <w:rPr>
                <w:bCs w:val="0"/>
              </w:rPr>
            </w:pPr>
            <w:r w:rsidRPr="001E18FC">
              <w:rPr>
                <w:bCs w:val="0"/>
              </w:rPr>
              <w:t>DPP-4i, </w:t>
            </w:r>
          </w:p>
          <w:p w14:paraId="0BF415B7" w14:textId="77777777" w:rsidR="002E51B7" w:rsidRPr="001E18FC" w:rsidRDefault="002E51B7" w:rsidP="002E3318">
            <w:pPr>
              <w:spacing w:line="240" w:lineRule="auto"/>
              <w:rPr>
                <w:bCs w:val="0"/>
              </w:rPr>
            </w:pPr>
            <w:r w:rsidRPr="001E18FC">
              <w:rPr>
                <w:bCs w:val="0"/>
              </w:rPr>
              <w:t>SGLT2i</w:t>
            </w:r>
          </w:p>
          <w:p w14:paraId="2DF1B4BF" w14:textId="77777777" w:rsidR="002E51B7" w:rsidRPr="001E18FC" w:rsidRDefault="002E51B7" w:rsidP="002E3318">
            <w:pPr>
              <w:spacing w:line="240" w:lineRule="auto"/>
              <w:rPr>
                <w:bCs w:val="0"/>
              </w:rPr>
            </w:pPr>
            <w:r w:rsidRPr="001E18FC">
              <w:rPr>
                <w:bCs w:val="0"/>
              </w:rPr>
              <w:t> </w:t>
            </w:r>
          </w:p>
          <w:p w14:paraId="2CAFBDC2" w14:textId="77777777" w:rsidR="002E51B7" w:rsidRPr="001E18FC" w:rsidRDefault="002E51B7" w:rsidP="002E3318">
            <w:pPr>
              <w:spacing w:line="240" w:lineRule="auto"/>
              <w:rPr>
                <w:bCs w:val="0"/>
              </w:rPr>
            </w:pPr>
            <w:r w:rsidRPr="001E18FC">
              <w:rPr>
                <w:bCs w:val="0"/>
              </w:rPr>
              <w:t xml:space="preserve">Each of the above was </w:t>
            </w:r>
            <w:r w:rsidRPr="001E18FC">
              <w:rPr>
                <w:bCs w:val="0"/>
              </w:rPr>
              <w:lastRenderedPageBreak/>
              <w:t>used in combination with metformin. </w:t>
            </w:r>
          </w:p>
        </w:tc>
        <w:tc>
          <w:tcPr>
            <w:tcW w:w="1715" w:type="dxa"/>
            <w:tcBorders>
              <w:bottom w:val="single" w:sz="8" w:space="0" w:color="auto"/>
            </w:tcBorders>
            <w:tcMar>
              <w:top w:w="100" w:type="dxa"/>
              <w:left w:w="100" w:type="dxa"/>
              <w:bottom w:w="100" w:type="dxa"/>
              <w:right w:w="100" w:type="dxa"/>
            </w:tcMar>
            <w:hideMark/>
          </w:tcPr>
          <w:p w14:paraId="6D0F820E" w14:textId="77777777" w:rsidR="002E51B7" w:rsidRPr="001E18FC" w:rsidRDefault="002E51B7" w:rsidP="002E3318">
            <w:pPr>
              <w:spacing w:line="240" w:lineRule="auto"/>
              <w:rPr>
                <w:bCs w:val="0"/>
              </w:rPr>
            </w:pPr>
            <w:r w:rsidRPr="001E18FC">
              <w:rPr>
                <w:bCs w:val="0"/>
              </w:rPr>
              <w:lastRenderedPageBreak/>
              <w:t xml:space="preserve">The study compared the probability of different ethnic and socioeconomic groups intensifying to SGLT2 inhibitors, DPP-4 inhibitors, or SUs​ after </w:t>
            </w:r>
            <w:r w:rsidRPr="001E18FC">
              <w:rPr>
                <w:bCs w:val="0"/>
              </w:rPr>
              <w:lastRenderedPageBreak/>
              <w:t>metformin monotherapy</w:t>
            </w:r>
          </w:p>
        </w:tc>
        <w:tc>
          <w:tcPr>
            <w:tcW w:w="2235" w:type="dxa"/>
            <w:tcBorders>
              <w:bottom w:val="single" w:sz="8" w:space="0" w:color="auto"/>
            </w:tcBorders>
            <w:tcMar>
              <w:top w:w="100" w:type="dxa"/>
              <w:left w:w="100" w:type="dxa"/>
              <w:bottom w:w="100" w:type="dxa"/>
              <w:right w:w="100" w:type="dxa"/>
            </w:tcMar>
            <w:hideMark/>
          </w:tcPr>
          <w:p w14:paraId="06FD5757" w14:textId="77777777" w:rsidR="002E51B7" w:rsidRPr="001E18FC" w:rsidRDefault="002E51B7" w:rsidP="002E3318">
            <w:pPr>
              <w:spacing w:line="240" w:lineRule="auto"/>
              <w:rPr>
                <w:bCs w:val="0"/>
              </w:rPr>
            </w:pPr>
            <w:r w:rsidRPr="001E18FC">
              <w:rPr>
                <w:bCs w:val="0"/>
              </w:rPr>
              <w:lastRenderedPageBreak/>
              <w:t>No statistically significant ethnic differences found between percentage of patients prescribed DPP-4i or SUs among South Asians and Whites, but prescription of SGLT2i was higher in White patients (21%</w:t>
            </w:r>
            <w:r>
              <w:rPr>
                <w:bCs w:val="0"/>
              </w:rPr>
              <w:t xml:space="preserve"> </w:t>
            </w:r>
            <w:r w:rsidRPr="001E18FC">
              <w:rPr>
                <w:bCs w:val="0"/>
              </w:rPr>
              <w:t xml:space="preserve">(95% CI [19%-23%])) </w:t>
            </w:r>
            <w:r w:rsidRPr="001E18FC">
              <w:rPr>
                <w:bCs w:val="0"/>
              </w:rPr>
              <w:lastRenderedPageBreak/>
              <w:t xml:space="preserve">compared to South Asians (20% (95% CI [18%-22%])), </w:t>
            </w:r>
          </w:p>
          <w:p w14:paraId="400C48A5" w14:textId="77777777" w:rsidR="002E51B7" w:rsidRPr="001E18FC" w:rsidRDefault="002E51B7" w:rsidP="002E3318">
            <w:pPr>
              <w:spacing w:line="240" w:lineRule="auto"/>
              <w:rPr>
                <w:bCs w:val="0"/>
              </w:rPr>
            </w:pPr>
            <w:r w:rsidRPr="001E18FC">
              <w:rPr>
                <w:bCs w:val="0"/>
              </w:rPr>
              <w:t>P-value= 0.04</w:t>
            </w:r>
          </w:p>
          <w:p w14:paraId="324BC9F1" w14:textId="77777777" w:rsidR="002E51B7" w:rsidRPr="001E18FC" w:rsidRDefault="002E51B7" w:rsidP="002E3318">
            <w:pPr>
              <w:spacing w:line="240" w:lineRule="auto"/>
              <w:rPr>
                <w:bCs w:val="0"/>
              </w:rPr>
            </w:pPr>
            <w:r w:rsidRPr="001E18FC">
              <w:rPr>
                <w:bCs w:val="0"/>
              </w:rPr>
              <w:t>  </w:t>
            </w:r>
          </w:p>
          <w:p w14:paraId="208F00E3" w14:textId="77777777" w:rsidR="002E51B7" w:rsidRPr="001E18FC" w:rsidRDefault="002E51B7" w:rsidP="002E3318">
            <w:pPr>
              <w:spacing w:line="240" w:lineRule="auto"/>
              <w:rPr>
                <w:bCs w:val="0"/>
              </w:rPr>
            </w:pPr>
            <w:r w:rsidRPr="001E18FC">
              <w:rPr>
                <w:bCs w:val="0"/>
              </w:rPr>
              <w:t>OR comparing the likelihood of being prescribed SGLT2I over SUs was not statistically significant between South Asian and White patients – OR = 0.88 (95% CI [0.77-1.01])</w:t>
            </w:r>
          </w:p>
        </w:tc>
        <w:tc>
          <w:tcPr>
            <w:tcW w:w="1267" w:type="dxa"/>
            <w:tcBorders>
              <w:bottom w:val="single" w:sz="8" w:space="0" w:color="auto"/>
            </w:tcBorders>
            <w:tcMar>
              <w:top w:w="100" w:type="dxa"/>
              <w:left w:w="100" w:type="dxa"/>
              <w:bottom w:w="100" w:type="dxa"/>
              <w:right w:w="100" w:type="dxa"/>
            </w:tcMar>
            <w:hideMark/>
          </w:tcPr>
          <w:p w14:paraId="2921D23E" w14:textId="77777777" w:rsidR="002E51B7" w:rsidRPr="001E18FC" w:rsidRDefault="002E51B7" w:rsidP="002E3318">
            <w:pPr>
              <w:spacing w:line="240" w:lineRule="auto"/>
              <w:rPr>
                <w:bCs w:val="0"/>
              </w:rPr>
            </w:pPr>
            <w:r w:rsidRPr="001E18FC">
              <w:rPr>
                <w:bCs w:val="0"/>
              </w:rPr>
              <w:lastRenderedPageBreak/>
              <w:t>Exclusion of patients with missing ethnicity data (only 0.8% of the sample).</w:t>
            </w:r>
          </w:p>
          <w:p w14:paraId="118B5CD5" w14:textId="77777777" w:rsidR="002E51B7" w:rsidRPr="001E18FC" w:rsidRDefault="002E51B7" w:rsidP="002E3318">
            <w:pPr>
              <w:spacing w:line="240" w:lineRule="auto"/>
              <w:rPr>
                <w:bCs w:val="0"/>
              </w:rPr>
            </w:pPr>
            <w:r w:rsidRPr="001E18FC">
              <w:rPr>
                <w:bCs w:val="0"/>
              </w:rPr>
              <w:t> </w:t>
            </w:r>
          </w:p>
          <w:p w14:paraId="2A7515B9" w14:textId="77777777" w:rsidR="002E51B7" w:rsidRPr="001E18FC" w:rsidRDefault="002E51B7" w:rsidP="002E3318">
            <w:pPr>
              <w:spacing w:line="240" w:lineRule="auto"/>
              <w:rPr>
                <w:bCs w:val="0"/>
              </w:rPr>
            </w:pPr>
            <w:r w:rsidRPr="001E18FC">
              <w:rPr>
                <w:bCs w:val="0"/>
              </w:rPr>
              <w:t xml:space="preserve">Reliance on electronic health records (EHRs), which may not capture </w:t>
            </w:r>
            <w:r w:rsidRPr="001E18FC">
              <w:rPr>
                <w:bCs w:val="0"/>
              </w:rPr>
              <w:lastRenderedPageBreak/>
              <w:t>all clinical details.</w:t>
            </w:r>
          </w:p>
          <w:p w14:paraId="68CF127A" w14:textId="77777777" w:rsidR="002E51B7" w:rsidRPr="001E18FC" w:rsidRDefault="002E51B7" w:rsidP="002E3318">
            <w:pPr>
              <w:spacing w:line="240" w:lineRule="auto"/>
              <w:rPr>
                <w:bCs w:val="0"/>
              </w:rPr>
            </w:pPr>
            <w:r w:rsidRPr="001E18FC">
              <w:rPr>
                <w:bCs w:val="0"/>
              </w:rPr>
              <w:t>No access to pharmacy dispensing data, limiting assessment of actual medication use beyond prescriptions​</w:t>
            </w:r>
          </w:p>
        </w:tc>
      </w:tr>
    </w:tbl>
    <w:tbl>
      <w:tblPr>
        <w:tblpPr w:leftFromText="180" w:rightFromText="180" w:vertAnchor="text" w:horzAnchor="margin" w:tblpXSpec="center" w:tblpY="-95"/>
        <w:tblW w:w="161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063"/>
        <w:gridCol w:w="1387"/>
        <w:gridCol w:w="1200"/>
        <w:gridCol w:w="1252"/>
        <w:gridCol w:w="1754"/>
        <w:gridCol w:w="1606"/>
        <w:gridCol w:w="1609"/>
        <w:gridCol w:w="1656"/>
        <w:gridCol w:w="2159"/>
        <w:gridCol w:w="2475"/>
      </w:tblGrid>
      <w:tr w:rsidR="002E51B7" w:rsidRPr="001E18FC" w14:paraId="3D2BDDAD" w14:textId="77777777" w:rsidTr="00B330D4">
        <w:trPr>
          <w:trHeight w:val="1247"/>
        </w:trPr>
        <w:tc>
          <w:tcPr>
            <w:tcW w:w="1063" w:type="dxa"/>
            <w:tcBorders>
              <w:bottom w:val="single" w:sz="8" w:space="0" w:color="auto"/>
              <w:right w:val="single" w:sz="8" w:space="0" w:color="auto"/>
            </w:tcBorders>
            <w:tcMar>
              <w:top w:w="100" w:type="dxa"/>
              <w:left w:w="100" w:type="dxa"/>
              <w:bottom w:w="100" w:type="dxa"/>
              <w:right w:w="100" w:type="dxa"/>
            </w:tcMar>
            <w:hideMark/>
          </w:tcPr>
          <w:p w14:paraId="2FABF748" w14:textId="77777777" w:rsidR="002E51B7" w:rsidRPr="001E18FC" w:rsidRDefault="002E51B7" w:rsidP="00B330D4">
            <w:pPr>
              <w:spacing w:line="240" w:lineRule="auto"/>
              <w:rPr>
                <w:bCs w:val="0"/>
              </w:rPr>
            </w:pPr>
            <w:r w:rsidRPr="001E18FC">
              <w:rPr>
                <w:bCs w:val="0"/>
              </w:rPr>
              <w:lastRenderedPageBreak/>
              <w:t>4</w:t>
            </w:r>
          </w:p>
        </w:tc>
        <w:tc>
          <w:tcPr>
            <w:tcW w:w="1387" w:type="dxa"/>
            <w:tcBorders>
              <w:left w:val="single" w:sz="8" w:space="0" w:color="auto"/>
              <w:bottom w:val="single" w:sz="8" w:space="0" w:color="auto"/>
              <w:right w:val="single" w:sz="8" w:space="0" w:color="auto"/>
            </w:tcBorders>
            <w:tcMar>
              <w:top w:w="100" w:type="dxa"/>
              <w:left w:w="100" w:type="dxa"/>
              <w:bottom w:w="100" w:type="dxa"/>
              <w:right w:w="100" w:type="dxa"/>
            </w:tcMar>
            <w:hideMark/>
          </w:tcPr>
          <w:p w14:paraId="733A4511" w14:textId="77777777" w:rsidR="002E51B7" w:rsidRPr="001E18FC" w:rsidRDefault="002E51B7" w:rsidP="00B330D4">
            <w:pPr>
              <w:spacing w:line="240" w:lineRule="auto"/>
              <w:rPr>
                <w:bCs w:val="0"/>
              </w:rPr>
            </w:pPr>
            <w:r w:rsidRPr="001E18FC">
              <w:rPr>
                <w:bCs w:val="0"/>
              </w:rPr>
              <w:t>Wilkinson et al.</w:t>
            </w:r>
            <w:r>
              <w:rPr>
                <w:bCs w:val="0"/>
              </w:rPr>
              <w:t xml:space="preserve"> </w:t>
            </w:r>
            <w:r>
              <w:rPr>
                <w:bCs w:val="0"/>
              </w:rPr>
              <w:fldChar w:fldCharType="begin"/>
            </w:r>
            <w:r>
              <w:rPr>
                <w:bCs w:val="0"/>
              </w:rPr>
              <w:instrText xml:space="preserve"> ADDIN ZOTERO_ITEM CSL_CITATION {"citationID":"iYKSrJLT","properties":{"formattedCitation":"[26]","plainCitation":"[26]","noteIndex":0},"citationItems":[{"id":500,"uris":["http://zotero.org/users/local/U0NhoMYh/items/IAM9TSY3"],"itemData":{"id":500,"type":"article-journal","abstract":"Purpose\nTo understand the patient characteristics associated with treatment choice at the first treatment intensification for type 2 diabetes.\n\nPatients and methods\nThis is a noninterventional study, using UK electronic primary care records from the Clinical Practice Research Datalink. We included adults treated with metformin monotherapy between January 2000 and July 2017. The outcome of interest was the drug prescribed at first intensification between 2014 and 2017. We used multinomial logistic regression to calculate the ORs for associations between the drugs and patient characteristics.\n\nResults\nIn total, 14,146 people started treatment with an intensification drug. Younger people were substantially more likely to be prescribed sodium-glucose co-transporter-2 inhibitors (SGLT2is), than sulfonylureas (SUs): OR for SGLT2i prescription for those aged &lt;30 years was 2.47 (95% CI 1.39–4.39) compared with those aged 60–70 years. Both overweight and obesity were associated with greater odds of being prescribed dipeptidyl peptidase-4 inhibitor (DPP4i) or SGLT2i. People of non-white ethnicity were less likely to be prescribed SGLT2i or DPP4i: compared with white patients, the OR of being prescribed SGLT2i among South Asians is 0.60 (95% CI 0.42–0.85), and for black people, the OR is 0.54 (95% CI 0.30–0.97). Lower socioeconomic status was also independently associated with reduced odds of being prescribed SGLT2is.\n\nConclusion\nBoth clinical and demographic factors are associated with prescribing at the first stage of treatment intensification, with older and non-white people less likely to receive new antidiabetic treatments. Our results suggest that the selection of treatment options used at the first stage of treatment intensification for type 2 diabetes is not driven by clinical need alone.","container-title":"Clinical Epidemiology","DOI":"10.2147/CLEP.S176142","ISSN":"1179-1349","journalAbbreviation":"Clin Epidemiol","note":"PMID: 30519112\nPMCID: PMC6233860","page":"1639-1648","source":"PubMed Central","title":"Factors associated with choice of intensification treatment for type 2 diabetes after metformin monotherapy: a cohort study in UK primary care","title-short":"Factors associated with choice of intensification treatment for type 2 diabetes after metformin monotherapy","volume":"10","author":[{"family":"Wilkinson","given":"Samantha"},{"family":"Douglas","given":"Ian J"},{"family":"Williamson","given":"Elizabeth"},{"family":"Stirnadel-Farrant","given":"Heide A"},{"family":"Fogarty","given":"Damian"},{"family":"Pokrajac","given":"Ana"},{"family":"Smeeth","given":"Liam"},{"family":"Tomlinson","given":"Laurie A"}],"issued":{"date-parts":[["2018",11,8]]}}}],"schema":"https://github.com/citation-style-language/schema/raw/master/csl-citation.json"} </w:instrText>
            </w:r>
            <w:r>
              <w:rPr>
                <w:bCs w:val="0"/>
              </w:rPr>
              <w:fldChar w:fldCharType="separate"/>
            </w:r>
            <w:r>
              <w:rPr>
                <w:bCs w:val="0"/>
                <w:noProof/>
              </w:rPr>
              <w:t>[26]</w:t>
            </w:r>
            <w:r>
              <w:rPr>
                <w:bCs w:val="0"/>
              </w:rPr>
              <w:fldChar w:fldCharType="end"/>
            </w:r>
          </w:p>
        </w:tc>
        <w:tc>
          <w:tcPr>
            <w:tcW w:w="1200" w:type="dxa"/>
            <w:tcBorders>
              <w:left w:val="single" w:sz="8" w:space="0" w:color="auto"/>
              <w:bottom w:val="single" w:sz="8" w:space="0" w:color="auto"/>
              <w:right w:val="single" w:sz="8" w:space="0" w:color="auto"/>
            </w:tcBorders>
            <w:tcMar>
              <w:top w:w="100" w:type="dxa"/>
              <w:left w:w="100" w:type="dxa"/>
              <w:bottom w:w="100" w:type="dxa"/>
              <w:right w:w="100" w:type="dxa"/>
            </w:tcMar>
            <w:hideMark/>
          </w:tcPr>
          <w:p w14:paraId="1D789B0F" w14:textId="77777777" w:rsidR="002E51B7" w:rsidRPr="001E18FC" w:rsidRDefault="002E51B7" w:rsidP="00B330D4">
            <w:pPr>
              <w:spacing w:line="240" w:lineRule="auto"/>
              <w:rPr>
                <w:bCs w:val="0"/>
              </w:rPr>
            </w:pPr>
            <w:r w:rsidRPr="001E18FC">
              <w:rPr>
                <w:bCs w:val="0"/>
              </w:rPr>
              <w:t>UK</w:t>
            </w:r>
          </w:p>
        </w:tc>
        <w:tc>
          <w:tcPr>
            <w:tcW w:w="1252" w:type="dxa"/>
            <w:tcBorders>
              <w:left w:val="single" w:sz="8" w:space="0" w:color="auto"/>
              <w:bottom w:val="single" w:sz="8" w:space="0" w:color="auto"/>
              <w:right w:val="single" w:sz="8" w:space="0" w:color="auto"/>
            </w:tcBorders>
            <w:tcMar>
              <w:top w:w="100" w:type="dxa"/>
              <w:left w:w="100" w:type="dxa"/>
              <w:bottom w:w="100" w:type="dxa"/>
              <w:right w:w="100" w:type="dxa"/>
            </w:tcMar>
            <w:hideMark/>
          </w:tcPr>
          <w:p w14:paraId="36E147EC" w14:textId="77777777" w:rsidR="002E51B7" w:rsidRPr="001E18FC" w:rsidRDefault="002E51B7" w:rsidP="00B330D4">
            <w:pPr>
              <w:spacing w:line="240" w:lineRule="auto"/>
              <w:rPr>
                <w:bCs w:val="0"/>
              </w:rPr>
            </w:pPr>
            <w:r w:rsidRPr="001E18FC">
              <w:rPr>
                <w:bCs w:val="0"/>
              </w:rPr>
              <w:t>Cohort study using UK electronic primary care records from the CPRD​.</w:t>
            </w:r>
          </w:p>
        </w:tc>
        <w:tc>
          <w:tcPr>
            <w:tcW w:w="1754" w:type="dxa"/>
            <w:tcBorders>
              <w:left w:val="single" w:sz="8" w:space="0" w:color="auto"/>
              <w:bottom w:val="single" w:sz="8" w:space="0" w:color="auto"/>
              <w:right w:val="single" w:sz="8" w:space="0" w:color="auto"/>
            </w:tcBorders>
            <w:tcMar>
              <w:top w:w="100" w:type="dxa"/>
              <w:left w:w="100" w:type="dxa"/>
              <w:bottom w:w="100" w:type="dxa"/>
              <w:right w:w="100" w:type="dxa"/>
            </w:tcMar>
            <w:hideMark/>
          </w:tcPr>
          <w:p w14:paraId="7B90E86C" w14:textId="77777777" w:rsidR="002E51B7" w:rsidRPr="001E18FC" w:rsidRDefault="002E51B7" w:rsidP="00B330D4">
            <w:pPr>
              <w:spacing w:line="240" w:lineRule="auto"/>
              <w:rPr>
                <w:bCs w:val="0"/>
              </w:rPr>
            </w:pPr>
            <w:r w:rsidRPr="001E18FC">
              <w:rPr>
                <w:bCs w:val="0"/>
              </w:rPr>
              <w:t>N=14,146 </w:t>
            </w:r>
          </w:p>
          <w:p w14:paraId="01316037" w14:textId="77777777" w:rsidR="002E51B7" w:rsidRPr="001E18FC" w:rsidRDefault="002E51B7" w:rsidP="00B330D4">
            <w:pPr>
              <w:spacing w:line="240" w:lineRule="auto"/>
              <w:rPr>
                <w:bCs w:val="0"/>
              </w:rPr>
            </w:pPr>
            <w:r w:rsidRPr="001E18FC">
              <w:rPr>
                <w:bCs w:val="0"/>
              </w:rPr>
              <w:t>(White, South Asian, Black, and Mixed/Other), proportions of each ethnicity not specified  </w:t>
            </w:r>
          </w:p>
          <w:p w14:paraId="5E44BD86" w14:textId="77777777" w:rsidR="002E51B7" w:rsidRPr="001E18FC" w:rsidRDefault="002E51B7" w:rsidP="00B330D4">
            <w:pPr>
              <w:spacing w:line="240" w:lineRule="auto"/>
              <w:rPr>
                <w:bCs w:val="0"/>
              </w:rPr>
            </w:pPr>
            <w:r w:rsidRPr="001E18FC">
              <w:rPr>
                <w:bCs w:val="0"/>
              </w:rPr>
              <w:t> </w:t>
            </w:r>
          </w:p>
          <w:p w14:paraId="0E27A995" w14:textId="77777777" w:rsidR="002E51B7" w:rsidRPr="001E18FC" w:rsidRDefault="002E51B7" w:rsidP="00B330D4">
            <w:pPr>
              <w:spacing w:line="240" w:lineRule="auto"/>
              <w:rPr>
                <w:bCs w:val="0"/>
              </w:rPr>
            </w:pPr>
            <w:r w:rsidRPr="001E18FC">
              <w:rPr>
                <w:bCs w:val="0"/>
              </w:rPr>
              <w:t>Age &gt;=18</w:t>
            </w:r>
          </w:p>
          <w:p w14:paraId="22A16749" w14:textId="77777777" w:rsidR="002E51B7" w:rsidRPr="001E18FC" w:rsidRDefault="002E51B7" w:rsidP="00B330D4">
            <w:pPr>
              <w:spacing w:line="240" w:lineRule="auto"/>
              <w:rPr>
                <w:bCs w:val="0"/>
              </w:rPr>
            </w:pPr>
            <w:r w:rsidRPr="001E18FC">
              <w:rPr>
                <w:bCs w:val="0"/>
              </w:rPr>
              <w:t>Mean age = 60 </w:t>
            </w:r>
          </w:p>
          <w:p w14:paraId="2504312A" w14:textId="77777777" w:rsidR="002E51B7" w:rsidRPr="001E18FC" w:rsidRDefault="002E51B7" w:rsidP="00B330D4">
            <w:pPr>
              <w:spacing w:line="240" w:lineRule="auto"/>
              <w:rPr>
                <w:bCs w:val="0"/>
              </w:rPr>
            </w:pPr>
            <w:r w:rsidRPr="001E18FC">
              <w:rPr>
                <w:bCs w:val="0"/>
              </w:rPr>
              <w:t> </w:t>
            </w:r>
          </w:p>
          <w:p w14:paraId="2CDEE356" w14:textId="77777777" w:rsidR="002E51B7" w:rsidRPr="001E18FC" w:rsidRDefault="002E51B7" w:rsidP="00B330D4">
            <w:pPr>
              <w:spacing w:line="240" w:lineRule="auto"/>
              <w:rPr>
                <w:bCs w:val="0"/>
              </w:rPr>
            </w:pPr>
            <w:r w:rsidRPr="001E18FC">
              <w:rPr>
                <w:bCs w:val="0"/>
              </w:rPr>
              <w:t>Patients with T2DM who initiated treatment with metformin monotherapy between 2000 and 2017 and required intensification between 2014 and 2017​</w:t>
            </w:r>
          </w:p>
        </w:tc>
        <w:tc>
          <w:tcPr>
            <w:tcW w:w="1606" w:type="dxa"/>
            <w:tcBorders>
              <w:left w:val="single" w:sz="8" w:space="0" w:color="auto"/>
              <w:bottom w:val="single" w:sz="8" w:space="0" w:color="auto"/>
              <w:right w:val="single" w:sz="8" w:space="0" w:color="auto"/>
            </w:tcBorders>
            <w:tcMar>
              <w:top w:w="100" w:type="dxa"/>
              <w:left w:w="100" w:type="dxa"/>
              <w:bottom w:w="100" w:type="dxa"/>
              <w:right w:w="100" w:type="dxa"/>
            </w:tcMar>
            <w:hideMark/>
          </w:tcPr>
          <w:p w14:paraId="7DC4343A" w14:textId="77777777" w:rsidR="002E51B7" w:rsidRPr="001E18FC" w:rsidRDefault="002E51B7" w:rsidP="00B330D4">
            <w:pPr>
              <w:spacing w:line="240" w:lineRule="auto"/>
              <w:rPr>
                <w:bCs w:val="0"/>
              </w:rPr>
            </w:pPr>
            <w:r w:rsidRPr="001E18FC">
              <w:rPr>
                <w:bCs w:val="0"/>
              </w:rPr>
              <w:t>To identify patient characteristics such as ethnicity, associated with the choice of second-line antidiabetic treatment after metformin monotherapy​</w:t>
            </w:r>
          </w:p>
        </w:tc>
        <w:tc>
          <w:tcPr>
            <w:tcW w:w="1609" w:type="dxa"/>
            <w:tcBorders>
              <w:left w:val="single" w:sz="8" w:space="0" w:color="auto"/>
              <w:bottom w:val="single" w:sz="8" w:space="0" w:color="auto"/>
              <w:right w:val="single" w:sz="8" w:space="0" w:color="auto"/>
            </w:tcBorders>
            <w:tcMar>
              <w:top w:w="100" w:type="dxa"/>
              <w:left w:w="100" w:type="dxa"/>
              <w:bottom w:w="100" w:type="dxa"/>
              <w:right w:w="100" w:type="dxa"/>
            </w:tcMar>
            <w:hideMark/>
          </w:tcPr>
          <w:p w14:paraId="6B149B0A" w14:textId="77777777" w:rsidR="002E51B7" w:rsidRPr="001E18FC" w:rsidRDefault="002E51B7" w:rsidP="00B330D4">
            <w:pPr>
              <w:spacing w:line="240" w:lineRule="auto"/>
              <w:rPr>
                <w:bCs w:val="0"/>
              </w:rPr>
            </w:pPr>
            <w:r w:rsidRPr="001E18FC">
              <w:rPr>
                <w:bCs w:val="0"/>
              </w:rPr>
              <w:t>Older non-insulin medications: </w:t>
            </w:r>
          </w:p>
          <w:p w14:paraId="108CC626" w14:textId="77777777" w:rsidR="002E51B7" w:rsidRPr="001E18FC" w:rsidRDefault="002E51B7" w:rsidP="00B330D4">
            <w:pPr>
              <w:spacing w:line="240" w:lineRule="auto"/>
              <w:rPr>
                <w:bCs w:val="0"/>
              </w:rPr>
            </w:pPr>
            <w:r w:rsidRPr="001E18FC">
              <w:rPr>
                <w:bCs w:val="0"/>
              </w:rPr>
              <w:t>SU</w:t>
            </w:r>
          </w:p>
          <w:p w14:paraId="039A487F" w14:textId="77777777" w:rsidR="002E51B7" w:rsidRPr="001E18FC" w:rsidRDefault="002E51B7" w:rsidP="00B330D4">
            <w:pPr>
              <w:spacing w:line="240" w:lineRule="auto"/>
              <w:rPr>
                <w:bCs w:val="0"/>
              </w:rPr>
            </w:pPr>
            <w:r w:rsidRPr="001E18FC">
              <w:rPr>
                <w:bCs w:val="0"/>
              </w:rPr>
              <w:t>(baseline)</w:t>
            </w:r>
          </w:p>
          <w:p w14:paraId="50DBD573" w14:textId="77777777" w:rsidR="002E51B7" w:rsidRPr="001E18FC" w:rsidRDefault="002E51B7" w:rsidP="00B330D4">
            <w:pPr>
              <w:spacing w:line="240" w:lineRule="auto"/>
              <w:rPr>
                <w:bCs w:val="0"/>
              </w:rPr>
            </w:pPr>
            <w:r w:rsidRPr="001E18FC">
              <w:rPr>
                <w:bCs w:val="0"/>
              </w:rPr>
              <w:t> </w:t>
            </w:r>
          </w:p>
          <w:p w14:paraId="1C988827" w14:textId="77777777" w:rsidR="002E51B7" w:rsidRPr="001E18FC" w:rsidRDefault="002E51B7" w:rsidP="00B330D4">
            <w:pPr>
              <w:spacing w:line="240" w:lineRule="auto"/>
              <w:rPr>
                <w:bCs w:val="0"/>
              </w:rPr>
            </w:pPr>
            <w:r w:rsidRPr="001E18FC">
              <w:rPr>
                <w:bCs w:val="0"/>
              </w:rPr>
              <w:t>New generation medications:</w:t>
            </w:r>
          </w:p>
          <w:p w14:paraId="22ABFECF" w14:textId="77777777" w:rsidR="002E51B7" w:rsidRPr="001E18FC" w:rsidRDefault="002E51B7" w:rsidP="00B330D4">
            <w:pPr>
              <w:spacing w:line="240" w:lineRule="auto"/>
              <w:rPr>
                <w:bCs w:val="0"/>
              </w:rPr>
            </w:pPr>
            <w:r w:rsidRPr="001E18FC">
              <w:rPr>
                <w:bCs w:val="0"/>
              </w:rPr>
              <w:t>DPP-4i, </w:t>
            </w:r>
          </w:p>
          <w:p w14:paraId="3B5B1F58" w14:textId="77777777" w:rsidR="002E51B7" w:rsidRPr="001E18FC" w:rsidRDefault="002E51B7" w:rsidP="00B330D4">
            <w:pPr>
              <w:spacing w:line="240" w:lineRule="auto"/>
              <w:rPr>
                <w:bCs w:val="0"/>
              </w:rPr>
            </w:pPr>
            <w:r w:rsidRPr="001E18FC">
              <w:rPr>
                <w:bCs w:val="0"/>
              </w:rPr>
              <w:t>SGLT2i</w:t>
            </w:r>
          </w:p>
        </w:tc>
        <w:tc>
          <w:tcPr>
            <w:tcW w:w="1656" w:type="dxa"/>
            <w:tcBorders>
              <w:left w:val="single" w:sz="8" w:space="0" w:color="auto"/>
              <w:bottom w:val="single" w:sz="8" w:space="0" w:color="auto"/>
              <w:right w:val="single" w:sz="8" w:space="0" w:color="auto"/>
            </w:tcBorders>
            <w:tcMar>
              <w:top w:w="100" w:type="dxa"/>
              <w:left w:w="100" w:type="dxa"/>
              <w:bottom w:w="100" w:type="dxa"/>
              <w:right w:w="100" w:type="dxa"/>
            </w:tcMar>
            <w:hideMark/>
          </w:tcPr>
          <w:p w14:paraId="31CE4C22" w14:textId="77777777" w:rsidR="002E51B7" w:rsidRPr="001E18FC" w:rsidRDefault="002E51B7" w:rsidP="00B330D4">
            <w:pPr>
              <w:spacing w:line="240" w:lineRule="auto"/>
              <w:rPr>
                <w:bCs w:val="0"/>
              </w:rPr>
            </w:pPr>
            <w:r w:rsidRPr="001E18FC">
              <w:rPr>
                <w:bCs w:val="0"/>
              </w:rPr>
              <w:t>The study compared prescribing patterns of glucose lowering drugs at first intensification,</w:t>
            </w:r>
          </w:p>
          <w:p w14:paraId="524B9409" w14:textId="77777777" w:rsidR="002E51B7" w:rsidRPr="001E18FC" w:rsidRDefault="002E51B7" w:rsidP="00B330D4">
            <w:pPr>
              <w:spacing w:line="240" w:lineRule="auto"/>
              <w:rPr>
                <w:bCs w:val="0"/>
              </w:rPr>
            </w:pPr>
            <w:r w:rsidRPr="001E18FC">
              <w:rPr>
                <w:bCs w:val="0"/>
              </w:rPr>
              <w:t>based on patient factors including ethnicity</w:t>
            </w:r>
          </w:p>
        </w:tc>
        <w:tc>
          <w:tcPr>
            <w:tcW w:w="2159" w:type="dxa"/>
            <w:tcBorders>
              <w:left w:val="single" w:sz="8" w:space="0" w:color="auto"/>
              <w:bottom w:val="single" w:sz="8" w:space="0" w:color="auto"/>
              <w:right w:val="single" w:sz="8" w:space="0" w:color="auto"/>
            </w:tcBorders>
            <w:tcMar>
              <w:top w:w="100" w:type="dxa"/>
              <w:left w:w="100" w:type="dxa"/>
              <w:bottom w:w="100" w:type="dxa"/>
              <w:right w:w="100" w:type="dxa"/>
            </w:tcMar>
            <w:hideMark/>
          </w:tcPr>
          <w:p w14:paraId="387AF563" w14:textId="77777777" w:rsidR="002E51B7" w:rsidRPr="001E18FC" w:rsidRDefault="002E51B7" w:rsidP="00B330D4">
            <w:pPr>
              <w:spacing w:line="240" w:lineRule="auto"/>
              <w:rPr>
                <w:bCs w:val="0"/>
              </w:rPr>
            </w:pPr>
            <w:r w:rsidRPr="001E18FC">
              <w:rPr>
                <w:bCs w:val="0"/>
              </w:rPr>
              <w:t>South Asian patients were less likely than White patients to be prescribed SGLT2i and compared to SUs</w:t>
            </w:r>
          </w:p>
          <w:p w14:paraId="6024A1D1" w14:textId="6D1BCFEB" w:rsidR="002E51B7" w:rsidRPr="001E18FC" w:rsidRDefault="002E51B7" w:rsidP="00B330D4">
            <w:pPr>
              <w:spacing w:line="240" w:lineRule="auto"/>
              <w:rPr>
                <w:bCs w:val="0"/>
              </w:rPr>
            </w:pPr>
            <w:r w:rsidRPr="001E18FC">
              <w:rPr>
                <w:bCs w:val="0"/>
              </w:rPr>
              <w:t>with OR= 0.60 (95% Cl [0.42 - 0.85]) for SGLT2i among South Asians</w:t>
            </w:r>
            <w:r w:rsidR="008B31E5">
              <w:rPr>
                <w:bCs w:val="0"/>
              </w:rPr>
              <w:t>.</w:t>
            </w:r>
          </w:p>
        </w:tc>
        <w:tc>
          <w:tcPr>
            <w:tcW w:w="2475" w:type="dxa"/>
            <w:tcBorders>
              <w:left w:val="single" w:sz="8" w:space="0" w:color="auto"/>
              <w:bottom w:val="single" w:sz="8" w:space="0" w:color="auto"/>
            </w:tcBorders>
            <w:tcMar>
              <w:top w:w="100" w:type="dxa"/>
              <w:left w:w="100" w:type="dxa"/>
              <w:bottom w:w="100" w:type="dxa"/>
              <w:right w:w="100" w:type="dxa"/>
            </w:tcMar>
            <w:hideMark/>
          </w:tcPr>
          <w:p w14:paraId="7860BA5F" w14:textId="77777777" w:rsidR="002E51B7" w:rsidRPr="001E18FC" w:rsidRDefault="002E51B7" w:rsidP="00B330D4">
            <w:pPr>
              <w:spacing w:line="240" w:lineRule="auto"/>
              <w:rPr>
                <w:bCs w:val="0"/>
              </w:rPr>
            </w:pPr>
            <w:r w:rsidRPr="001E18FC">
              <w:rPr>
                <w:bCs w:val="0"/>
              </w:rPr>
              <w:t>Prescriptions in secondary care or specialist community care were not captured.</w:t>
            </w:r>
          </w:p>
          <w:p w14:paraId="31DABA7C" w14:textId="77777777" w:rsidR="002E51B7" w:rsidRPr="001E18FC" w:rsidRDefault="002E51B7" w:rsidP="00B330D4">
            <w:pPr>
              <w:spacing w:line="240" w:lineRule="auto"/>
              <w:rPr>
                <w:bCs w:val="0"/>
              </w:rPr>
            </w:pPr>
            <w:r w:rsidRPr="001E18FC">
              <w:rPr>
                <w:bCs w:val="0"/>
              </w:rPr>
              <w:t> </w:t>
            </w:r>
          </w:p>
          <w:p w14:paraId="2F30F726" w14:textId="77777777" w:rsidR="002E51B7" w:rsidRPr="001E18FC" w:rsidRDefault="002E51B7" w:rsidP="00B330D4">
            <w:pPr>
              <w:spacing w:line="240" w:lineRule="auto"/>
              <w:rPr>
                <w:bCs w:val="0"/>
              </w:rPr>
            </w:pPr>
            <w:r w:rsidRPr="001E18FC">
              <w:rPr>
                <w:bCs w:val="0"/>
              </w:rPr>
              <w:t>Possible influence of local prescribing guidance from Clinical Commissioning Groups (CCGs), which was not accounted for in the analysis</w:t>
            </w:r>
          </w:p>
          <w:p w14:paraId="048626F4" w14:textId="77777777" w:rsidR="002E51B7" w:rsidRPr="001E18FC" w:rsidRDefault="002E51B7" w:rsidP="00B330D4">
            <w:pPr>
              <w:spacing w:line="240" w:lineRule="auto"/>
              <w:rPr>
                <w:bCs w:val="0"/>
              </w:rPr>
            </w:pPr>
            <w:r w:rsidRPr="001E18FC">
              <w:rPr>
                <w:bCs w:val="0"/>
              </w:rPr>
              <w:t> </w:t>
            </w:r>
          </w:p>
          <w:p w14:paraId="29911052" w14:textId="77777777" w:rsidR="002E51B7" w:rsidRPr="001E18FC" w:rsidRDefault="002E51B7" w:rsidP="00B330D4">
            <w:pPr>
              <w:spacing w:line="240" w:lineRule="auto"/>
              <w:rPr>
                <w:bCs w:val="0"/>
              </w:rPr>
            </w:pPr>
            <w:r w:rsidRPr="001E18FC">
              <w:rPr>
                <w:bCs w:val="0"/>
              </w:rPr>
              <w:t>Only used data from primary care records</w:t>
            </w:r>
          </w:p>
        </w:tc>
      </w:tr>
      <w:tr w:rsidR="002E51B7" w:rsidRPr="001E18FC" w14:paraId="2455DAFF" w14:textId="77777777" w:rsidTr="00B330D4">
        <w:trPr>
          <w:trHeight w:val="1878"/>
        </w:trPr>
        <w:tc>
          <w:tcPr>
            <w:tcW w:w="16161" w:type="dxa"/>
            <w:gridSpan w:val="10"/>
            <w:tcBorders>
              <w:top w:val="single" w:sz="8" w:space="0" w:color="auto"/>
              <w:left w:val="nil"/>
              <w:bottom w:val="nil"/>
              <w:right w:val="nil"/>
            </w:tcBorders>
            <w:tcMar>
              <w:top w:w="15" w:type="dxa"/>
              <w:left w:w="15" w:type="dxa"/>
              <w:bottom w:w="0" w:type="dxa"/>
              <w:right w:w="15" w:type="dxa"/>
            </w:tcMar>
            <w:vAlign w:val="center"/>
            <w:hideMark/>
          </w:tcPr>
          <w:p w14:paraId="56E3FF0D" w14:textId="77777777" w:rsidR="002E51B7" w:rsidRPr="001E18FC" w:rsidRDefault="002E51B7" w:rsidP="00B330D4">
            <w:pPr>
              <w:spacing w:line="240" w:lineRule="auto"/>
              <w:rPr>
                <w:b/>
              </w:rPr>
            </w:pPr>
          </w:p>
          <w:p w14:paraId="03BC8153" w14:textId="77777777" w:rsidR="002E51B7" w:rsidRPr="001E18FC" w:rsidRDefault="002E51B7" w:rsidP="00B330D4">
            <w:pPr>
              <w:spacing w:line="240" w:lineRule="auto"/>
              <w:rPr>
                <w:b/>
              </w:rPr>
            </w:pPr>
            <w:r w:rsidRPr="001E18FC">
              <w:rPr>
                <w:b/>
              </w:rPr>
              <w:t>Table 1</w:t>
            </w:r>
          </w:p>
          <w:p w14:paraId="71B9FA55" w14:textId="77777777" w:rsidR="002E51B7" w:rsidRPr="001E18FC" w:rsidRDefault="002E51B7" w:rsidP="00B330D4">
            <w:pPr>
              <w:spacing w:line="240" w:lineRule="auto"/>
              <w:rPr>
                <w:bCs w:val="0"/>
              </w:rPr>
            </w:pPr>
            <w:r w:rsidRPr="001E18FC">
              <w:rPr>
                <w:bCs w:val="0"/>
              </w:rPr>
              <w:t xml:space="preserve">Characteristics of Included Studies </w:t>
            </w:r>
          </w:p>
          <w:p w14:paraId="06C57D07" w14:textId="77777777" w:rsidR="002E51B7" w:rsidRPr="001E18FC" w:rsidRDefault="002E51B7" w:rsidP="00B330D4">
            <w:pPr>
              <w:spacing w:line="240" w:lineRule="auto"/>
              <w:rPr>
                <w:b/>
                <w:u w:val="single"/>
              </w:rPr>
            </w:pPr>
          </w:p>
          <w:p w14:paraId="615A2977" w14:textId="77777777" w:rsidR="002E51B7" w:rsidRPr="001E18FC" w:rsidRDefault="002E51B7" w:rsidP="00B330D4">
            <w:pPr>
              <w:spacing w:line="240" w:lineRule="auto"/>
            </w:pPr>
            <w:r w:rsidRPr="001E18FC">
              <w:rPr>
                <w:bCs w:val="0"/>
              </w:rPr>
              <w:t>Abbreviations: S</w:t>
            </w:r>
            <w:r w:rsidRPr="001E18FC">
              <w:t>U, sulfonylurea; DPP4i, dipeptidyl peptidase-4 inhibitor; SGLT2i, sodium–glucose cotransporter-2 inhibitor; GLP-1RA, glucagon-like peptide-1 receptor agonist; TZD, thiazolidinedione; T2DM, type 2 diabetes mellitus; CPRD, Clinical Practice Research Datalink; CI, confidence interval; KPNC, Kaiser Permanente Northern California; OR, odds ratio; therapeutic inertia, failure to intensify treatment.</w:t>
            </w:r>
          </w:p>
          <w:p w14:paraId="5AF5B5B6" w14:textId="77777777" w:rsidR="002E51B7" w:rsidRPr="001E18FC" w:rsidRDefault="002E51B7" w:rsidP="00B330D4">
            <w:pPr>
              <w:spacing w:line="240" w:lineRule="auto"/>
            </w:pPr>
          </w:p>
          <w:p w14:paraId="1F48EE25" w14:textId="77777777" w:rsidR="002E51B7" w:rsidRPr="001E18FC" w:rsidRDefault="002E51B7" w:rsidP="00B330D4">
            <w:pPr>
              <w:spacing w:line="240" w:lineRule="auto"/>
            </w:pPr>
          </w:p>
          <w:p w14:paraId="4BE4D1EA" w14:textId="77777777" w:rsidR="002E51B7" w:rsidRPr="001E18FC" w:rsidRDefault="002E51B7" w:rsidP="00B330D4">
            <w:pPr>
              <w:spacing w:line="240" w:lineRule="auto"/>
              <w:rPr>
                <w:bCs w:val="0"/>
              </w:rPr>
            </w:pPr>
          </w:p>
        </w:tc>
      </w:tr>
    </w:tbl>
    <w:p w14:paraId="1D0A9AAA" w14:textId="34C75878" w:rsidR="002E51B7" w:rsidRDefault="002E51B7" w:rsidP="002E51B7">
      <w:pPr>
        <w:spacing w:line="240" w:lineRule="auto"/>
      </w:pPr>
      <w:r w:rsidRPr="001E18FC">
        <w:br w:type="page"/>
      </w:r>
    </w:p>
    <w:sectPr w:rsidR="002E51B7" w:rsidSect="002E51B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ADAA1" w14:textId="77777777" w:rsidR="00CB4CAF" w:rsidRDefault="00CB4CAF" w:rsidP="00E84FDF">
      <w:pPr>
        <w:spacing w:line="240" w:lineRule="auto"/>
      </w:pPr>
      <w:r>
        <w:separator/>
      </w:r>
    </w:p>
  </w:endnote>
  <w:endnote w:type="continuationSeparator" w:id="0">
    <w:p w14:paraId="7235C14D" w14:textId="77777777" w:rsidR="00CB4CAF" w:rsidRDefault="00CB4CAF" w:rsidP="00E84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21F38" w14:textId="77777777" w:rsidR="00CB4CAF" w:rsidRDefault="00CB4CAF" w:rsidP="00E84FDF">
      <w:pPr>
        <w:spacing w:line="240" w:lineRule="auto"/>
      </w:pPr>
      <w:r>
        <w:separator/>
      </w:r>
    </w:p>
  </w:footnote>
  <w:footnote w:type="continuationSeparator" w:id="0">
    <w:p w14:paraId="696B7645" w14:textId="77777777" w:rsidR="00CB4CAF" w:rsidRDefault="00CB4CAF" w:rsidP="00E84F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C1EAF"/>
    <w:multiLevelType w:val="multilevel"/>
    <w:tmpl w:val="9482C2E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1802885"/>
    <w:multiLevelType w:val="hybridMultilevel"/>
    <w:tmpl w:val="3D9C0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D740DA"/>
    <w:multiLevelType w:val="multilevel"/>
    <w:tmpl w:val="6DB081A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99C1945"/>
    <w:multiLevelType w:val="hybridMultilevel"/>
    <w:tmpl w:val="20688CA8"/>
    <w:lvl w:ilvl="0" w:tplc="0809000F">
      <w:start w:val="1"/>
      <w:numFmt w:val="decimal"/>
      <w:lvlText w:val="%1."/>
      <w:lvlJc w:val="left"/>
      <w:pPr>
        <w:ind w:left="720" w:hanging="360"/>
      </w:pPr>
      <w:rPr>
        <w:rFonts w:hint="default"/>
      </w:rPr>
    </w:lvl>
    <w:lvl w:ilvl="1" w:tplc="A5D8F8C8">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79228E"/>
    <w:multiLevelType w:val="hybridMultilevel"/>
    <w:tmpl w:val="B8E6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6C260D"/>
    <w:multiLevelType w:val="hybridMultilevel"/>
    <w:tmpl w:val="FB883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925241"/>
    <w:multiLevelType w:val="hybridMultilevel"/>
    <w:tmpl w:val="ECD2F7E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8808673">
    <w:abstractNumId w:val="3"/>
  </w:num>
  <w:num w:numId="2" w16cid:durableId="2118864981">
    <w:abstractNumId w:val="2"/>
  </w:num>
  <w:num w:numId="3" w16cid:durableId="943000820">
    <w:abstractNumId w:val="0"/>
  </w:num>
  <w:num w:numId="4" w16cid:durableId="326517149">
    <w:abstractNumId w:val="6"/>
  </w:num>
  <w:num w:numId="5" w16cid:durableId="1115247310">
    <w:abstractNumId w:val="4"/>
  </w:num>
  <w:num w:numId="6" w16cid:durableId="659843593">
    <w:abstractNumId w:val="1"/>
  </w:num>
  <w:num w:numId="7" w16cid:durableId="76369346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DF"/>
    <w:rsid w:val="000008BB"/>
    <w:rsid w:val="00001011"/>
    <w:rsid w:val="00005B26"/>
    <w:rsid w:val="00006C28"/>
    <w:rsid w:val="00014B1C"/>
    <w:rsid w:val="00020F53"/>
    <w:rsid w:val="00021B50"/>
    <w:rsid w:val="00022D0C"/>
    <w:rsid w:val="00024226"/>
    <w:rsid w:val="00026CBF"/>
    <w:rsid w:val="00027198"/>
    <w:rsid w:val="00033D5E"/>
    <w:rsid w:val="00034D08"/>
    <w:rsid w:val="00044921"/>
    <w:rsid w:val="00046787"/>
    <w:rsid w:val="000477C2"/>
    <w:rsid w:val="000531EA"/>
    <w:rsid w:val="00054D4B"/>
    <w:rsid w:val="000557AC"/>
    <w:rsid w:val="00055D22"/>
    <w:rsid w:val="000709C5"/>
    <w:rsid w:val="00072B6A"/>
    <w:rsid w:val="00075889"/>
    <w:rsid w:val="00076C40"/>
    <w:rsid w:val="00077FEE"/>
    <w:rsid w:val="00084E4F"/>
    <w:rsid w:val="00091752"/>
    <w:rsid w:val="000A05EC"/>
    <w:rsid w:val="000A4B21"/>
    <w:rsid w:val="000A5504"/>
    <w:rsid w:val="000A7C0E"/>
    <w:rsid w:val="000B0DE2"/>
    <w:rsid w:val="000B2472"/>
    <w:rsid w:val="000D08EB"/>
    <w:rsid w:val="000D66CA"/>
    <w:rsid w:val="000D6F75"/>
    <w:rsid w:val="000E084E"/>
    <w:rsid w:val="000E0D0B"/>
    <w:rsid w:val="000E22AE"/>
    <w:rsid w:val="000F0977"/>
    <w:rsid w:val="000F65E6"/>
    <w:rsid w:val="00100B72"/>
    <w:rsid w:val="00101038"/>
    <w:rsid w:val="00102403"/>
    <w:rsid w:val="001031CA"/>
    <w:rsid w:val="001107B0"/>
    <w:rsid w:val="0011266B"/>
    <w:rsid w:val="0011296B"/>
    <w:rsid w:val="001176B2"/>
    <w:rsid w:val="00122D44"/>
    <w:rsid w:val="00124EDF"/>
    <w:rsid w:val="00131129"/>
    <w:rsid w:val="00131ABB"/>
    <w:rsid w:val="001327A6"/>
    <w:rsid w:val="00140446"/>
    <w:rsid w:val="0014250B"/>
    <w:rsid w:val="001440A9"/>
    <w:rsid w:val="00145C45"/>
    <w:rsid w:val="0014614F"/>
    <w:rsid w:val="0015101D"/>
    <w:rsid w:val="0015373C"/>
    <w:rsid w:val="00156414"/>
    <w:rsid w:val="00160CAD"/>
    <w:rsid w:val="00162A7B"/>
    <w:rsid w:val="00167218"/>
    <w:rsid w:val="00172979"/>
    <w:rsid w:val="0017378A"/>
    <w:rsid w:val="00173AF6"/>
    <w:rsid w:val="001778BD"/>
    <w:rsid w:val="00180507"/>
    <w:rsid w:val="001A1EB3"/>
    <w:rsid w:val="001A28F9"/>
    <w:rsid w:val="001A46D5"/>
    <w:rsid w:val="001A5B89"/>
    <w:rsid w:val="001A63A3"/>
    <w:rsid w:val="001B5940"/>
    <w:rsid w:val="001C0B43"/>
    <w:rsid w:val="001C13D9"/>
    <w:rsid w:val="001C30BA"/>
    <w:rsid w:val="001D4E08"/>
    <w:rsid w:val="001D53E6"/>
    <w:rsid w:val="001E18FC"/>
    <w:rsid w:val="001E3D3A"/>
    <w:rsid w:val="001E7CB2"/>
    <w:rsid w:val="001F0315"/>
    <w:rsid w:val="001F252E"/>
    <w:rsid w:val="001F6D63"/>
    <w:rsid w:val="00204E60"/>
    <w:rsid w:val="0021012A"/>
    <w:rsid w:val="00210B87"/>
    <w:rsid w:val="00211AAE"/>
    <w:rsid w:val="00215A23"/>
    <w:rsid w:val="00222006"/>
    <w:rsid w:val="00227B74"/>
    <w:rsid w:val="00235F0E"/>
    <w:rsid w:val="0024630E"/>
    <w:rsid w:val="0025084F"/>
    <w:rsid w:val="002542C1"/>
    <w:rsid w:val="002546D6"/>
    <w:rsid w:val="00261BC1"/>
    <w:rsid w:val="00262390"/>
    <w:rsid w:val="0026505B"/>
    <w:rsid w:val="00270119"/>
    <w:rsid w:val="00275154"/>
    <w:rsid w:val="00277750"/>
    <w:rsid w:val="00291F1D"/>
    <w:rsid w:val="00295F33"/>
    <w:rsid w:val="00297E20"/>
    <w:rsid w:val="002A351A"/>
    <w:rsid w:val="002A5664"/>
    <w:rsid w:val="002A6800"/>
    <w:rsid w:val="002B73ED"/>
    <w:rsid w:val="002C0813"/>
    <w:rsid w:val="002C1C64"/>
    <w:rsid w:val="002D11B2"/>
    <w:rsid w:val="002D1E36"/>
    <w:rsid w:val="002D1E94"/>
    <w:rsid w:val="002E3E49"/>
    <w:rsid w:val="002E51B7"/>
    <w:rsid w:val="002E660C"/>
    <w:rsid w:val="002F01A8"/>
    <w:rsid w:val="002F19EE"/>
    <w:rsid w:val="002F22C0"/>
    <w:rsid w:val="002F511F"/>
    <w:rsid w:val="002F70F9"/>
    <w:rsid w:val="003017D5"/>
    <w:rsid w:val="003052F1"/>
    <w:rsid w:val="00305ED3"/>
    <w:rsid w:val="0030704C"/>
    <w:rsid w:val="00322CA3"/>
    <w:rsid w:val="00323F16"/>
    <w:rsid w:val="003241AE"/>
    <w:rsid w:val="00325838"/>
    <w:rsid w:val="003319D5"/>
    <w:rsid w:val="003341FE"/>
    <w:rsid w:val="00335148"/>
    <w:rsid w:val="0034002D"/>
    <w:rsid w:val="00343489"/>
    <w:rsid w:val="003440E1"/>
    <w:rsid w:val="00345108"/>
    <w:rsid w:val="0035582F"/>
    <w:rsid w:val="00357B8B"/>
    <w:rsid w:val="00361573"/>
    <w:rsid w:val="00363960"/>
    <w:rsid w:val="003647F7"/>
    <w:rsid w:val="00370A4A"/>
    <w:rsid w:val="00374C40"/>
    <w:rsid w:val="0037500C"/>
    <w:rsid w:val="00381C0A"/>
    <w:rsid w:val="003862B9"/>
    <w:rsid w:val="00386348"/>
    <w:rsid w:val="00387D28"/>
    <w:rsid w:val="0039419E"/>
    <w:rsid w:val="00397BE8"/>
    <w:rsid w:val="003A0C39"/>
    <w:rsid w:val="003A2AE8"/>
    <w:rsid w:val="003A613A"/>
    <w:rsid w:val="003A71B4"/>
    <w:rsid w:val="003A7928"/>
    <w:rsid w:val="003B6441"/>
    <w:rsid w:val="003C0F37"/>
    <w:rsid w:val="003C195F"/>
    <w:rsid w:val="003C2FD7"/>
    <w:rsid w:val="003D0C42"/>
    <w:rsid w:val="003D4BE0"/>
    <w:rsid w:val="003E1684"/>
    <w:rsid w:val="003E4B17"/>
    <w:rsid w:val="00405685"/>
    <w:rsid w:val="00405831"/>
    <w:rsid w:val="004066C3"/>
    <w:rsid w:val="00407BB1"/>
    <w:rsid w:val="004100E2"/>
    <w:rsid w:val="00410983"/>
    <w:rsid w:val="00412D8A"/>
    <w:rsid w:val="00423E3C"/>
    <w:rsid w:val="00425434"/>
    <w:rsid w:val="00427DB1"/>
    <w:rsid w:val="00436363"/>
    <w:rsid w:val="0044201D"/>
    <w:rsid w:val="004456F1"/>
    <w:rsid w:val="00446AC5"/>
    <w:rsid w:val="00447506"/>
    <w:rsid w:val="00454DFE"/>
    <w:rsid w:val="00466655"/>
    <w:rsid w:val="00475396"/>
    <w:rsid w:val="0048245E"/>
    <w:rsid w:val="0048545D"/>
    <w:rsid w:val="004868B8"/>
    <w:rsid w:val="00487A54"/>
    <w:rsid w:val="0049018A"/>
    <w:rsid w:val="004923FD"/>
    <w:rsid w:val="00492F1B"/>
    <w:rsid w:val="00495859"/>
    <w:rsid w:val="00495BDC"/>
    <w:rsid w:val="00496331"/>
    <w:rsid w:val="004B25C6"/>
    <w:rsid w:val="004B498B"/>
    <w:rsid w:val="004B7E34"/>
    <w:rsid w:val="004C0684"/>
    <w:rsid w:val="004C50A7"/>
    <w:rsid w:val="004D0CDE"/>
    <w:rsid w:val="004D276D"/>
    <w:rsid w:val="004E255D"/>
    <w:rsid w:val="004E324E"/>
    <w:rsid w:val="004E502D"/>
    <w:rsid w:val="004E56D2"/>
    <w:rsid w:val="004F24F9"/>
    <w:rsid w:val="004F367D"/>
    <w:rsid w:val="004F64C8"/>
    <w:rsid w:val="00506070"/>
    <w:rsid w:val="0051081C"/>
    <w:rsid w:val="00521C6A"/>
    <w:rsid w:val="00531115"/>
    <w:rsid w:val="0053173B"/>
    <w:rsid w:val="00532477"/>
    <w:rsid w:val="00535E5B"/>
    <w:rsid w:val="00537F94"/>
    <w:rsid w:val="00540E5A"/>
    <w:rsid w:val="005435E8"/>
    <w:rsid w:val="0054699E"/>
    <w:rsid w:val="005543DC"/>
    <w:rsid w:val="00554DC2"/>
    <w:rsid w:val="0056297C"/>
    <w:rsid w:val="00563406"/>
    <w:rsid w:val="00575CBA"/>
    <w:rsid w:val="0057701D"/>
    <w:rsid w:val="0058224A"/>
    <w:rsid w:val="00584EF3"/>
    <w:rsid w:val="005877F8"/>
    <w:rsid w:val="00587CC7"/>
    <w:rsid w:val="0059772C"/>
    <w:rsid w:val="005A1CD5"/>
    <w:rsid w:val="005A398F"/>
    <w:rsid w:val="005A4C1E"/>
    <w:rsid w:val="005B1E69"/>
    <w:rsid w:val="005B36D4"/>
    <w:rsid w:val="005B701D"/>
    <w:rsid w:val="005C0647"/>
    <w:rsid w:val="005C12C4"/>
    <w:rsid w:val="005D1BE1"/>
    <w:rsid w:val="005D20C2"/>
    <w:rsid w:val="005E3DC6"/>
    <w:rsid w:val="005E5465"/>
    <w:rsid w:val="005E563C"/>
    <w:rsid w:val="005E5A17"/>
    <w:rsid w:val="005E64C3"/>
    <w:rsid w:val="005F4271"/>
    <w:rsid w:val="005F4FB1"/>
    <w:rsid w:val="005F6C8E"/>
    <w:rsid w:val="00600AC3"/>
    <w:rsid w:val="00600BD5"/>
    <w:rsid w:val="006060A5"/>
    <w:rsid w:val="0060761B"/>
    <w:rsid w:val="00610A05"/>
    <w:rsid w:val="006128CC"/>
    <w:rsid w:val="00612991"/>
    <w:rsid w:val="006134EF"/>
    <w:rsid w:val="00613C53"/>
    <w:rsid w:val="00615BF5"/>
    <w:rsid w:val="006178F1"/>
    <w:rsid w:val="0062163E"/>
    <w:rsid w:val="0062223B"/>
    <w:rsid w:val="00627520"/>
    <w:rsid w:val="00630E92"/>
    <w:rsid w:val="00631633"/>
    <w:rsid w:val="00631A6F"/>
    <w:rsid w:val="00634143"/>
    <w:rsid w:val="0064161C"/>
    <w:rsid w:val="00642B45"/>
    <w:rsid w:val="00643FAA"/>
    <w:rsid w:val="00644EDB"/>
    <w:rsid w:val="0064702C"/>
    <w:rsid w:val="00651AAE"/>
    <w:rsid w:val="00652CCC"/>
    <w:rsid w:val="006620AC"/>
    <w:rsid w:val="00665104"/>
    <w:rsid w:val="00670BF0"/>
    <w:rsid w:val="0067284D"/>
    <w:rsid w:val="00677B18"/>
    <w:rsid w:val="00680A31"/>
    <w:rsid w:val="00682F52"/>
    <w:rsid w:val="0068477C"/>
    <w:rsid w:val="006938B3"/>
    <w:rsid w:val="00693B19"/>
    <w:rsid w:val="00695C9A"/>
    <w:rsid w:val="00696554"/>
    <w:rsid w:val="00696900"/>
    <w:rsid w:val="006A094F"/>
    <w:rsid w:val="006A1387"/>
    <w:rsid w:val="006A16C2"/>
    <w:rsid w:val="006A486B"/>
    <w:rsid w:val="006A5FFE"/>
    <w:rsid w:val="006A6B51"/>
    <w:rsid w:val="006B0250"/>
    <w:rsid w:val="006B06A5"/>
    <w:rsid w:val="006B1193"/>
    <w:rsid w:val="006B11B7"/>
    <w:rsid w:val="006B1AE7"/>
    <w:rsid w:val="006B21F9"/>
    <w:rsid w:val="006B26EE"/>
    <w:rsid w:val="006B34FF"/>
    <w:rsid w:val="006C0B99"/>
    <w:rsid w:val="006C3F39"/>
    <w:rsid w:val="006C7729"/>
    <w:rsid w:val="006C7D53"/>
    <w:rsid w:val="006D1F75"/>
    <w:rsid w:val="006D4226"/>
    <w:rsid w:val="006E0E8F"/>
    <w:rsid w:val="006E2734"/>
    <w:rsid w:val="006E3719"/>
    <w:rsid w:val="006F14E8"/>
    <w:rsid w:val="006F4B4A"/>
    <w:rsid w:val="0070196D"/>
    <w:rsid w:val="00705B20"/>
    <w:rsid w:val="0070736E"/>
    <w:rsid w:val="00711D36"/>
    <w:rsid w:val="00711E77"/>
    <w:rsid w:val="007123EF"/>
    <w:rsid w:val="007131EE"/>
    <w:rsid w:val="00717E38"/>
    <w:rsid w:val="00724801"/>
    <w:rsid w:val="00727242"/>
    <w:rsid w:val="007363CB"/>
    <w:rsid w:val="0073746B"/>
    <w:rsid w:val="00742946"/>
    <w:rsid w:val="007469B2"/>
    <w:rsid w:val="00746D9E"/>
    <w:rsid w:val="007505D3"/>
    <w:rsid w:val="007521C2"/>
    <w:rsid w:val="0075540A"/>
    <w:rsid w:val="00755EB9"/>
    <w:rsid w:val="0075690B"/>
    <w:rsid w:val="00760975"/>
    <w:rsid w:val="00761E72"/>
    <w:rsid w:val="007624D9"/>
    <w:rsid w:val="00764568"/>
    <w:rsid w:val="00770DA2"/>
    <w:rsid w:val="00776715"/>
    <w:rsid w:val="00785652"/>
    <w:rsid w:val="00793746"/>
    <w:rsid w:val="00794433"/>
    <w:rsid w:val="00796957"/>
    <w:rsid w:val="007A382C"/>
    <w:rsid w:val="007A41CC"/>
    <w:rsid w:val="007B02C6"/>
    <w:rsid w:val="007B2341"/>
    <w:rsid w:val="007B43A0"/>
    <w:rsid w:val="007C16A0"/>
    <w:rsid w:val="007C23C0"/>
    <w:rsid w:val="007C624E"/>
    <w:rsid w:val="007C695A"/>
    <w:rsid w:val="007C7306"/>
    <w:rsid w:val="007C7C6C"/>
    <w:rsid w:val="007D348D"/>
    <w:rsid w:val="007E12ED"/>
    <w:rsid w:val="007E256D"/>
    <w:rsid w:val="007F0247"/>
    <w:rsid w:val="007F238C"/>
    <w:rsid w:val="007F2CD4"/>
    <w:rsid w:val="007F2E5A"/>
    <w:rsid w:val="0080299D"/>
    <w:rsid w:val="008040E6"/>
    <w:rsid w:val="008070B6"/>
    <w:rsid w:val="00807934"/>
    <w:rsid w:val="0081231E"/>
    <w:rsid w:val="00813D88"/>
    <w:rsid w:val="008143FF"/>
    <w:rsid w:val="00814FE4"/>
    <w:rsid w:val="00820F59"/>
    <w:rsid w:val="00824ADD"/>
    <w:rsid w:val="00826A4F"/>
    <w:rsid w:val="008310F4"/>
    <w:rsid w:val="008320D2"/>
    <w:rsid w:val="00840E5C"/>
    <w:rsid w:val="0084300F"/>
    <w:rsid w:val="00846EA2"/>
    <w:rsid w:val="00847D1D"/>
    <w:rsid w:val="008542E0"/>
    <w:rsid w:val="00854D0F"/>
    <w:rsid w:val="00856BCE"/>
    <w:rsid w:val="0085712B"/>
    <w:rsid w:val="00863BCE"/>
    <w:rsid w:val="00865411"/>
    <w:rsid w:val="008656E0"/>
    <w:rsid w:val="008664DA"/>
    <w:rsid w:val="00867B4A"/>
    <w:rsid w:val="0087475B"/>
    <w:rsid w:val="008765A5"/>
    <w:rsid w:val="008805F5"/>
    <w:rsid w:val="008910E6"/>
    <w:rsid w:val="00892BBD"/>
    <w:rsid w:val="008931C2"/>
    <w:rsid w:val="0089446E"/>
    <w:rsid w:val="008A7212"/>
    <w:rsid w:val="008B2067"/>
    <w:rsid w:val="008B2B3E"/>
    <w:rsid w:val="008B31E5"/>
    <w:rsid w:val="008B627E"/>
    <w:rsid w:val="008C095A"/>
    <w:rsid w:val="008C2F32"/>
    <w:rsid w:val="008C33D6"/>
    <w:rsid w:val="008C73F9"/>
    <w:rsid w:val="008D4D60"/>
    <w:rsid w:val="008D5457"/>
    <w:rsid w:val="008E0EB1"/>
    <w:rsid w:val="008E2FC2"/>
    <w:rsid w:val="008E5013"/>
    <w:rsid w:val="008E568F"/>
    <w:rsid w:val="008E785F"/>
    <w:rsid w:val="008F6A39"/>
    <w:rsid w:val="00903A7F"/>
    <w:rsid w:val="00904527"/>
    <w:rsid w:val="0090509C"/>
    <w:rsid w:val="00910A8F"/>
    <w:rsid w:val="009137E1"/>
    <w:rsid w:val="0091392D"/>
    <w:rsid w:val="00917E2F"/>
    <w:rsid w:val="00925CFC"/>
    <w:rsid w:val="0092613E"/>
    <w:rsid w:val="009354B2"/>
    <w:rsid w:val="0093604B"/>
    <w:rsid w:val="00941762"/>
    <w:rsid w:val="00941851"/>
    <w:rsid w:val="00946795"/>
    <w:rsid w:val="00954FC1"/>
    <w:rsid w:val="00955237"/>
    <w:rsid w:val="0095630C"/>
    <w:rsid w:val="009603CD"/>
    <w:rsid w:val="009630E6"/>
    <w:rsid w:val="00967911"/>
    <w:rsid w:val="00967C55"/>
    <w:rsid w:val="009701F1"/>
    <w:rsid w:val="009715C9"/>
    <w:rsid w:val="0098135E"/>
    <w:rsid w:val="0098522E"/>
    <w:rsid w:val="009852D6"/>
    <w:rsid w:val="0098545E"/>
    <w:rsid w:val="00985EBB"/>
    <w:rsid w:val="009861F0"/>
    <w:rsid w:val="00987A25"/>
    <w:rsid w:val="009955C3"/>
    <w:rsid w:val="00997FDD"/>
    <w:rsid w:val="009A28B6"/>
    <w:rsid w:val="009A2E86"/>
    <w:rsid w:val="009A6B3E"/>
    <w:rsid w:val="009A7688"/>
    <w:rsid w:val="009B4766"/>
    <w:rsid w:val="009B4A95"/>
    <w:rsid w:val="009C0D29"/>
    <w:rsid w:val="009C2904"/>
    <w:rsid w:val="009C3BDA"/>
    <w:rsid w:val="009C6F02"/>
    <w:rsid w:val="009C7E51"/>
    <w:rsid w:val="009D0D87"/>
    <w:rsid w:val="009D194A"/>
    <w:rsid w:val="009D50A7"/>
    <w:rsid w:val="009D6307"/>
    <w:rsid w:val="009E204A"/>
    <w:rsid w:val="009E6F3A"/>
    <w:rsid w:val="009F33EA"/>
    <w:rsid w:val="009F6B54"/>
    <w:rsid w:val="00A0100D"/>
    <w:rsid w:val="00A0107F"/>
    <w:rsid w:val="00A044E0"/>
    <w:rsid w:val="00A0633F"/>
    <w:rsid w:val="00A12DF5"/>
    <w:rsid w:val="00A3364F"/>
    <w:rsid w:val="00A345C0"/>
    <w:rsid w:val="00A3519E"/>
    <w:rsid w:val="00A36260"/>
    <w:rsid w:val="00A37B88"/>
    <w:rsid w:val="00A44200"/>
    <w:rsid w:val="00A44245"/>
    <w:rsid w:val="00A45EC5"/>
    <w:rsid w:val="00A475CA"/>
    <w:rsid w:val="00A5146F"/>
    <w:rsid w:val="00A51C23"/>
    <w:rsid w:val="00A51CD4"/>
    <w:rsid w:val="00A55759"/>
    <w:rsid w:val="00A64440"/>
    <w:rsid w:val="00A66147"/>
    <w:rsid w:val="00A66538"/>
    <w:rsid w:val="00A67224"/>
    <w:rsid w:val="00A80293"/>
    <w:rsid w:val="00A81429"/>
    <w:rsid w:val="00A83B2F"/>
    <w:rsid w:val="00A83DE3"/>
    <w:rsid w:val="00A85131"/>
    <w:rsid w:val="00A8518B"/>
    <w:rsid w:val="00A9257E"/>
    <w:rsid w:val="00A955D5"/>
    <w:rsid w:val="00A96ACA"/>
    <w:rsid w:val="00AA0A4B"/>
    <w:rsid w:val="00AA1078"/>
    <w:rsid w:val="00AA12BB"/>
    <w:rsid w:val="00AA456F"/>
    <w:rsid w:val="00AA52C1"/>
    <w:rsid w:val="00AB1A82"/>
    <w:rsid w:val="00AC05E4"/>
    <w:rsid w:val="00AC6032"/>
    <w:rsid w:val="00AC645F"/>
    <w:rsid w:val="00AD42D8"/>
    <w:rsid w:val="00AD5050"/>
    <w:rsid w:val="00AE2388"/>
    <w:rsid w:val="00AE6A3D"/>
    <w:rsid w:val="00AE73FE"/>
    <w:rsid w:val="00B01E84"/>
    <w:rsid w:val="00B061DD"/>
    <w:rsid w:val="00B12411"/>
    <w:rsid w:val="00B17457"/>
    <w:rsid w:val="00B22DEC"/>
    <w:rsid w:val="00B2381D"/>
    <w:rsid w:val="00B2558E"/>
    <w:rsid w:val="00B273B4"/>
    <w:rsid w:val="00B309CC"/>
    <w:rsid w:val="00B31376"/>
    <w:rsid w:val="00B33605"/>
    <w:rsid w:val="00B33E06"/>
    <w:rsid w:val="00B36522"/>
    <w:rsid w:val="00B4029A"/>
    <w:rsid w:val="00B4034B"/>
    <w:rsid w:val="00B4787E"/>
    <w:rsid w:val="00B516C8"/>
    <w:rsid w:val="00B52A5C"/>
    <w:rsid w:val="00B61C56"/>
    <w:rsid w:val="00B65178"/>
    <w:rsid w:val="00B65F17"/>
    <w:rsid w:val="00B73CB5"/>
    <w:rsid w:val="00B75D39"/>
    <w:rsid w:val="00B76CC4"/>
    <w:rsid w:val="00B812BD"/>
    <w:rsid w:val="00B87412"/>
    <w:rsid w:val="00B917D7"/>
    <w:rsid w:val="00B958D5"/>
    <w:rsid w:val="00B97D68"/>
    <w:rsid w:val="00BA0D96"/>
    <w:rsid w:val="00BA0F69"/>
    <w:rsid w:val="00BA7CEE"/>
    <w:rsid w:val="00BB0452"/>
    <w:rsid w:val="00BB583C"/>
    <w:rsid w:val="00BB7954"/>
    <w:rsid w:val="00BC3A36"/>
    <w:rsid w:val="00BC6352"/>
    <w:rsid w:val="00BD0394"/>
    <w:rsid w:val="00BD1CB4"/>
    <w:rsid w:val="00BE11F9"/>
    <w:rsid w:val="00BE1A20"/>
    <w:rsid w:val="00BE2D99"/>
    <w:rsid w:val="00BF25B1"/>
    <w:rsid w:val="00BF42D1"/>
    <w:rsid w:val="00C004F3"/>
    <w:rsid w:val="00C05B9E"/>
    <w:rsid w:val="00C07B11"/>
    <w:rsid w:val="00C07F36"/>
    <w:rsid w:val="00C1218E"/>
    <w:rsid w:val="00C1228E"/>
    <w:rsid w:val="00C17585"/>
    <w:rsid w:val="00C17DC8"/>
    <w:rsid w:val="00C200FF"/>
    <w:rsid w:val="00C21AC3"/>
    <w:rsid w:val="00C232C9"/>
    <w:rsid w:val="00C241DD"/>
    <w:rsid w:val="00C25A89"/>
    <w:rsid w:val="00C26F31"/>
    <w:rsid w:val="00C31C74"/>
    <w:rsid w:val="00C44F86"/>
    <w:rsid w:val="00C46C16"/>
    <w:rsid w:val="00C52C41"/>
    <w:rsid w:val="00C64DBC"/>
    <w:rsid w:val="00C77675"/>
    <w:rsid w:val="00C77DE6"/>
    <w:rsid w:val="00C81582"/>
    <w:rsid w:val="00C8401A"/>
    <w:rsid w:val="00C87D5E"/>
    <w:rsid w:val="00C93188"/>
    <w:rsid w:val="00C9328C"/>
    <w:rsid w:val="00C944A3"/>
    <w:rsid w:val="00CA3818"/>
    <w:rsid w:val="00CB0BFF"/>
    <w:rsid w:val="00CB36DD"/>
    <w:rsid w:val="00CB4683"/>
    <w:rsid w:val="00CB4CAF"/>
    <w:rsid w:val="00CB7A56"/>
    <w:rsid w:val="00CC0A9B"/>
    <w:rsid w:val="00CC1ED3"/>
    <w:rsid w:val="00CC21B5"/>
    <w:rsid w:val="00CC408D"/>
    <w:rsid w:val="00CD108D"/>
    <w:rsid w:val="00CD3E48"/>
    <w:rsid w:val="00CE0DAF"/>
    <w:rsid w:val="00CF01F9"/>
    <w:rsid w:val="00D0489C"/>
    <w:rsid w:val="00D065B3"/>
    <w:rsid w:val="00D103EA"/>
    <w:rsid w:val="00D116A0"/>
    <w:rsid w:val="00D132F1"/>
    <w:rsid w:val="00D14886"/>
    <w:rsid w:val="00D2387F"/>
    <w:rsid w:val="00D2502B"/>
    <w:rsid w:val="00D255A4"/>
    <w:rsid w:val="00D30215"/>
    <w:rsid w:val="00D325E3"/>
    <w:rsid w:val="00D34002"/>
    <w:rsid w:val="00D36DFB"/>
    <w:rsid w:val="00D37E76"/>
    <w:rsid w:val="00D448B9"/>
    <w:rsid w:val="00D45A63"/>
    <w:rsid w:val="00D5100B"/>
    <w:rsid w:val="00D51434"/>
    <w:rsid w:val="00D5227D"/>
    <w:rsid w:val="00D601B8"/>
    <w:rsid w:val="00D70C4A"/>
    <w:rsid w:val="00D74061"/>
    <w:rsid w:val="00D77E31"/>
    <w:rsid w:val="00D819E3"/>
    <w:rsid w:val="00D8476D"/>
    <w:rsid w:val="00D87743"/>
    <w:rsid w:val="00D9250E"/>
    <w:rsid w:val="00D93854"/>
    <w:rsid w:val="00D9402B"/>
    <w:rsid w:val="00D94C1C"/>
    <w:rsid w:val="00DA3DC8"/>
    <w:rsid w:val="00DA4A2E"/>
    <w:rsid w:val="00DB0FCB"/>
    <w:rsid w:val="00DB2195"/>
    <w:rsid w:val="00DB422D"/>
    <w:rsid w:val="00DB7154"/>
    <w:rsid w:val="00DB7329"/>
    <w:rsid w:val="00DC2998"/>
    <w:rsid w:val="00DD09A4"/>
    <w:rsid w:val="00DD12D0"/>
    <w:rsid w:val="00DE190D"/>
    <w:rsid w:val="00DE271F"/>
    <w:rsid w:val="00DF6545"/>
    <w:rsid w:val="00E00047"/>
    <w:rsid w:val="00E04D7E"/>
    <w:rsid w:val="00E12EEA"/>
    <w:rsid w:val="00E22D44"/>
    <w:rsid w:val="00E31222"/>
    <w:rsid w:val="00E325FF"/>
    <w:rsid w:val="00E365E3"/>
    <w:rsid w:val="00E431AF"/>
    <w:rsid w:val="00E4557B"/>
    <w:rsid w:val="00E5492B"/>
    <w:rsid w:val="00E62020"/>
    <w:rsid w:val="00E64163"/>
    <w:rsid w:val="00E67DC6"/>
    <w:rsid w:val="00E71848"/>
    <w:rsid w:val="00E74A3C"/>
    <w:rsid w:val="00E80EFC"/>
    <w:rsid w:val="00E84FDF"/>
    <w:rsid w:val="00E93D3B"/>
    <w:rsid w:val="00E95388"/>
    <w:rsid w:val="00E965EA"/>
    <w:rsid w:val="00EA2AC1"/>
    <w:rsid w:val="00EA313A"/>
    <w:rsid w:val="00EA502C"/>
    <w:rsid w:val="00EB511C"/>
    <w:rsid w:val="00EC021E"/>
    <w:rsid w:val="00EC1488"/>
    <w:rsid w:val="00EC27AC"/>
    <w:rsid w:val="00EC3B63"/>
    <w:rsid w:val="00EC6A80"/>
    <w:rsid w:val="00EC7012"/>
    <w:rsid w:val="00EC7131"/>
    <w:rsid w:val="00ED24D0"/>
    <w:rsid w:val="00EE08A8"/>
    <w:rsid w:val="00EE2AD0"/>
    <w:rsid w:val="00EE5DF9"/>
    <w:rsid w:val="00EE697D"/>
    <w:rsid w:val="00EE79F7"/>
    <w:rsid w:val="00EF1C9D"/>
    <w:rsid w:val="00EF2820"/>
    <w:rsid w:val="00EF3F1E"/>
    <w:rsid w:val="00EF7512"/>
    <w:rsid w:val="00F01E2B"/>
    <w:rsid w:val="00F03918"/>
    <w:rsid w:val="00F03987"/>
    <w:rsid w:val="00F04851"/>
    <w:rsid w:val="00F10630"/>
    <w:rsid w:val="00F10E3D"/>
    <w:rsid w:val="00F1527E"/>
    <w:rsid w:val="00F17759"/>
    <w:rsid w:val="00F22150"/>
    <w:rsid w:val="00F23121"/>
    <w:rsid w:val="00F235CF"/>
    <w:rsid w:val="00F24083"/>
    <w:rsid w:val="00F3109E"/>
    <w:rsid w:val="00F400B0"/>
    <w:rsid w:val="00F4023E"/>
    <w:rsid w:val="00F4137D"/>
    <w:rsid w:val="00F4416E"/>
    <w:rsid w:val="00F45B30"/>
    <w:rsid w:val="00F5141D"/>
    <w:rsid w:val="00F527AA"/>
    <w:rsid w:val="00F537F2"/>
    <w:rsid w:val="00F55845"/>
    <w:rsid w:val="00F5668E"/>
    <w:rsid w:val="00F577A6"/>
    <w:rsid w:val="00F6709B"/>
    <w:rsid w:val="00F767E3"/>
    <w:rsid w:val="00F8012E"/>
    <w:rsid w:val="00F80BC7"/>
    <w:rsid w:val="00F82D38"/>
    <w:rsid w:val="00F85C26"/>
    <w:rsid w:val="00F87CFC"/>
    <w:rsid w:val="00F92766"/>
    <w:rsid w:val="00F92EDA"/>
    <w:rsid w:val="00F94AC0"/>
    <w:rsid w:val="00FA2252"/>
    <w:rsid w:val="00FB183F"/>
    <w:rsid w:val="00FB7AD9"/>
    <w:rsid w:val="00FC2BC6"/>
    <w:rsid w:val="00FD5038"/>
    <w:rsid w:val="00FE0F96"/>
    <w:rsid w:val="00FE393B"/>
    <w:rsid w:val="00FE45F0"/>
    <w:rsid w:val="00FE4C46"/>
    <w:rsid w:val="00FE6AD3"/>
    <w:rsid w:val="00FE6ADE"/>
    <w:rsid w:val="00FE6BB2"/>
    <w:rsid w:val="00FE7873"/>
    <w:rsid w:val="00FF1986"/>
    <w:rsid w:val="00FF25B8"/>
    <w:rsid w:val="00FF4EEC"/>
    <w:rsid w:val="00FF7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23B3"/>
  <w15:chartTrackingRefBased/>
  <w15:docId w15:val="{6A88AF97-C1E1-E040-A9D2-DBAC9A74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iCs/>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7F2"/>
    <w:pPr>
      <w:spacing w:line="480" w:lineRule="auto"/>
    </w:pPr>
    <w:rPr>
      <w:rFonts w:eastAsiaTheme="minorEastAsia"/>
    </w:rPr>
  </w:style>
  <w:style w:type="paragraph" w:styleId="Heading1">
    <w:name w:val="heading 1"/>
    <w:basedOn w:val="Normal"/>
    <w:next w:val="Normal"/>
    <w:link w:val="Heading1Char"/>
    <w:uiPriority w:val="9"/>
    <w:qFormat/>
    <w:rsid w:val="00E84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4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4F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4FDF"/>
    <w:pPr>
      <w:keepNext/>
      <w:keepLines/>
      <w:spacing w:before="80" w:after="40"/>
      <w:outlineLvl w:val="3"/>
    </w:pPr>
    <w:rPr>
      <w:rFonts w:asciiTheme="minorHAnsi" w:eastAsiaTheme="majorEastAsia" w:hAnsiTheme="minorHAnsi" w:cstheme="majorBidi"/>
      <w:i/>
      <w:iCs w:val="0"/>
      <w:color w:val="0F4761" w:themeColor="accent1" w:themeShade="BF"/>
    </w:rPr>
  </w:style>
  <w:style w:type="paragraph" w:styleId="Heading5">
    <w:name w:val="heading 5"/>
    <w:basedOn w:val="Normal"/>
    <w:next w:val="Normal"/>
    <w:link w:val="Heading5Char"/>
    <w:uiPriority w:val="9"/>
    <w:semiHidden/>
    <w:unhideWhenUsed/>
    <w:qFormat/>
    <w:rsid w:val="00E84F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84FDF"/>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E84F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4FDF"/>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E84F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F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F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84F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FDF"/>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E84F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84FDF"/>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E84F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4FDF"/>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E84F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4FDF"/>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84FD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E84F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F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84FDF"/>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E84FDF"/>
    <w:rPr>
      <w:i/>
      <w:iCs w:val="0"/>
      <w:color w:val="404040" w:themeColor="text1" w:themeTint="BF"/>
    </w:rPr>
  </w:style>
  <w:style w:type="paragraph" w:styleId="ListParagraph">
    <w:name w:val="List Paragraph"/>
    <w:basedOn w:val="Normal"/>
    <w:uiPriority w:val="34"/>
    <w:qFormat/>
    <w:rsid w:val="00E84FDF"/>
    <w:pPr>
      <w:ind w:left="720"/>
      <w:contextualSpacing/>
    </w:pPr>
  </w:style>
  <w:style w:type="character" w:styleId="IntenseEmphasis">
    <w:name w:val="Intense Emphasis"/>
    <w:basedOn w:val="DefaultParagraphFont"/>
    <w:uiPriority w:val="21"/>
    <w:qFormat/>
    <w:rsid w:val="00E84FDF"/>
    <w:rPr>
      <w:i/>
      <w:iCs w:val="0"/>
      <w:color w:val="0F4761" w:themeColor="accent1" w:themeShade="BF"/>
    </w:rPr>
  </w:style>
  <w:style w:type="paragraph" w:styleId="IntenseQuote">
    <w:name w:val="Intense Quote"/>
    <w:basedOn w:val="Normal"/>
    <w:next w:val="Normal"/>
    <w:link w:val="IntenseQuoteChar"/>
    <w:uiPriority w:val="30"/>
    <w:qFormat/>
    <w:rsid w:val="00E84FDF"/>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eQuoteChar">
    <w:name w:val="Intense Quote Char"/>
    <w:basedOn w:val="DefaultParagraphFont"/>
    <w:link w:val="IntenseQuote"/>
    <w:uiPriority w:val="30"/>
    <w:rsid w:val="00E84FDF"/>
    <w:rPr>
      <w:i/>
      <w:iCs w:val="0"/>
      <w:color w:val="0F4761" w:themeColor="accent1" w:themeShade="BF"/>
    </w:rPr>
  </w:style>
  <w:style w:type="character" w:styleId="IntenseReference">
    <w:name w:val="Intense Reference"/>
    <w:basedOn w:val="DefaultParagraphFont"/>
    <w:uiPriority w:val="32"/>
    <w:qFormat/>
    <w:rsid w:val="00E84FDF"/>
    <w:rPr>
      <w:b/>
      <w:bCs w:val="0"/>
      <w:smallCaps/>
      <w:color w:val="0F4761" w:themeColor="accent1" w:themeShade="BF"/>
      <w:spacing w:val="5"/>
    </w:rPr>
  </w:style>
  <w:style w:type="paragraph" w:customStyle="1" w:styleId="TableParagraph">
    <w:name w:val="Table Paragraph"/>
    <w:basedOn w:val="Normal"/>
    <w:uiPriority w:val="1"/>
    <w:qFormat/>
    <w:rsid w:val="00E84FDF"/>
    <w:pPr>
      <w:widowControl w:val="0"/>
      <w:autoSpaceDE w:val="0"/>
      <w:autoSpaceDN w:val="0"/>
    </w:pPr>
    <w:rPr>
      <w:rFonts w:ascii="Calibri" w:eastAsia="Calibri" w:hAnsi="Calibri" w:cs="Calibri"/>
      <w:lang w:val="en-US"/>
    </w:rPr>
  </w:style>
  <w:style w:type="paragraph" w:styleId="Bibliography">
    <w:name w:val="Bibliography"/>
    <w:basedOn w:val="Normal"/>
    <w:next w:val="Normal"/>
    <w:uiPriority w:val="37"/>
    <w:unhideWhenUsed/>
    <w:rsid w:val="00E84FDF"/>
    <w:pPr>
      <w:tabs>
        <w:tab w:val="left" w:pos="380"/>
        <w:tab w:val="left" w:pos="500"/>
      </w:tabs>
      <w:spacing w:after="240" w:line="240" w:lineRule="auto"/>
      <w:ind w:left="504" w:hanging="504"/>
    </w:pPr>
  </w:style>
  <w:style w:type="paragraph" w:customStyle="1" w:styleId="EndNoteBibliographyTitle">
    <w:name w:val="EndNoteBibliographyTitle"/>
    <w:rsid w:val="00E84FDF"/>
    <w:pPr>
      <w:spacing w:line="480" w:lineRule="auto"/>
      <w:jc w:val="center"/>
    </w:pPr>
    <w:rPr>
      <w:lang w:eastAsia="en-GB"/>
    </w:rPr>
  </w:style>
  <w:style w:type="paragraph" w:customStyle="1" w:styleId="EndNoteBibliography">
    <w:name w:val="EndNoteBibliography"/>
    <w:rsid w:val="00E84FDF"/>
    <w:pPr>
      <w:spacing w:line="480" w:lineRule="auto"/>
    </w:pPr>
    <w:rPr>
      <w:lang w:eastAsia="en-GB"/>
    </w:rPr>
  </w:style>
  <w:style w:type="character" w:styleId="Hyperlink">
    <w:name w:val="Hyperlink"/>
    <w:basedOn w:val="DefaultParagraphFont"/>
    <w:uiPriority w:val="99"/>
    <w:unhideWhenUsed/>
    <w:rsid w:val="00E84FDF"/>
    <w:rPr>
      <w:color w:val="467886" w:themeColor="hyperlink"/>
      <w:u w:val="single"/>
    </w:rPr>
  </w:style>
  <w:style w:type="character" w:styleId="UnresolvedMention">
    <w:name w:val="Unresolved Mention"/>
    <w:basedOn w:val="DefaultParagraphFont"/>
    <w:uiPriority w:val="99"/>
    <w:semiHidden/>
    <w:unhideWhenUsed/>
    <w:rsid w:val="00E84FDF"/>
    <w:rPr>
      <w:color w:val="605E5C"/>
      <w:shd w:val="clear" w:color="auto" w:fill="E1DFDD"/>
    </w:rPr>
  </w:style>
  <w:style w:type="character" w:styleId="FollowedHyperlink">
    <w:name w:val="FollowedHyperlink"/>
    <w:basedOn w:val="DefaultParagraphFont"/>
    <w:uiPriority w:val="99"/>
    <w:semiHidden/>
    <w:unhideWhenUsed/>
    <w:rsid w:val="00E84FDF"/>
    <w:rPr>
      <w:color w:val="96607D" w:themeColor="followedHyperlink"/>
      <w:u w:val="single"/>
    </w:rPr>
  </w:style>
  <w:style w:type="character" w:styleId="PlaceholderText">
    <w:name w:val="Placeholder Text"/>
    <w:basedOn w:val="DefaultParagraphFont"/>
    <w:uiPriority w:val="99"/>
    <w:semiHidden/>
    <w:rsid w:val="00E84FDF"/>
    <w:rPr>
      <w:color w:val="666666"/>
    </w:rPr>
  </w:style>
  <w:style w:type="paragraph" w:styleId="FootnoteText">
    <w:name w:val="footnote text"/>
    <w:basedOn w:val="Normal"/>
    <w:link w:val="FootnoteTextChar"/>
    <w:uiPriority w:val="99"/>
    <w:semiHidden/>
    <w:unhideWhenUsed/>
    <w:rsid w:val="00E84FDF"/>
    <w:rPr>
      <w:sz w:val="20"/>
      <w:szCs w:val="20"/>
    </w:rPr>
  </w:style>
  <w:style w:type="character" w:customStyle="1" w:styleId="FootnoteTextChar">
    <w:name w:val="Footnote Text Char"/>
    <w:basedOn w:val="DefaultParagraphFont"/>
    <w:link w:val="FootnoteText"/>
    <w:uiPriority w:val="99"/>
    <w:semiHidden/>
    <w:rsid w:val="00E84FDF"/>
    <w:rPr>
      <w:sz w:val="20"/>
      <w:szCs w:val="20"/>
    </w:rPr>
  </w:style>
  <w:style w:type="character" w:styleId="FootnoteReference">
    <w:name w:val="footnote reference"/>
    <w:basedOn w:val="DefaultParagraphFont"/>
    <w:uiPriority w:val="99"/>
    <w:semiHidden/>
    <w:unhideWhenUsed/>
    <w:rsid w:val="00E84FDF"/>
    <w:rPr>
      <w:vertAlign w:val="superscript"/>
    </w:rPr>
  </w:style>
  <w:style w:type="paragraph" w:styleId="Header">
    <w:name w:val="header"/>
    <w:basedOn w:val="Normal"/>
    <w:link w:val="HeaderChar"/>
    <w:uiPriority w:val="99"/>
    <w:unhideWhenUsed/>
    <w:rsid w:val="00E84FDF"/>
    <w:pPr>
      <w:tabs>
        <w:tab w:val="center" w:pos="4680"/>
        <w:tab w:val="right" w:pos="9360"/>
      </w:tabs>
    </w:pPr>
  </w:style>
  <w:style w:type="character" w:customStyle="1" w:styleId="HeaderChar">
    <w:name w:val="Header Char"/>
    <w:basedOn w:val="DefaultParagraphFont"/>
    <w:link w:val="Header"/>
    <w:uiPriority w:val="99"/>
    <w:rsid w:val="00E84FDF"/>
  </w:style>
  <w:style w:type="paragraph" w:styleId="Footer">
    <w:name w:val="footer"/>
    <w:basedOn w:val="Normal"/>
    <w:link w:val="FooterChar"/>
    <w:uiPriority w:val="99"/>
    <w:unhideWhenUsed/>
    <w:rsid w:val="00E84FDF"/>
    <w:pPr>
      <w:tabs>
        <w:tab w:val="center" w:pos="4680"/>
        <w:tab w:val="right" w:pos="9360"/>
      </w:tabs>
    </w:pPr>
  </w:style>
  <w:style w:type="character" w:customStyle="1" w:styleId="FooterChar">
    <w:name w:val="Footer Char"/>
    <w:basedOn w:val="DefaultParagraphFont"/>
    <w:link w:val="Footer"/>
    <w:uiPriority w:val="99"/>
    <w:rsid w:val="00E84FDF"/>
  </w:style>
  <w:style w:type="table" w:styleId="TableGrid">
    <w:name w:val="Table Grid"/>
    <w:basedOn w:val="TableNormal"/>
    <w:uiPriority w:val="39"/>
    <w:rsid w:val="00E84FDF"/>
    <w:pPr>
      <w:spacing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84FDF"/>
    <w:pPr>
      <w:spacing w:before="100" w:beforeAutospacing="1" w:after="100" w:afterAutospacing="1"/>
    </w:pPr>
  </w:style>
  <w:style w:type="paragraph" w:customStyle="1" w:styleId="Default">
    <w:name w:val="Default"/>
    <w:rsid w:val="00E84FDF"/>
    <w:pPr>
      <w:widowControl w:val="0"/>
      <w:autoSpaceDE w:val="0"/>
      <w:autoSpaceDN w:val="0"/>
      <w:adjustRightInd w:val="0"/>
      <w:spacing w:line="480" w:lineRule="auto"/>
    </w:pPr>
    <w:rPr>
      <w:rFonts w:ascii="Calibri" w:eastAsia="Times New Roman" w:hAnsi="Calibri" w:cs="Calibri"/>
      <w:lang w:val="en-CA" w:eastAsia="en-CA"/>
    </w:rPr>
  </w:style>
  <w:style w:type="paragraph" w:customStyle="1" w:styleId="p1">
    <w:name w:val="p1"/>
    <w:basedOn w:val="Normal"/>
    <w:rsid w:val="00E84FDF"/>
    <w:rPr>
      <w:sz w:val="14"/>
      <w:szCs w:val="14"/>
    </w:rPr>
  </w:style>
  <w:style w:type="character" w:customStyle="1" w:styleId="apple-converted-space">
    <w:name w:val="apple-converted-space"/>
    <w:basedOn w:val="DefaultParagraphFont"/>
    <w:rsid w:val="00E84FDF"/>
  </w:style>
  <w:style w:type="character" w:customStyle="1" w:styleId="ref-lnk">
    <w:name w:val="ref-lnk"/>
    <w:basedOn w:val="DefaultParagraphFont"/>
    <w:rsid w:val="00E84FDF"/>
  </w:style>
  <w:style w:type="character" w:customStyle="1" w:styleId="off-screen">
    <w:name w:val="off-screen"/>
    <w:basedOn w:val="DefaultParagraphFont"/>
    <w:rsid w:val="00E84FDF"/>
  </w:style>
  <w:style w:type="character" w:styleId="Emphasis">
    <w:name w:val="Emphasis"/>
    <w:basedOn w:val="DefaultParagraphFont"/>
    <w:uiPriority w:val="20"/>
    <w:qFormat/>
    <w:rsid w:val="00E84FDF"/>
    <w:rPr>
      <w:i/>
      <w:iCs w:val="0"/>
    </w:rPr>
  </w:style>
  <w:style w:type="table" w:customStyle="1" w:styleId="TableGrid1">
    <w:name w:val="Table Grid1"/>
    <w:basedOn w:val="TableNormal"/>
    <w:next w:val="TableGrid"/>
    <w:uiPriority w:val="59"/>
    <w:rsid w:val="00E84FDF"/>
    <w:pPr>
      <w:spacing w:line="480" w:lineRule="auto"/>
    </w:pPr>
    <w:rPr>
      <w:rFonts w:cstheme="minorHAnsi"/>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84FDF"/>
    <w:pPr>
      <w:spacing w:before="480" w:after="0" w:line="276" w:lineRule="auto"/>
      <w:outlineLvl w:val="9"/>
    </w:pPr>
    <w:rPr>
      <w:b/>
      <w:bCs w:val="0"/>
      <w:sz w:val="28"/>
      <w:szCs w:val="28"/>
      <w:lang w:val="en-US"/>
    </w:rPr>
  </w:style>
  <w:style w:type="paragraph" w:styleId="TOC3">
    <w:name w:val="toc 3"/>
    <w:basedOn w:val="Normal"/>
    <w:next w:val="Normal"/>
    <w:autoRedefine/>
    <w:uiPriority w:val="39"/>
    <w:unhideWhenUsed/>
    <w:rsid w:val="00E84FDF"/>
    <w:pPr>
      <w:ind w:left="440"/>
    </w:pPr>
    <w:rPr>
      <w:rFonts w:asciiTheme="minorHAnsi" w:hAnsiTheme="minorHAnsi"/>
      <w:bCs w:val="0"/>
      <w:i/>
      <w:iCs w:val="0"/>
      <w:sz w:val="20"/>
      <w:szCs w:val="20"/>
    </w:rPr>
  </w:style>
  <w:style w:type="paragraph" w:styleId="TOC1">
    <w:name w:val="toc 1"/>
    <w:basedOn w:val="Normal"/>
    <w:next w:val="Normal"/>
    <w:autoRedefine/>
    <w:uiPriority w:val="39"/>
    <w:unhideWhenUsed/>
    <w:rsid w:val="00E84FDF"/>
    <w:pPr>
      <w:tabs>
        <w:tab w:val="left" w:pos="440"/>
        <w:tab w:val="right" w:leader="dot" w:pos="9016"/>
      </w:tabs>
      <w:spacing w:before="120" w:after="120"/>
    </w:pPr>
    <w:rPr>
      <w:rFonts w:asciiTheme="minorHAnsi" w:hAnsiTheme="minorHAnsi"/>
      <w:b/>
      <w:caps/>
      <w:sz w:val="20"/>
      <w:szCs w:val="20"/>
    </w:rPr>
  </w:style>
  <w:style w:type="paragraph" w:styleId="TOC2">
    <w:name w:val="toc 2"/>
    <w:basedOn w:val="Normal"/>
    <w:next w:val="Normal"/>
    <w:autoRedefine/>
    <w:uiPriority w:val="39"/>
    <w:unhideWhenUsed/>
    <w:rsid w:val="00E84FDF"/>
    <w:pPr>
      <w:ind w:left="220"/>
    </w:pPr>
    <w:rPr>
      <w:rFonts w:asciiTheme="minorHAnsi" w:hAnsiTheme="minorHAnsi"/>
      <w:bCs w:val="0"/>
      <w:smallCaps/>
      <w:sz w:val="20"/>
      <w:szCs w:val="20"/>
    </w:rPr>
  </w:style>
  <w:style w:type="paragraph" w:styleId="TOC4">
    <w:name w:val="toc 4"/>
    <w:basedOn w:val="Normal"/>
    <w:next w:val="Normal"/>
    <w:autoRedefine/>
    <w:uiPriority w:val="39"/>
    <w:semiHidden/>
    <w:unhideWhenUsed/>
    <w:rsid w:val="00E84FDF"/>
    <w:pPr>
      <w:ind w:left="660"/>
    </w:pPr>
    <w:rPr>
      <w:rFonts w:asciiTheme="minorHAnsi" w:hAnsiTheme="minorHAnsi"/>
      <w:bCs w:val="0"/>
      <w:sz w:val="18"/>
      <w:szCs w:val="18"/>
    </w:rPr>
  </w:style>
  <w:style w:type="paragraph" w:styleId="TOC5">
    <w:name w:val="toc 5"/>
    <w:basedOn w:val="Normal"/>
    <w:next w:val="Normal"/>
    <w:autoRedefine/>
    <w:uiPriority w:val="39"/>
    <w:semiHidden/>
    <w:unhideWhenUsed/>
    <w:rsid w:val="00E84FDF"/>
    <w:pPr>
      <w:ind w:left="880"/>
    </w:pPr>
    <w:rPr>
      <w:rFonts w:asciiTheme="minorHAnsi" w:hAnsiTheme="minorHAnsi"/>
      <w:bCs w:val="0"/>
      <w:sz w:val="18"/>
      <w:szCs w:val="18"/>
    </w:rPr>
  </w:style>
  <w:style w:type="paragraph" w:styleId="TOC6">
    <w:name w:val="toc 6"/>
    <w:basedOn w:val="Normal"/>
    <w:next w:val="Normal"/>
    <w:autoRedefine/>
    <w:uiPriority w:val="39"/>
    <w:semiHidden/>
    <w:unhideWhenUsed/>
    <w:rsid w:val="00E84FDF"/>
    <w:pPr>
      <w:ind w:left="1100"/>
    </w:pPr>
    <w:rPr>
      <w:rFonts w:asciiTheme="minorHAnsi" w:hAnsiTheme="minorHAnsi"/>
      <w:bCs w:val="0"/>
      <w:sz w:val="18"/>
      <w:szCs w:val="18"/>
    </w:rPr>
  </w:style>
  <w:style w:type="paragraph" w:styleId="TOC7">
    <w:name w:val="toc 7"/>
    <w:basedOn w:val="Normal"/>
    <w:next w:val="Normal"/>
    <w:autoRedefine/>
    <w:uiPriority w:val="39"/>
    <w:semiHidden/>
    <w:unhideWhenUsed/>
    <w:rsid w:val="00E84FDF"/>
    <w:pPr>
      <w:ind w:left="1320"/>
    </w:pPr>
    <w:rPr>
      <w:rFonts w:asciiTheme="minorHAnsi" w:hAnsiTheme="minorHAnsi"/>
      <w:bCs w:val="0"/>
      <w:sz w:val="18"/>
      <w:szCs w:val="18"/>
    </w:rPr>
  </w:style>
  <w:style w:type="paragraph" w:styleId="TOC8">
    <w:name w:val="toc 8"/>
    <w:basedOn w:val="Normal"/>
    <w:next w:val="Normal"/>
    <w:autoRedefine/>
    <w:uiPriority w:val="39"/>
    <w:semiHidden/>
    <w:unhideWhenUsed/>
    <w:rsid w:val="00E84FDF"/>
    <w:pPr>
      <w:ind w:left="1540"/>
    </w:pPr>
    <w:rPr>
      <w:rFonts w:asciiTheme="minorHAnsi" w:hAnsiTheme="minorHAnsi"/>
      <w:bCs w:val="0"/>
      <w:sz w:val="18"/>
      <w:szCs w:val="18"/>
    </w:rPr>
  </w:style>
  <w:style w:type="paragraph" w:styleId="TOC9">
    <w:name w:val="toc 9"/>
    <w:basedOn w:val="Normal"/>
    <w:next w:val="Normal"/>
    <w:autoRedefine/>
    <w:uiPriority w:val="39"/>
    <w:semiHidden/>
    <w:unhideWhenUsed/>
    <w:rsid w:val="00E84FDF"/>
    <w:pPr>
      <w:ind w:left="1760"/>
    </w:pPr>
    <w:rPr>
      <w:rFonts w:asciiTheme="minorHAnsi" w:hAnsiTheme="minorHAnsi"/>
      <w:bCs w:val="0"/>
      <w:sz w:val="18"/>
      <w:szCs w:val="18"/>
    </w:rPr>
  </w:style>
  <w:style w:type="character" w:styleId="PageNumber">
    <w:name w:val="page number"/>
    <w:basedOn w:val="DefaultParagraphFont"/>
    <w:uiPriority w:val="99"/>
    <w:semiHidden/>
    <w:unhideWhenUsed/>
    <w:rsid w:val="00E84FDF"/>
  </w:style>
  <w:style w:type="character" w:styleId="Strong">
    <w:name w:val="Strong"/>
    <w:basedOn w:val="DefaultParagraphFont"/>
    <w:uiPriority w:val="22"/>
    <w:qFormat/>
    <w:rsid w:val="00E84FDF"/>
    <w:rPr>
      <w:b/>
      <w:bCs w:val="0"/>
    </w:rPr>
  </w:style>
  <w:style w:type="character" w:styleId="CommentReference">
    <w:name w:val="annotation reference"/>
    <w:basedOn w:val="DefaultParagraphFont"/>
    <w:uiPriority w:val="99"/>
    <w:semiHidden/>
    <w:unhideWhenUsed/>
    <w:rsid w:val="003E1684"/>
    <w:rPr>
      <w:sz w:val="16"/>
      <w:szCs w:val="16"/>
    </w:rPr>
  </w:style>
  <w:style w:type="paragraph" w:styleId="CommentText">
    <w:name w:val="annotation text"/>
    <w:basedOn w:val="Normal"/>
    <w:link w:val="CommentTextChar"/>
    <w:uiPriority w:val="99"/>
    <w:unhideWhenUsed/>
    <w:rsid w:val="003E1684"/>
    <w:pPr>
      <w:spacing w:line="240" w:lineRule="auto"/>
    </w:pPr>
    <w:rPr>
      <w:sz w:val="20"/>
      <w:szCs w:val="20"/>
    </w:rPr>
  </w:style>
  <w:style w:type="character" w:customStyle="1" w:styleId="CommentTextChar">
    <w:name w:val="Comment Text Char"/>
    <w:basedOn w:val="DefaultParagraphFont"/>
    <w:link w:val="CommentText"/>
    <w:uiPriority w:val="99"/>
    <w:rsid w:val="003E1684"/>
    <w:rPr>
      <w:sz w:val="20"/>
      <w:szCs w:val="20"/>
    </w:rPr>
  </w:style>
  <w:style w:type="paragraph" w:styleId="CommentSubject">
    <w:name w:val="annotation subject"/>
    <w:basedOn w:val="CommentText"/>
    <w:next w:val="CommentText"/>
    <w:link w:val="CommentSubjectChar"/>
    <w:uiPriority w:val="99"/>
    <w:semiHidden/>
    <w:unhideWhenUsed/>
    <w:rsid w:val="003E1684"/>
    <w:rPr>
      <w:b/>
    </w:rPr>
  </w:style>
  <w:style w:type="character" w:customStyle="1" w:styleId="CommentSubjectChar">
    <w:name w:val="Comment Subject Char"/>
    <w:basedOn w:val="CommentTextChar"/>
    <w:link w:val="CommentSubject"/>
    <w:uiPriority w:val="99"/>
    <w:semiHidden/>
    <w:rsid w:val="003E1684"/>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60634">
      <w:bodyDiv w:val="1"/>
      <w:marLeft w:val="0"/>
      <w:marRight w:val="0"/>
      <w:marTop w:val="0"/>
      <w:marBottom w:val="0"/>
      <w:divBdr>
        <w:top w:val="none" w:sz="0" w:space="0" w:color="auto"/>
        <w:left w:val="none" w:sz="0" w:space="0" w:color="auto"/>
        <w:bottom w:val="none" w:sz="0" w:space="0" w:color="auto"/>
        <w:right w:val="none" w:sz="0" w:space="0" w:color="auto"/>
      </w:divBdr>
    </w:div>
    <w:div w:id="231283091">
      <w:bodyDiv w:val="1"/>
      <w:marLeft w:val="0"/>
      <w:marRight w:val="0"/>
      <w:marTop w:val="0"/>
      <w:marBottom w:val="0"/>
      <w:divBdr>
        <w:top w:val="none" w:sz="0" w:space="0" w:color="auto"/>
        <w:left w:val="none" w:sz="0" w:space="0" w:color="auto"/>
        <w:bottom w:val="none" w:sz="0" w:space="0" w:color="auto"/>
        <w:right w:val="none" w:sz="0" w:space="0" w:color="auto"/>
      </w:divBdr>
    </w:div>
    <w:div w:id="946422177">
      <w:bodyDiv w:val="1"/>
      <w:marLeft w:val="0"/>
      <w:marRight w:val="0"/>
      <w:marTop w:val="0"/>
      <w:marBottom w:val="0"/>
      <w:divBdr>
        <w:top w:val="none" w:sz="0" w:space="0" w:color="auto"/>
        <w:left w:val="none" w:sz="0" w:space="0" w:color="auto"/>
        <w:bottom w:val="none" w:sz="0" w:space="0" w:color="auto"/>
        <w:right w:val="none" w:sz="0" w:space="0" w:color="auto"/>
      </w:divBdr>
    </w:div>
    <w:div w:id="1173110653">
      <w:bodyDiv w:val="1"/>
      <w:marLeft w:val="0"/>
      <w:marRight w:val="0"/>
      <w:marTop w:val="0"/>
      <w:marBottom w:val="0"/>
      <w:divBdr>
        <w:top w:val="none" w:sz="0" w:space="0" w:color="auto"/>
        <w:left w:val="none" w:sz="0" w:space="0" w:color="auto"/>
        <w:bottom w:val="none" w:sz="0" w:space="0" w:color="auto"/>
        <w:right w:val="none" w:sz="0" w:space="0" w:color="auto"/>
      </w:divBdr>
    </w:div>
    <w:div w:id="1394962119">
      <w:bodyDiv w:val="1"/>
      <w:marLeft w:val="0"/>
      <w:marRight w:val="0"/>
      <w:marTop w:val="0"/>
      <w:marBottom w:val="0"/>
      <w:divBdr>
        <w:top w:val="none" w:sz="0" w:space="0" w:color="auto"/>
        <w:left w:val="none" w:sz="0" w:space="0" w:color="auto"/>
        <w:bottom w:val="none" w:sz="0" w:space="0" w:color="auto"/>
        <w:right w:val="none" w:sz="0" w:space="0" w:color="auto"/>
      </w:divBdr>
    </w:div>
    <w:div w:id="156868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3BC033-8306-4A20-9EFD-22C912C0B5BF}">
  <we:reference id="1dc730d1-70c2-4725-8cc6-7a003fd4a2db" version="2.3.0.0" store="EXCatalog" storeType="EXCatalog"/>
  <we:alternateReferences>
    <we:reference id="WA200005983" version="2.3.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8505A-869E-427C-B2B5-50640B120123}">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3089</Words>
  <Characters>17610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Mbelengwa, Kundai</dc:creator>
  <cp:keywords/>
  <dc:description/>
  <cp:lastModifiedBy>Nephtali Marina-Gonzalez</cp:lastModifiedBy>
  <cp:revision>6</cp:revision>
  <cp:lastPrinted>2026-07-22T02:41:00Z</cp:lastPrinted>
  <dcterms:created xsi:type="dcterms:W3CDTF">2026-07-30T20:00:00Z</dcterms:created>
  <dcterms:modified xsi:type="dcterms:W3CDTF">2026-07-30T20:10:00Z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id="uYutBi7j"/&gt;&lt;style id="http://www.zotero.org/styles/bibliotheque-universitaire-de-medecine-vancouver" locale="en-GB" hasBibliography="1" bibliographyStyleHasBeenSet="1"/&gt;&lt;prefs&gt;&lt;pref name="fieldTyp</vt:lpwstr>
  </property>
  <property fmtid="{D5CDD505-2E9C-101B-9397-08002B2CF9AE}" pid="3" name="ZOTERO_PREF_2">
    <vt:lpwstr>e" value="Field"/&gt;&lt;pref name="automaticJournalAbbreviations" value="true"/&gt;&lt;/prefs&gt;&lt;/data&gt;</vt:lpwstr>
  </property>
</Properties>
</file>