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DFB9B" w14:textId="77777777" w:rsidR="00333C09" w:rsidRDefault="00333C09" w:rsidP="00333C09">
      <w:pPr>
        <w:pStyle w:val="Heading1"/>
      </w:pPr>
      <w:r>
        <w:t>APPENDIX A: MATHEMATICAL MODELS AND EVALUATION METRICS</w:t>
      </w:r>
    </w:p>
    <w:p w14:paraId="153A5462" w14:textId="77777777" w:rsidR="00333C09" w:rsidRDefault="00333C09" w:rsidP="00333C09">
      <w:pPr>
        <w:pStyle w:val="Heading2"/>
      </w:pPr>
      <w:r>
        <w:t>A.1 Alert Latency</w:t>
      </w:r>
    </w:p>
    <w:p w14:paraId="79C3FCBA" w14:textId="77777777" w:rsidR="00333C09" w:rsidRPr="002D4BEA" w:rsidRDefault="00333C09" w:rsidP="00333C09">
      <w:pPr>
        <w:jc w:val="center"/>
        <w:rPr>
          <w:iCs/>
        </w:rPr>
      </w:pPr>
      <m:oMath>
        <m:r>
          <w:rPr>
            <w:rFonts w:ascii="Cambria Math" w:hAnsi="Cambria Math"/>
          </w:rPr>
          <m:t xml:space="preserve">L =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  <w:vertAlign w:val="subscript"/>
              </w:rPr>
              <m:t>receive</m:t>
            </m:r>
          </m:sub>
        </m:sSub>
        <m:r>
          <w:rPr>
            <w:rFonts w:ascii="Cambria Math" w:hAnsi="Cambria Math"/>
          </w:rPr>
          <m:t xml:space="preserve"> -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  <w:vertAlign w:val="subscript"/>
              </w:rPr>
              <m:t>send</m:t>
            </m:r>
          </m:sub>
        </m:sSub>
      </m:oMath>
      <w:r>
        <w:rPr>
          <w:rFonts w:eastAsiaTheme="minorEastAsia"/>
        </w:rPr>
        <w:t xml:space="preserve"> </w:t>
      </w:r>
      <w:r>
        <w:rPr>
          <w:rFonts w:eastAsiaTheme="minorEastAsia"/>
        </w:rPr>
        <w:tab/>
        <w:t>- Eq. (A.1)</w:t>
      </w:r>
    </w:p>
    <w:p w14:paraId="6EC3768F" w14:textId="77777777" w:rsidR="00333C09" w:rsidRDefault="00333C09" w:rsidP="00333C09">
      <w:pPr>
        <w:spacing w:before="60" w:after="60" w:line="276" w:lineRule="auto"/>
        <w:jc w:val="both"/>
      </w:pPr>
      <w:r>
        <w:rPr>
          <w:color w:val="000000"/>
        </w:rPr>
        <w:t xml:space="preserve">where L is alert latency in milliseconds, </w:t>
      </w:r>
      <m:oMath>
        <m:sSub>
          <m:sSubPr>
            <m:ctrlPr>
              <w:rPr>
                <w:rFonts w:ascii="Cambria Math" w:hAnsi="Cambria Math"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T</m:t>
            </m:r>
          </m:e>
          <m:sub>
            <m:r>
              <w:rPr>
                <w:rFonts w:ascii="Cambria Math" w:hAnsi="Cambria Math"/>
                <w:color w:val="000000"/>
              </w:rPr>
              <m:t>receive</m:t>
            </m:r>
          </m:sub>
        </m:sSub>
      </m:oMath>
      <w:r>
        <w:rPr>
          <w:color w:val="000000"/>
        </w:rPr>
        <w:t xml:space="preserve"> is the server-recorded timestamp of WebSocket message arrival, and </w:t>
      </w:r>
      <m:oMath>
        <m:sSub>
          <m:sSubPr>
            <m:ctrlPr>
              <w:rPr>
                <w:rFonts w:ascii="Cambria Math" w:hAnsi="Cambria Math"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T</m:t>
            </m:r>
          </m:e>
          <m:sub>
            <m:r>
              <w:rPr>
                <w:rFonts w:ascii="Cambria Math" w:hAnsi="Cambria Math"/>
                <w:color w:val="000000"/>
              </w:rPr>
              <m:t>send</m:t>
            </m:r>
          </m:sub>
        </m:sSub>
      </m:oMath>
      <w:r>
        <w:rPr>
          <w:color w:val="000000"/>
        </w:rPr>
        <w:t xml:space="preserve"> is the client-generated timestamp at the moment the onActivated or onUpdated event fires.</w:t>
      </w:r>
    </w:p>
    <w:p w14:paraId="5BA84A0D" w14:textId="77777777" w:rsidR="00333C09" w:rsidRDefault="00333C09" w:rsidP="00333C09">
      <w:pPr>
        <w:pStyle w:val="Heading2"/>
      </w:pPr>
      <w:r>
        <w:t>A.2 Detection Accuracy</w:t>
      </w:r>
    </w:p>
    <w:p w14:paraId="622DC989" w14:textId="77777777" w:rsidR="00333C09" w:rsidRPr="00FC5011" w:rsidRDefault="00333C09" w:rsidP="00333C09">
      <w:pPr>
        <w:pStyle w:val="ListParagraph"/>
        <w:jc w:val="center"/>
        <w:rPr>
          <w:iCs/>
        </w:rPr>
      </w:pPr>
      <m:oMath>
        <m:r>
          <w:rPr>
            <w:rFonts w:ascii="Cambria Math" w:hAnsi="Cambria Math"/>
          </w:rPr>
          <m:t xml:space="preserve">A= </m:t>
        </m:r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iCs/>
                  </w:rPr>
                </m:ctrlPr>
              </m:fPr>
              <m:num>
                <m:r>
                  <w:rPr>
                    <w:rFonts w:ascii="Cambria Math" w:hAnsi="Cambria Math"/>
                  </w:rPr>
                  <m:t>TP+TN</m:t>
                </m:r>
              </m:num>
              <m:den>
                <m:r>
                  <w:rPr>
                    <w:rFonts w:ascii="Cambria Math" w:hAnsi="Cambria Math"/>
                  </w:rPr>
                  <m:t>TP+TN+FP+FN</m:t>
                </m:r>
              </m:den>
            </m:f>
          </m:e>
        </m:d>
        <m:r>
          <w:rPr>
            <w:rFonts w:ascii="Cambria Math" w:hAnsi="Cambria Math"/>
          </w:rPr>
          <m:t>×100</m:t>
        </m:r>
      </m:oMath>
      <w:r>
        <w:rPr>
          <w:rFonts w:eastAsiaTheme="minorEastAsia"/>
        </w:rPr>
        <w:tab/>
        <w:t>-Eq. (A.2)</w:t>
      </w:r>
    </w:p>
    <w:p w14:paraId="11996D6E" w14:textId="77777777" w:rsidR="00333C09" w:rsidRDefault="00333C09" w:rsidP="00333C09">
      <w:pPr>
        <w:spacing w:before="60" w:after="60" w:line="276" w:lineRule="auto"/>
        <w:jc w:val="both"/>
        <w:rPr>
          <w:color w:val="000000"/>
        </w:rPr>
      </w:pPr>
      <w:r>
        <w:rPr>
          <w:color w:val="000000"/>
        </w:rPr>
        <w:t xml:space="preserve">where </w:t>
      </w:r>
      <m:oMath>
        <m:r>
          <w:rPr>
            <w:rFonts w:ascii="Cambria Math" w:hAnsi="Cambria Math"/>
            <w:color w:val="000000"/>
          </w:rPr>
          <m:t>A</m:t>
        </m:r>
      </m:oMath>
      <w:r>
        <w:rPr>
          <w:color w:val="000000"/>
        </w:rPr>
        <w:t xml:space="preserve"> is the detection accuracy (%), </w:t>
      </w:r>
      <m:oMath>
        <m:r>
          <w:rPr>
            <w:rFonts w:ascii="Cambria Math" w:hAnsi="Cambria Math"/>
            <w:color w:val="000000"/>
          </w:rPr>
          <m:t>TP</m:t>
        </m:r>
      </m:oMath>
      <w:r>
        <w:rPr>
          <w:color w:val="000000"/>
        </w:rPr>
        <w:t xml:space="preserve"> is the number of unauthorized events correctly flagged, </w:t>
      </w:r>
      <m:oMath>
        <m:r>
          <w:rPr>
            <w:rFonts w:ascii="Cambria Math" w:hAnsi="Cambria Math"/>
            <w:color w:val="000000"/>
          </w:rPr>
          <m:t>TN</m:t>
        </m:r>
      </m:oMath>
      <w:r>
        <w:rPr>
          <w:color w:val="000000"/>
        </w:rPr>
        <w:t xml:space="preserve"> is the number of legitimate actions correctly ignored, </w:t>
      </w:r>
      <m:oMath>
        <m:r>
          <w:rPr>
            <w:rFonts w:ascii="Cambria Math" w:hAnsi="Cambria Math"/>
            <w:color w:val="000000"/>
          </w:rPr>
          <m:t>FP</m:t>
        </m:r>
      </m:oMath>
      <w:r>
        <w:rPr>
          <w:color w:val="000000"/>
        </w:rPr>
        <w:t xml:space="preserve"> is the number of legitimate actions incorrectly flagged, and </w:t>
      </w:r>
      <m:oMath>
        <m:r>
          <w:rPr>
            <w:rFonts w:ascii="Cambria Math" w:hAnsi="Cambria Math"/>
            <w:color w:val="000000"/>
          </w:rPr>
          <m:t>FN</m:t>
        </m:r>
      </m:oMath>
      <w:r>
        <w:rPr>
          <w:color w:val="000000"/>
        </w:rPr>
        <w:t xml:space="preserve"> is the number of unauthorized events missed.</w:t>
      </w:r>
    </w:p>
    <w:p w14:paraId="4607D493" w14:textId="77777777" w:rsidR="00333C09" w:rsidRPr="00E34A7E" w:rsidRDefault="00333C09" w:rsidP="00333C09">
      <w:pPr>
        <w:spacing w:before="60" w:after="60" w:line="276" w:lineRule="auto"/>
        <w:jc w:val="both"/>
        <w:rPr>
          <w:color w:val="000000"/>
        </w:rPr>
      </w:pPr>
    </w:p>
    <w:p w14:paraId="3572ED69" w14:textId="77777777" w:rsidR="00333C09" w:rsidRDefault="00333C09" w:rsidP="00333C09">
      <w:pPr>
        <w:pStyle w:val="Heading2"/>
        <w:spacing w:line="276" w:lineRule="auto"/>
      </w:pPr>
      <w:r>
        <w:t>A.3 False Positive Rate</w:t>
      </w:r>
    </w:p>
    <w:p w14:paraId="150A9F1A" w14:textId="77777777" w:rsidR="00333C09" w:rsidRDefault="00333C09" w:rsidP="00333C09">
      <w:pPr>
        <w:spacing w:before="60" w:after="60" w:line="276" w:lineRule="auto"/>
        <w:jc w:val="center"/>
      </w:pPr>
      <m:oMath>
        <m:r>
          <w:rPr>
            <w:rFonts w:ascii="Cambria Math" w:hAnsi="Cambria Math"/>
            <w:color w:val="000000"/>
          </w:rPr>
          <m:t>FPR =</m:t>
        </m:r>
        <m:f>
          <m:fPr>
            <m:ctrlPr>
              <w:rPr>
                <w:rFonts w:ascii="Cambria Math" w:hAnsi="Cambria Math"/>
                <w:i/>
                <w:color w:val="000000"/>
              </w:rPr>
            </m:ctrlPr>
          </m:fPr>
          <m:num>
            <m:r>
              <w:rPr>
                <w:rFonts w:ascii="Cambria Math" w:hAnsi="Cambria Math"/>
                <w:color w:val="000000"/>
              </w:rPr>
              <m:t>FP</m:t>
            </m:r>
          </m:num>
          <m:den>
            <m:d>
              <m:dPr>
                <m:ctrlPr>
                  <w:rPr>
                    <w:rFonts w:ascii="Cambria Math" w:hAnsi="Cambria Math"/>
                    <w:i/>
                    <w:color w:val="000000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</w:rPr>
                  <m:t>FP+TN</m:t>
                </m:r>
              </m:e>
            </m:d>
          </m:den>
        </m:f>
        <m:r>
          <w:rPr>
            <w:rFonts w:ascii="Cambria Math" w:hAnsi="Cambria Math"/>
            <w:color w:val="000000"/>
          </w:rPr>
          <m:t xml:space="preserve">×100  </m:t>
        </m:r>
      </m:oMath>
      <w:r>
        <w:rPr>
          <w:color w:val="000000"/>
        </w:rPr>
        <w:t xml:space="preserve"> -Eq. (A.3)</w:t>
      </w:r>
    </w:p>
    <w:p w14:paraId="538666A3" w14:textId="77777777" w:rsidR="00333C09" w:rsidRDefault="00333C09" w:rsidP="00333C09">
      <w:pPr>
        <w:spacing w:before="60" w:after="60" w:line="276" w:lineRule="auto"/>
        <w:jc w:val="both"/>
      </w:pPr>
      <w:r>
        <w:rPr>
          <w:color w:val="000000"/>
        </w:rPr>
        <w:t>where FP is the number of legitimate actions incorrectly flagged as violations and TN is the number of legitimate actions correctly identified as non-violations.</w:t>
      </w:r>
    </w:p>
    <w:p w14:paraId="661C4BE9" w14:textId="77777777" w:rsidR="00333C09" w:rsidRDefault="00333C09" w:rsidP="00333C09">
      <w:pPr>
        <w:pStyle w:val="Heading2"/>
      </w:pPr>
      <w:r>
        <w:t>A.4 Confidence Interval for Latency Mean</w:t>
      </w:r>
    </w:p>
    <w:p w14:paraId="66991B89" w14:textId="77777777" w:rsidR="00333C09" w:rsidRDefault="00333C09" w:rsidP="00333C09">
      <w:pPr>
        <w:spacing w:before="60" w:after="60" w:line="276" w:lineRule="auto"/>
        <w:jc w:val="center"/>
      </w:pPr>
      <m:oMath>
        <m:r>
          <w:rPr>
            <w:rFonts w:ascii="Cambria Math" w:hAnsi="Cambria Math"/>
            <w:color w:val="000000"/>
          </w:rPr>
          <m:t xml:space="preserve">CI = </m:t>
        </m:r>
        <m:acc>
          <m:accPr>
            <m:chr m:val="̄"/>
            <m:ctrlPr>
              <w:rPr>
                <w:rFonts w:ascii="Cambria Math" w:hAnsi="Cambria Math"/>
                <w:i/>
                <w:color w:val="000000"/>
              </w:rPr>
            </m:ctrlPr>
          </m:accPr>
          <m:e>
            <m:r>
              <w:rPr>
                <w:rFonts w:ascii="Cambria Math" w:hAnsi="Cambria Math"/>
                <w:color w:val="000000"/>
              </w:rPr>
              <m:t>x</m:t>
            </m:r>
          </m:e>
        </m:acc>
        <m:r>
          <w:rPr>
            <w:rFonts w:ascii="Cambria Math" w:hAnsi="Cambria Math"/>
            <w:color w:val="000000"/>
          </w:rPr>
          <m:t xml:space="preserve">± </m:t>
        </m:r>
        <m:sSub>
          <m:sSubPr>
            <m:ctrlPr>
              <w:rPr>
                <w:rFonts w:ascii="Cambria Math" w:hAnsi="Cambria Math"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t</m:t>
            </m:r>
          </m:e>
          <m:sub>
            <m:d>
              <m:dPr>
                <m:ctrlPr>
                  <w:rPr>
                    <w:rFonts w:ascii="Cambria Math" w:hAnsi="Cambria Math"/>
                    <w:i/>
                    <w:color w:val="000000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color w:val="00000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/>
                      </w:rPr>
                      <m:t>α</m:t>
                    </m:r>
                  </m:num>
                  <m:den>
                    <m:r>
                      <w:rPr>
                        <w:rFonts w:ascii="Cambria Math" w:hAnsi="Cambria Math"/>
                        <w:color w:val="000000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color w:val="000000"/>
                  </w:rPr>
                  <m:t>, n-1</m:t>
                </m:r>
              </m:e>
            </m:d>
          </m:sub>
        </m:sSub>
        <m:r>
          <w:rPr>
            <w:rFonts w:ascii="Cambria Math" w:hAnsi="Cambria Math"/>
            <w:color w:val="000000"/>
          </w:rPr>
          <m:t xml:space="preserve">× </m:t>
        </m:r>
        <m:d>
          <m:dPr>
            <m:ctrlPr>
              <w:rPr>
                <w:rFonts w:ascii="Cambria Math" w:hAnsi="Cambria Math"/>
                <w:i/>
                <w:color w:val="000000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color w:val="000000"/>
                  </w:rPr>
                </m:ctrlPr>
              </m:fPr>
              <m:num>
                <m:r>
                  <w:rPr>
                    <w:rFonts w:ascii="Cambria Math" w:hAnsi="Cambria Math"/>
                    <w:color w:val="000000"/>
                  </w:rPr>
                  <m:t>s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color w:val="00000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color w:val="000000"/>
                      </w:rPr>
                      <m:t>n</m:t>
                    </m:r>
                  </m:e>
                </m:rad>
              </m:den>
            </m:f>
          </m:e>
        </m:d>
      </m:oMath>
      <w:r>
        <w:rPr>
          <w:color w:val="000000"/>
        </w:rPr>
        <w:t xml:space="preserve">    -Eq. (A.4)</w:t>
      </w:r>
    </w:p>
    <w:p w14:paraId="1AC23435" w14:textId="77777777" w:rsidR="00333C09" w:rsidRDefault="00333C09" w:rsidP="00333C09">
      <w:pPr>
        <w:spacing w:before="60" w:after="60" w:line="276" w:lineRule="auto"/>
        <w:jc w:val="both"/>
        <w:rPr>
          <w:color w:val="000000"/>
        </w:rPr>
      </w:pPr>
      <w:r>
        <w:rPr>
          <w:color w:val="000000"/>
        </w:rPr>
        <w:t xml:space="preserve">where </w:t>
      </w:r>
      <m:oMath>
        <m:r>
          <w:rPr>
            <w:rFonts w:ascii="Cambria Math" w:hAnsi="Cambria Math"/>
            <w:color w:val="000000"/>
          </w:rPr>
          <m:t>x̄</m:t>
        </m:r>
      </m:oMath>
      <w:r>
        <w:rPr>
          <w:color w:val="000000"/>
        </w:rPr>
        <w:t xml:space="preserve"> is the sample mean latency, s is the sample standard deviation, n is the sample size (500), and </w:t>
      </w:r>
      <m:oMath>
        <m:sSub>
          <m:sSubPr>
            <m:ctrlPr>
              <w:rPr>
                <w:rFonts w:ascii="Cambria Math" w:hAnsi="Cambria Math"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t</m:t>
            </m:r>
          </m:e>
          <m:sub>
            <m:d>
              <m:dPr>
                <m:ctrlPr>
                  <w:rPr>
                    <w:rFonts w:ascii="Cambria Math" w:hAnsi="Cambria Math"/>
                    <w:i/>
                    <w:color w:val="000000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color w:val="00000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/>
                      </w:rPr>
                      <m:t>α</m:t>
                    </m:r>
                  </m:num>
                  <m:den>
                    <m:r>
                      <w:rPr>
                        <w:rFonts w:ascii="Cambria Math" w:hAnsi="Cambria Math"/>
                        <w:color w:val="000000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color w:val="000000"/>
                  </w:rPr>
                  <m:t>, n-1</m:t>
                </m:r>
              </m:e>
            </m:d>
          </m:sub>
        </m:sSub>
      </m:oMath>
      <w:r>
        <w:rPr>
          <w:color w:val="000000"/>
        </w:rPr>
        <w:t xml:space="preserve"> is the t-critical value at the desired confidence level (1.96 for 95% CI at n=500).</w:t>
      </w:r>
    </w:p>
    <w:p w14:paraId="27599C23" w14:textId="77777777" w:rsidR="00333C09" w:rsidRDefault="00333C09" w:rsidP="00333C09">
      <w:pPr>
        <w:spacing w:before="60" w:after="60" w:line="276" w:lineRule="auto"/>
        <w:jc w:val="both"/>
        <w:rPr>
          <w:color w:val="000000"/>
        </w:rPr>
      </w:pPr>
    </w:p>
    <w:p w14:paraId="75384BE3" w14:textId="77777777" w:rsidR="00DC2479" w:rsidRDefault="00DC2479"/>
    <w:sectPr w:rsidR="00DC24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09"/>
    <w:rsid w:val="000249F9"/>
    <w:rsid w:val="00333C09"/>
    <w:rsid w:val="005B6877"/>
    <w:rsid w:val="00AA0C39"/>
    <w:rsid w:val="00DC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FEA69"/>
  <w15:chartTrackingRefBased/>
  <w15:docId w15:val="{B340BADF-4D30-4257-9B01-CAC07DB24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C0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3C0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3C0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3C0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3C0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3C0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3C0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3C0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3C0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3C0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3C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33C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3C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3C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3C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3C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3C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3C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3C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3C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33C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3C0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33C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3C0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33C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3C0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33C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3C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3C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3C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1071</Characters>
  <Application>Microsoft Office Word</Application>
  <DocSecurity>0</DocSecurity>
  <Lines>8</Lines>
  <Paragraphs>2</Paragraphs>
  <ScaleCrop>false</ScaleCrop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Pandey</dc:creator>
  <cp:keywords/>
  <dc:description/>
  <cp:lastModifiedBy>Rohit Pandey</cp:lastModifiedBy>
  <cp:revision>1</cp:revision>
  <dcterms:created xsi:type="dcterms:W3CDTF">2026-08-28T21:14:00Z</dcterms:created>
  <dcterms:modified xsi:type="dcterms:W3CDTF">2026-08-28T21:14:00Z</dcterms:modified>
</cp:coreProperties>
</file>