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5F4C" w14:textId="77777777" w:rsidR="009B5E55" w:rsidRDefault="009B5E55" w:rsidP="009B5E5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inline distT="0" distB="0" distL="0" distR="0" wp14:anchorId="2F9E0894" wp14:editId="5CBBF599">
            <wp:extent cx="5727700" cy="2459355"/>
            <wp:effectExtent l="0" t="0" r="0" b="4445"/>
            <wp:docPr id="179674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4478" name="Picture 1796744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C5B1" w14:textId="77777777" w:rsidR="009B5E55" w:rsidRPr="0011267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Supplementary Figure 1: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  <w:r w:rsidRPr="00112675">
        <w:rPr>
          <w:rFonts w:ascii="Arial" w:hAnsi="Arial" w:cs="Arial"/>
          <w:color w:val="000000" w:themeColor="text1"/>
          <w:sz w:val="22"/>
          <w:szCs w:val="22"/>
        </w:rPr>
        <w:t xml:space="preserve">Spatial feature plots of </w:t>
      </w:r>
      <w:r w:rsidRPr="00B61823">
        <w:rPr>
          <w:rFonts w:ascii="Arial" w:hAnsi="Arial" w:cs="Arial"/>
          <w:i/>
          <w:iCs/>
          <w:color w:val="000000" w:themeColor="text1"/>
          <w:sz w:val="22"/>
          <w:szCs w:val="22"/>
        </w:rPr>
        <w:t>SFTPC</w:t>
      </w:r>
      <w:r w:rsidRPr="00112675">
        <w:rPr>
          <w:rFonts w:ascii="Arial" w:hAnsi="Arial" w:cs="Arial"/>
          <w:color w:val="000000" w:themeColor="text1"/>
          <w:sz w:val="22"/>
          <w:szCs w:val="22"/>
        </w:rPr>
        <w:t xml:space="preserve"> expression in human osteosarcoma lung metastases samples. </w:t>
      </w:r>
    </w:p>
    <w:p w14:paraId="1A9E0466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3B1B8284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296AC40B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7FEF9569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2543DEEC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37CBCE4A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20B5BC75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770BAA98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159C7E1C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2F9EB970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773CB92D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6F98FC17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B0BEB3A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734BE70F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41EC263B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1B8381F9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1F1DED73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A2B0CE6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409AAF44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0942AA22" w14:textId="77777777" w:rsidR="009B5E55" w:rsidRPr="000F7E28" w:rsidRDefault="009B5E55" w:rsidP="009B5E5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lastRenderedPageBreak/>
        <w:drawing>
          <wp:inline distT="0" distB="0" distL="0" distR="0" wp14:anchorId="31C9D4A3" wp14:editId="09B1B3F9">
            <wp:extent cx="5727700" cy="1906270"/>
            <wp:effectExtent l="0" t="0" r="0" b="0"/>
            <wp:docPr id="17099542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54224" name="Picture 17099542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59971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Supplementary Figure 2: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Representative images of negative and positive controls for IHC staining of SPC in </w:t>
      </w:r>
      <w:r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>canine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samples.</w:t>
      </w:r>
    </w:p>
    <w:p w14:paraId="695C5BA4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17348962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5587302B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3E4FCAF8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162A74C5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75CE79E3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D26EEE2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29A6F97E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5BE22C1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6A4800A1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674D1B5E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141FE128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260D869C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6FF1E8A8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2E777B01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38B6A683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521EBE90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0818564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3E6F019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4D95AD59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2281280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565A6096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64383B26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5C421DC9" w14:textId="77777777" w:rsidR="009B5E5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Theme="minorHAnsi" w:hAnsi="Arial" w:cs="Arial"/>
          <w:noProof/>
          <w:kern w:val="2"/>
          <w:sz w:val="22"/>
          <w:szCs w:val="22"/>
          <w14:ligatures w14:val="standardContextual"/>
        </w:rPr>
        <w:lastRenderedPageBreak/>
        <w:drawing>
          <wp:inline distT="0" distB="0" distL="0" distR="0" wp14:anchorId="41A411D9" wp14:editId="4E4D96C3">
            <wp:extent cx="5727700" cy="2424430"/>
            <wp:effectExtent l="0" t="0" r="0" b="1270"/>
            <wp:docPr id="4728076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07608" name="Picture 4728076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D80F5" w14:textId="77777777" w:rsidR="009B5E55" w:rsidRPr="0011267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 xml:space="preserve">Supplementary Figure </w:t>
      </w:r>
      <w:r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3</w:t>
      </w: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Representative images of </w:t>
      </w:r>
      <w:r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>isotype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and positive controls for IHC staining of SPC in murine samples.</w:t>
      </w:r>
    </w:p>
    <w:p w14:paraId="3CC92825" w14:textId="77777777" w:rsidR="009B5E55" w:rsidRPr="0011267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0C15F813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41DAA235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7B8D92A8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01403B35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182C239E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705F2330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0CD5D606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lastRenderedPageBreak/>
        <w:drawing>
          <wp:inline distT="0" distB="0" distL="0" distR="0" wp14:anchorId="119D8405" wp14:editId="62DE6ABD">
            <wp:extent cx="5727700" cy="4053205"/>
            <wp:effectExtent l="0" t="0" r="0" b="0"/>
            <wp:docPr id="21234978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497871" name="Picture 21234978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5D81" w14:textId="77777777" w:rsidR="009B5E55" w:rsidRPr="004866BA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 xml:space="preserve">Supplementary Figure </w:t>
      </w:r>
      <w:r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4</w:t>
      </w: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t>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  <w:r w:rsidRPr="004866BA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Validation of TIIP identity by comparison of our </w:t>
      </w:r>
      <w:r w:rsidRPr="004866BA">
        <w:rPr>
          <w:rFonts w:ascii="Arial" w:eastAsiaTheme="minorHAnsi" w:hAnsi="Arial" w:cs="Arial"/>
          <w:i/>
          <w:iCs/>
          <w:kern w:val="2"/>
          <w:sz w:val="22"/>
          <w:szCs w:val="22"/>
          <w14:ligatures w14:val="standardContextual"/>
        </w:rPr>
        <w:t>in vitro</w:t>
      </w:r>
      <w:r w:rsidRPr="004866BA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TIIP RNAseq data (n=3) with publicly available </w:t>
      </w:r>
      <w:r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single-cell </w:t>
      </w:r>
      <w:r w:rsidRPr="004866BA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>RNAseq data of  TIIPs in culture (n=2), shown as a Pearson correlation heatmap.</w:t>
      </w:r>
    </w:p>
    <w:p w14:paraId="118FCF9E" w14:textId="77777777" w:rsidR="009B5E55" w:rsidRDefault="009B5E55" w:rsidP="009B5E55">
      <w:pPr>
        <w:spacing w:line="480" w:lineRule="auto"/>
        <w:jc w:val="both"/>
        <w:rPr>
          <w:rFonts w:ascii="Arial" w:hAnsi="Arial" w:cs="Arial"/>
          <w:color w:val="000000"/>
        </w:rPr>
      </w:pPr>
    </w:p>
    <w:p w14:paraId="551CAB41" w14:textId="77777777" w:rsidR="009B5E55" w:rsidRPr="000F7E28" w:rsidRDefault="009B5E55" w:rsidP="009B5E55">
      <w:pPr>
        <w:spacing w:line="360" w:lineRule="auto"/>
        <w:rPr>
          <w:rFonts w:ascii="Arial" w:hAnsi="Arial" w:cs="Arial"/>
        </w:rPr>
      </w:pPr>
    </w:p>
    <w:p w14:paraId="47E2B8B3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FD48DEE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7855DAAB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10B2D1F4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372D2C9F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B15A554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687471FD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645D505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00A000D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2AB0C765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5ADE2AE8" w14:textId="77777777" w:rsidR="009B5E55" w:rsidRDefault="009B5E55" w:rsidP="009B5E55">
      <w:pPr>
        <w:spacing w:line="360" w:lineRule="auto"/>
        <w:rPr>
          <w:rFonts w:ascii="Arial" w:hAnsi="Arial" w:cs="Arial"/>
        </w:rPr>
      </w:pPr>
    </w:p>
    <w:p w14:paraId="1820EF7C" w14:textId="77777777" w:rsidR="009B5E55" w:rsidRPr="001373A8" w:rsidRDefault="009B5E55" w:rsidP="009B5E55">
      <w:pPr>
        <w:spacing w:line="360" w:lineRule="auto"/>
        <w:rPr>
          <w:rFonts w:ascii="Arial" w:hAnsi="Arial" w:cs="Arial"/>
        </w:rPr>
      </w:pPr>
    </w:p>
    <w:p w14:paraId="42901C6C" w14:textId="77777777" w:rsidR="009B5E55" w:rsidRPr="0011267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lastRenderedPageBreak/>
        <w:t>Supplementary Table 1: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Demographics of human patient samples included in the present study.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00"/>
        <w:gridCol w:w="2040"/>
        <w:gridCol w:w="1700"/>
        <w:gridCol w:w="3040"/>
      </w:tblGrid>
      <w:tr w:rsidR="009B5E55" w14:paraId="70DAFAEF" w14:textId="77777777" w:rsidTr="009B73F1">
        <w:trPr>
          <w:trHeight w:val="677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9F33C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Sample ID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930DC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Sex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437A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Age (years)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7C98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Tissue Acquisition Site</w:t>
            </w:r>
          </w:p>
        </w:tc>
      </w:tr>
      <w:tr w:rsidR="009B5E55" w14:paraId="6F234312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99A3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CE48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Female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C92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18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954B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Lung</w:t>
            </w:r>
          </w:p>
        </w:tc>
      </w:tr>
      <w:tr w:rsidR="009B5E55" w14:paraId="6A150CFE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06E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254B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Female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7A11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18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5E8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Lung</w:t>
            </w:r>
          </w:p>
        </w:tc>
      </w:tr>
      <w:tr w:rsidR="009B5E55" w14:paraId="5D5F7254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06AD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OS-3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F18D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Female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8B11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11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DC58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Lung</w:t>
            </w:r>
          </w:p>
        </w:tc>
      </w:tr>
      <w:tr w:rsidR="009B5E55" w14:paraId="1B82AF9A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F9C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7108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27D83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19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5DC5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Lung</w:t>
            </w:r>
          </w:p>
        </w:tc>
      </w:tr>
      <w:tr w:rsidR="009B5E55" w14:paraId="25878641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7710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OS-5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CBD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132A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0FD0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Lung</w:t>
            </w:r>
          </w:p>
        </w:tc>
      </w:tr>
      <w:tr w:rsidR="009B5E55" w14:paraId="291FD60C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6327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C058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129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FF39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Lung</w:t>
            </w:r>
          </w:p>
        </w:tc>
      </w:tr>
      <w:tr w:rsidR="009B5E55" w14:paraId="74DFB8C6" w14:textId="77777777" w:rsidTr="009B73F1">
        <w:trPr>
          <w:trHeight w:val="613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3523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OS-7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5E93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19A2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15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3D7E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Lung</w:t>
            </w:r>
          </w:p>
        </w:tc>
      </w:tr>
    </w:tbl>
    <w:p w14:paraId="45C072AC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02FC1C4F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1CD6C4CA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764834CD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4B1E8EE3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6E5C8263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6E030DB1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063137B7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29331710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28088167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695915EC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19AADFD8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4B5A2487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5C383EAF" w14:textId="77777777" w:rsidR="009B5E55" w:rsidRDefault="009B5E55" w:rsidP="009B5E55">
      <w:pPr>
        <w:spacing w:line="480" w:lineRule="auto"/>
        <w:jc w:val="both"/>
        <w:rPr>
          <w:rFonts w:ascii="Arial" w:eastAsiaTheme="minorHAnsi" w:hAnsi="Arial" w:cs="Arial"/>
          <w:kern w:val="2"/>
          <w14:ligatures w14:val="standardContextual"/>
        </w:rPr>
      </w:pPr>
    </w:p>
    <w:p w14:paraId="74C9B223" w14:textId="77777777" w:rsidR="009B5E55" w:rsidRPr="00112675" w:rsidRDefault="009B5E55" w:rsidP="009B5E55">
      <w:pPr>
        <w:spacing w:line="276" w:lineRule="auto"/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12675">
        <w:rPr>
          <w:rFonts w:ascii="Arial" w:eastAsiaTheme="minorHAnsi" w:hAnsi="Arial" w:cs="Arial"/>
          <w:b/>
          <w:bCs/>
          <w:kern w:val="2"/>
          <w:sz w:val="22"/>
          <w:szCs w:val="22"/>
          <w14:ligatures w14:val="standardContextual"/>
        </w:rPr>
        <w:lastRenderedPageBreak/>
        <w:t>Supplementary Table 2:</w:t>
      </w:r>
      <w:r w:rsidRPr="0011267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Demographics of canine patient samples included in the present study.</w:t>
      </w:r>
    </w:p>
    <w:tbl>
      <w:tblPr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4"/>
        <w:gridCol w:w="1383"/>
        <w:gridCol w:w="1583"/>
        <w:gridCol w:w="1363"/>
        <w:gridCol w:w="1142"/>
        <w:gridCol w:w="2245"/>
      </w:tblGrid>
      <w:tr w:rsidR="009B5E55" w14:paraId="1CAA190B" w14:textId="77777777" w:rsidTr="009B73F1">
        <w:trPr>
          <w:trHeight w:val="85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C3DE8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bookmarkStart w:id="0" w:name="_Hlk231512722"/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Patient ID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BC30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COTC Site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56DA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3CB3E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Sex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D7D2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Age (years)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726D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Primary Tumor Location</w:t>
            </w:r>
          </w:p>
        </w:tc>
      </w:tr>
      <w:tr w:rsidR="009B5E55" w14:paraId="47A3F1A9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F760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COTC022-0227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03C9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CSU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065D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Great Pyrenees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F907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26C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9.5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C7C9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radius</w:t>
            </w:r>
          </w:p>
        </w:tc>
      </w:tr>
      <w:tr w:rsidR="009B5E55" w14:paraId="2DA81841" w14:textId="77777777" w:rsidTr="009B73F1">
        <w:trPr>
          <w:trHeight w:val="598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ACD9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COTC021-0621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001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9C9C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Golden Retriever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E931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8AE3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5.7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5F36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proximal humerus</w:t>
            </w:r>
          </w:p>
        </w:tc>
      </w:tr>
      <w:bookmarkEnd w:id="0"/>
      <w:tr w:rsidR="009B5E55" w14:paraId="2D566041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3AE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COTC022-0627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4A4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93CE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Mixed 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2914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D554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8.9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E170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tibia</w:t>
            </w:r>
          </w:p>
        </w:tc>
      </w:tr>
      <w:tr w:rsidR="009B5E55" w14:paraId="5B7FD4EB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7691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COTC022-0628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87A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OSU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E8FF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Rottweiler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09F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AF98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8.5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48D5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tibia</w:t>
            </w:r>
          </w:p>
        </w:tc>
      </w:tr>
      <w:tr w:rsidR="009B5E55" w14:paraId="3587D6A4" w14:textId="77777777" w:rsidTr="009B73F1">
        <w:trPr>
          <w:trHeight w:val="56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14A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COTC021-0709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E6B33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IL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2D0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Golden Retriever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3A43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 xml:space="preserve">Female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081D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F79B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 xml:space="preserve">Left distal ulna </w:t>
            </w:r>
          </w:p>
        </w:tc>
      </w:tr>
      <w:tr w:rsidR="009B5E55" w14:paraId="56EFDCD7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2298B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COTC021-0809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9CC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Guelph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B4B9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Mixed 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0D7A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CD43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8.6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6199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radius</w:t>
            </w:r>
          </w:p>
        </w:tc>
      </w:tr>
      <w:tr w:rsidR="009B5E55" w14:paraId="3201B4C8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8060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COTC022-1006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C709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UCD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9461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Rottweiler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173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1DB1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8.3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00E4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distal femur</w:t>
            </w:r>
          </w:p>
        </w:tc>
      </w:tr>
      <w:tr w:rsidR="009B5E55" w14:paraId="58007669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12C9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COTC021-1015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08E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UCD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800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Mixed 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A295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 xml:space="preserve">Female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FD8AC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2CE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distal radius</w:t>
            </w:r>
          </w:p>
        </w:tc>
      </w:tr>
      <w:tr w:rsidR="009B5E55" w14:paraId="00FD4CE0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6CB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COTC021-1020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688C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UCD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8A5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Labrador Retriever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FBDB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6C8A4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7.2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C0B6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distal radius</w:t>
            </w:r>
          </w:p>
        </w:tc>
      </w:tr>
      <w:tr w:rsidR="009B5E55" w14:paraId="1EC0870E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EF8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COTC022-1402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438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UGA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F281B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Mixed 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293C9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692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8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ABC8E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 xml:space="preserve">Right distal tibia </w:t>
            </w:r>
          </w:p>
        </w:tc>
      </w:tr>
      <w:tr w:rsidR="009B5E55" w14:paraId="223537F1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9D40A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COTC021-1913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8671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TXAMU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6AC1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Mixed Breed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437E3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B0F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5.3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2DC9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Right distal femur</w:t>
            </w:r>
          </w:p>
        </w:tc>
      </w:tr>
      <w:tr w:rsidR="009B5E55" w14:paraId="11BA2F91" w14:textId="77777777" w:rsidTr="009B73F1">
        <w:trPr>
          <w:trHeight w:val="616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DD0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COTC022-2006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F7CDB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KSU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5CEA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Old English Bulldog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4ADB6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Female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F3F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095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proximal ulna</w:t>
            </w:r>
          </w:p>
        </w:tc>
      </w:tr>
      <w:tr w:rsidR="009B5E55" w14:paraId="1684B853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F82C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COTC022-2202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9C400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VT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0D91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Labrador Retriever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51DD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5F2A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9.3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AEA21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tibia</w:t>
            </w:r>
          </w:p>
        </w:tc>
      </w:tr>
      <w:tr w:rsidR="009B5E55" w14:paraId="73084D9A" w14:textId="77777777" w:rsidTr="009B73F1">
        <w:trPr>
          <w:trHeight w:val="613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014CD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COTC021-2205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AF5B5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VT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0F6B2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Greyhound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F19F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Male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03E8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9607" w14:textId="77777777" w:rsidR="009B5E55" w:rsidRDefault="009B5E55" w:rsidP="009B73F1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Left distal femur</w:t>
            </w:r>
          </w:p>
        </w:tc>
      </w:tr>
    </w:tbl>
    <w:p w14:paraId="2095FC97" w14:textId="77777777" w:rsidR="009B5E55" w:rsidRDefault="009B5E55" w:rsidP="009B5E55">
      <w:pPr>
        <w:rPr>
          <w:rFonts w:ascii="Arial" w:hAnsi="Arial" w:cs="Arial"/>
          <w:b/>
          <w:bCs/>
          <w:color w:val="000000"/>
        </w:rPr>
      </w:pPr>
    </w:p>
    <w:p w14:paraId="3507F935" w14:textId="77777777" w:rsidR="009B5E55" w:rsidRDefault="009B5E55" w:rsidP="009B5E55">
      <w:pPr>
        <w:rPr>
          <w:rFonts w:ascii="Arial" w:hAnsi="Arial" w:cs="Arial"/>
          <w:b/>
          <w:bCs/>
          <w:color w:val="000000"/>
        </w:rPr>
      </w:pPr>
    </w:p>
    <w:p w14:paraId="0DF0439E" w14:textId="77777777" w:rsidR="009B5E55" w:rsidRDefault="009B5E55" w:rsidP="009B5E55">
      <w:pPr>
        <w:rPr>
          <w:rFonts w:ascii="Arial" w:hAnsi="Arial" w:cs="Arial"/>
          <w:b/>
          <w:bCs/>
          <w:color w:val="000000"/>
        </w:rPr>
      </w:pPr>
    </w:p>
    <w:p w14:paraId="555EC450" w14:textId="77777777" w:rsidR="009B5E55" w:rsidRDefault="009B5E55" w:rsidP="009B5E55">
      <w:pPr>
        <w:rPr>
          <w:rFonts w:ascii="Arial" w:hAnsi="Arial" w:cs="Arial"/>
          <w:b/>
          <w:bCs/>
          <w:color w:val="000000"/>
        </w:rPr>
      </w:pP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 xml:space="preserve"> ADDIN EN.REFLIST </w:instrText>
      </w:r>
      <w:r>
        <w:rPr>
          <w:b/>
          <w:bCs/>
          <w:color w:val="000000"/>
        </w:rPr>
        <w:fldChar w:fldCharType="separate"/>
      </w:r>
      <w:r>
        <w:rPr>
          <w:rFonts w:ascii="Arial" w:hAnsi="Arial" w:cs="Arial"/>
          <w:b/>
          <w:bCs/>
          <w:color w:val="000000"/>
        </w:rPr>
        <w:fldChar w:fldCharType="end"/>
      </w:r>
    </w:p>
    <w:p w14:paraId="2DEE95E8" w14:textId="77777777" w:rsidR="00F553FF" w:rsidRDefault="00F553FF"/>
    <w:sectPr w:rsidR="00F553FF" w:rsidSect="009B5E5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55"/>
    <w:rsid w:val="003C2EF4"/>
    <w:rsid w:val="00446799"/>
    <w:rsid w:val="00471820"/>
    <w:rsid w:val="006A7E07"/>
    <w:rsid w:val="006D1572"/>
    <w:rsid w:val="00701021"/>
    <w:rsid w:val="00866E40"/>
    <w:rsid w:val="009B5E55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ECBC"/>
  <w15:chartTrackingRefBased/>
  <w15:docId w15:val="{44349A14-640F-40E3-9F36-323AA351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E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E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E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E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E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E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E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E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5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E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5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E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5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E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5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E5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B5E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300</Words>
  <Characters>1716</Characters>
  <Application>Microsoft Office Word</Application>
  <DocSecurity>0</DocSecurity>
  <Lines>14</Lines>
  <Paragraphs>4</Paragraphs>
  <ScaleCrop>false</ScaleCrop>
  <Company>Springer Nature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2026-08-19T07:15:00Z</dcterms:created>
  <dcterms:modified xsi:type="dcterms:W3CDTF">2026-08-19T07:15:00Z</dcterms:modified>
</cp:coreProperties>
</file>