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2130CA">
      <w:pPr>
        <w:spacing w:after="60"/>
        <w:jc w:val="center"/>
      </w:pPr>
      <w:bookmarkStart w:id="0" w:name="_GoBack"/>
      <w:bookmarkEnd w:id="0"/>
      <w:r>
        <w:rPr>
          <w:rFonts w:ascii="Times New Roman" w:hAnsi="Times New Roman" w:eastAsia="Times New Roman"/>
          <w:b/>
          <w:sz w:val="28"/>
        </w:rPr>
        <w:t>Additional file 2</w:t>
      </w:r>
    </w:p>
    <w:p w14:paraId="1AEB92B5">
      <w:pPr>
        <w:spacing w:after="200"/>
        <w:jc w:val="center"/>
      </w:pPr>
      <w:r>
        <w:rPr>
          <w:rFonts w:ascii="Times New Roman" w:hAnsi="Times New Roman" w:eastAsia="Times New Roman"/>
          <w:b/>
          <w:sz w:val="28"/>
        </w:rPr>
        <w:t>Characteristics of the 33 Included Studies</w:t>
      </w:r>
    </w:p>
    <w:p w14:paraId="0399A7FA">
      <w:pPr>
        <w:widowControl/>
        <w:spacing w:before="0" w:after="40" w:line="360" w:lineRule="auto"/>
        <w:jc w:val="left"/>
      </w:pPr>
      <w:r>
        <w:rPr>
          <w:rFonts w:ascii="Times New Roman" w:hAnsi="Times New Roman" w:eastAsia="Times New Roman"/>
          <w:sz w:val="24"/>
        </w:rPr>
        <w:t>Target journal: BMC Nursing</w:t>
      </w:r>
    </w:p>
    <w:p w14:paraId="03ACE9CC">
      <w:pPr>
        <w:widowControl/>
        <w:spacing w:before="0" w:after="40" w:line="360" w:lineRule="auto"/>
        <w:jc w:val="left"/>
      </w:pPr>
      <w:r>
        <w:rPr>
          <w:rFonts w:ascii="Times New Roman" w:hAnsi="Times New Roman" w:eastAsia="Times New Roman"/>
          <w:sz w:val="24"/>
        </w:rPr>
        <w:t>Article title: Effects of Nurse-Led or Nurse-Coordinated Post-Discharge Support After Oesophageal or Gastric Cancer Surgery: A Systematic Review and Meta-analysis</w:t>
      </w:r>
    </w:p>
    <w:p w14:paraId="276A8344">
      <w:pPr>
        <w:widowControl/>
        <w:spacing w:before="0" w:after="40" w:line="360" w:lineRule="auto"/>
        <w:jc w:val="left"/>
      </w:pPr>
      <w:r>
        <w:rPr>
          <w:rFonts w:ascii="Times New Roman" w:hAnsi="Times New Roman" w:eastAsia="Times New Roman"/>
          <w:sz w:val="24"/>
        </w:rPr>
        <w:t>Authors: Qiyuan Liu, Jing Yao, Longxia Wei and Lingyun Zhou</w:t>
      </w:r>
    </w:p>
    <w:p w14:paraId="086A9E5F">
      <w:pPr>
        <w:widowControl/>
        <w:spacing w:before="0" w:after="40" w:line="360" w:lineRule="auto"/>
        <w:jc w:val="left"/>
      </w:pPr>
      <w:r>
        <w:rPr>
          <w:rFonts w:ascii="Times New Roman" w:hAnsi="Times New Roman" w:eastAsia="Times New Roman"/>
          <w:sz w:val="24"/>
        </w:rPr>
        <w:t>Corresponding author: Lingyun Zhou (m13519518722@163.com)</w:t>
      </w:r>
    </w:p>
    <w:p w14:paraId="0A52AD70">
      <w:pPr>
        <w:widowControl/>
        <w:spacing w:before="0" w:after="120" w:line="360" w:lineRule="auto"/>
        <w:jc w:val="both"/>
      </w:pPr>
      <w:r>
        <w:rPr>
          <w:rFonts w:ascii="Times New Roman" w:hAnsi="Times New Roman" w:eastAsia="Times New Roman"/>
          <w:sz w:val="24"/>
        </w:rPr>
        <w:t>Data category A indicates arm-level data directly usable for quantitative synthesis; category B indicates partial arm-level data or model-based estimates requiring separate presentation; category C indicates evidence used primarily in narrative, feasibility, or economic synthesis. Study labels correspond to citations in the main manuscript reference list.</w:t>
      </w:r>
    </w:p>
    <w:p w14:paraId="4A050BA8">
      <w:pPr>
        <w:keepNext/>
        <w:widowControl/>
        <w:spacing w:before="0" w:after="80" w:line="360" w:lineRule="auto"/>
        <w:jc w:val="left"/>
      </w:pPr>
      <w:r>
        <w:rPr>
          <w:rFonts w:ascii="Times New Roman" w:hAnsi="Times New Roman" w:eastAsia="Times New Roman"/>
          <w:b/>
          <w:sz w:val="24"/>
        </w:rPr>
        <w:t>Table S1. Characteristics of included studies</w:t>
      </w:r>
    </w:p>
    <w:tbl>
      <w:tblPr>
        <w:tblStyle w:val="3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7"/>
        <w:gridCol w:w="1767"/>
        <w:gridCol w:w="1767"/>
        <w:gridCol w:w="1767"/>
        <w:gridCol w:w="1767"/>
        <w:gridCol w:w="1767"/>
        <w:gridCol w:w="1767"/>
        <w:gridCol w:w="1767"/>
      </w:tblGrid>
      <w:tr w14:paraId="4F4BEA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1701" w:type="dxa"/>
            <w:tcBorders>
              <w:top w:val="single" w:color="000000" w:sz="12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AC9AFE2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20"/>
              </w:rPr>
              <w:t>Study</w:t>
            </w:r>
          </w:p>
        </w:tc>
        <w:tc>
          <w:tcPr>
            <w:tcW w:w="1134" w:type="dxa"/>
            <w:tcBorders>
              <w:top w:val="single" w:color="000000" w:sz="12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8D193DE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20"/>
              </w:rPr>
              <w:t>Cancer</w:t>
            </w:r>
          </w:p>
        </w:tc>
        <w:tc>
          <w:tcPr>
            <w:tcW w:w="1757" w:type="dxa"/>
            <w:tcBorders>
              <w:top w:val="single" w:color="000000" w:sz="12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A784E63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20"/>
              </w:rPr>
              <w:t>Intervention category</w:t>
            </w:r>
          </w:p>
        </w:tc>
        <w:tc>
          <w:tcPr>
            <w:tcW w:w="2665" w:type="dxa"/>
            <w:tcBorders>
              <w:top w:val="single" w:color="000000" w:sz="12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73EAFF8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20"/>
              </w:rPr>
              <w:t>Main intervention</w:t>
            </w:r>
          </w:p>
        </w:tc>
        <w:tc>
          <w:tcPr>
            <w:tcW w:w="2438" w:type="dxa"/>
            <w:tcBorders>
              <w:top w:val="single" w:color="000000" w:sz="12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D85D528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20"/>
              </w:rPr>
              <w:t>Comparator</w:t>
            </w:r>
          </w:p>
        </w:tc>
        <w:tc>
          <w:tcPr>
            <w:tcW w:w="1531" w:type="dxa"/>
            <w:tcBorders>
              <w:top w:val="single" w:color="000000" w:sz="12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1D18E94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20"/>
              </w:rPr>
              <w:t>Follow-up</w:t>
            </w:r>
          </w:p>
        </w:tc>
        <w:tc>
          <w:tcPr>
            <w:tcW w:w="2948" w:type="dxa"/>
            <w:tcBorders>
              <w:top w:val="single" w:color="000000" w:sz="12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0BA0697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20"/>
              </w:rPr>
              <w:t>Main outcomes</w:t>
            </w:r>
          </w:p>
        </w:tc>
        <w:tc>
          <w:tcPr>
            <w:tcW w:w="850" w:type="dxa"/>
            <w:tcBorders>
              <w:top w:val="single" w:color="000000" w:sz="12" w:space="0"/>
              <w:left w:val="nil"/>
              <w:bottom w:val="single" w:color="000000" w:sz="6" w:space="0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60760C6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20"/>
              </w:rPr>
              <w:t>Data category</w:t>
            </w:r>
          </w:p>
        </w:tc>
      </w:tr>
      <w:tr w14:paraId="7ED548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6219934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Zhao et al., 2026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CB6DADE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Gastric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322392E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Nutrition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B24DD7F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Internet-supported home nutrition care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628BE26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Scheduled telephone follow-up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4F3C208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3 months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8015940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Laboratory nutrition markers; NRS2002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362C861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A</w:t>
            </w:r>
          </w:p>
        </w:tc>
      </w:tr>
      <w:tr w14:paraId="136B3A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1AED722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Qi, 2026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B262536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Gastric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E50599F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Comprehensive continuity care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3706394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KABP-based continuity care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FB96F6A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Usual care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5D99C4B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3 months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8905F23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Adherence; health behaviour; quality of life; nutrition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617541A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B</w:t>
            </w:r>
          </w:p>
        </w:tc>
      </w:tr>
      <w:tr w14:paraId="397777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ED31057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Hou et al., 2026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B53036C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Oesophageal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59E65A1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Education/self-management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DF04F32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LEARNS model education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440DBBE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Usual health education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1F7467E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1 month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4CA99A0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SSA; FOIS; psychological distress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CAEC79A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B</w:t>
            </w:r>
          </w:p>
        </w:tc>
      </w:tr>
      <w:tr w14:paraId="2E748F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9A49AEB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Gan T. et al., 2025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EAAB6F9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Gastric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DE6DE2F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Nutrition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42E8CE2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Nurse-led multi-behaviour dietary intervention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0B06097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General dietary advice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F18973D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4 weeks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DFDA6CE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Dietary behaviours; HRQOL; self-efficacy; feasibility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A38833F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C</w:t>
            </w:r>
          </w:p>
        </w:tc>
      </w:tr>
      <w:tr w14:paraId="231EF8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1FA696B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Chen M.D., 2025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0E33A58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Gastric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30D02AA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Comprehensive continuity care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0F434DD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ERAS plus continuity care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3AC5B1A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Education plus monthly calls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B0A38A3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3 months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7178D18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Nutrition; WHOQOL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643F865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B</w:t>
            </w:r>
          </w:p>
        </w:tc>
      </w:tr>
      <w:tr w14:paraId="2079F2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3C5BF0A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Jiang X.H. et al., 2025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6FE4C9C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Gastric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0518B55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Nutrition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7E589BF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Individualised mHealth nutrition intervention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0B10B2B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Usual care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F99088A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4 and 12 weeks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A4FE3C1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Nutrition; intake; weight; symptoms; quality of life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A3F9AA0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B</w:t>
            </w:r>
          </w:p>
        </w:tc>
      </w:tr>
      <w:tr w14:paraId="3DCEF6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79C15ED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Zhou et al., 2025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5A06A86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Gastric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8A520E6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Comprehensive continuity care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9A3857D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Self-efficacy-centred intervention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937A8AC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Usual follow-up and counselling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750AC29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1, 3, 6 and 12 months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825260A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NRS2002; PG-SGA; self-efficacy; SF-36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437F59B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B</w:t>
            </w:r>
          </w:p>
        </w:tc>
      </w:tr>
      <w:tr w14:paraId="165E3F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051446D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Shi X.Y. et al., 2025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124523B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Gastric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6BEF553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Comprehensive continuity care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4C43E0C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Internet-plus MDT continuity care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5C9F375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Discharge guidance plus calls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ECB7AF3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4 months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2A80168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ESCA; QLQ-C30; satisfaction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B7B2EC1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A</w:t>
            </w:r>
          </w:p>
        </w:tc>
      </w:tr>
      <w:tr w14:paraId="159229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8D14BE9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Zhang X.M. et al., 2025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AA4BE83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Oesophageal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737EA85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Nutrition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79CCF31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Supportive care for home enteral nutrition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E43E4B9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Education plus monthly calls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0DCEE73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3 months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34B2CF7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Nutrition; FACT-G; satisfaction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F187D04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A</w:t>
            </w:r>
          </w:p>
        </w:tc>
      </w:tr>
      <w:tr w14:paraId="7BAEAD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22FF63B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Wang N., 2025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7F933E4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Gastric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D9E0A24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Nutrition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AE3BB51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Knowledge-attitude-practice nutrition intervention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CBCD799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Usual nutrition intervention/follow-up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DCEA2AA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1 and 3 months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B2D2A2F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Quality of life; PG-SGA; BMI; biochemistry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4CEC301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B</w:t>
            </w:r>
          </w:p>
        </w:tc>
      </w:tr>
      <w:tr w14:paraId="05ADAA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660018B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Yuan et al., 2024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67CD88E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Gastric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7AF4C9E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Comprehensive continuity care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9EE7092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Internet-plus IMB continuity care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9AAE39A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Usual continuity care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32FFC12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Post-intervention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527C69A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Psychology; hope; quality of life; satisfaction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2D283DD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B</w:t>
            </w:r>
          </w:p>
        </w:tc>
      </w:tr>
      <w:tr w14:paraId="5D7704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9B0806A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Tao et al., 2024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2519FDF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Gastric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23C9EAE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Comprehensive continuity care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263ADB0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WeChat MDT continuity care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D92C7E6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Usual continuity care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477BDA4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2 months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DA3F596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Nutrition; quality of life; complications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4FCB23E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B</w:t>
            </w:r>
          </w:p>
        </w:tc>
      </w:tr>
      <w:tr w14:paraId="21DDD6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15EEC67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Suo et al., 2024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4A65A2B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Gastric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0FF4514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Nutrition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F09AC57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Nutrition continuity care plus mindfulness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E718579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Nutrition continuity care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AF11685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6 months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4A6294A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Nutrition; psychology; self-care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2EE58E2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B</w:t>
            </w:r>
          </w:p>
        </w:tc>
      </w:tr>
      <w:tr w14:paraId="73734C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D01FE98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Jiang X. et al., 2023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414B1F7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Gastric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358A70F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Nutrition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51A40CF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iNutrition mHealth pilot intervention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8813ECE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Usual discharge nutrition education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7942470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4 and 12 weeks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962CD48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Feasibility; nutrition; intake; weight; quality of life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90E1A71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B</w:t>
            </w:r>
          </w:p>
        </w:tc>
      </w:tr>
      <w:tr w14:paraId="564C2E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AE5A963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Wang J. et al., 2023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58F27EC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Gastric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96B8195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Nutrition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F2D8DE2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5Ts teach-back for oral nutrition supplements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AAD4C3D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Usual health education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E7D59AB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5 and 12 weeks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43257E1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ONS adherence; knowledge; health literacy; satisfaction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2468C40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C</w:t>
            </w:r>
          </w:p>
        </w:tc>
      </w:tr>
      <w:tr w14:paraId="396E53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77ECB8F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Tong, 2022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8E90D4B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Gastric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442685F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Nutrition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F6F88ED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Chronic disease trajectory nutrition support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70BC2E4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Usual nutrition care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39CA8D1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Intervention period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F184294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Nutrition; self-management; quality of life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ED33B30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C</w:t>
            </w:r>
          </w:p>
        </w:tc>
      </w:tr>
      <w:tr w14:paraId="4C215F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2ACAD91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Chen et al., 2021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F907DEC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Oesophageal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6A6384E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Exercise/rehabilitation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7B7472B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Telerehabilitation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6F9FB09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Routine advice during return visits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A0F5845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3 months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6863669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QLQ-C30; QLQ-OES18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9F502A0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A</w:t>
            </w:r>
          </w:p>
        </w:tc>
      </w:tr>
      <w:tr w14:paraId="1D91B1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A8B65F2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Gan C.E. et al., 2021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8A5CCEB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Oesophageal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246ABDE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Nutrition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F32C1F5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Continuity care with comprehensive nutrition guidance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8F17E31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Usual care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C3DFFED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Post-intervention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44D66AA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Anthropometry; self-care; quality of life; complications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00B30A8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C</w:t>
            </w:r>
          </w:p>
        </w:tc>
      </w:tr>
      <w:tr w14:paraId="70C46D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D713F49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Chang et al., 2020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6B5B3D0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Oesophageal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F1578EE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Exercise/rehabilitation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3AF9C79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Nurse-led exercise and education informatics programme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A8DA7B4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Usual postoperative care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4B7671F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1, 3 and 6 months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87F783A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Exercise capacity; quality of life; nutrition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5DEBC6E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B</w:t>
            </w:r>
          </w:p>
        </w:tc>
      </w:tr>
      <w:tr w14:paraId="53E4BD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8C2B040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Liu X.L. et al., 2020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A36FC52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Gastric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B8699E4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Nutrition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1B7EB25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Individualised nutrition support via WeChat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1BED4D8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Traditional follow-up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814ABDB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3, 6 and 12 months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1C55A11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MNA; laboratory measures; quality of life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88C3BBB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B</w:t>
            </w:r>
          </w:p>
        </w:tc>
      </w:tr>
      <w:tr w14:paraId="590DE6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2F262CA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Huang et al., 2020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761D6EB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Gastric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03D1E03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Comprehensive continuity care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BB9DFFB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Continuity care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A5470FD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Discharge guidance plus telephone follow-up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BF5B7A1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1, 2 and 3 months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F7A5215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WHOQOL; ESCA; satisfaction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06E761F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B</w:t>
            </w:r>
          </w:p>
        </w:tc>
      </w:tr>
      <w:tr w14:paraId="00E4DB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3ACFEA6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Jin and Ma, 2018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81FACF3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Gastric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20F7EC8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Comprehensive continuity care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9814FE1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Postoperative continuous nursing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F0CBEC3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Usual care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C920AA8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1 month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05BBB2E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Quality of life; psychology; Hb; PA; total protein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CB9C61B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B</w:t>
            </w:r>
          </w:p>
        </w:tc>
      </w:tr>
      <w:tr w14:paraId="4E2A83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04BE83D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Cai et al., 2018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3147118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Oesophageal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5E145BF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Nutrition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067D468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Telephone, WeChat and clinic nutrition management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4666583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Telephone continuity care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A2DC59F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3 months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64920CF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Diet adherence; SGA; malnutrition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E4A665C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B</w:t>
            </w:r>
          </w:p>
        </w:tc>
      </w:tr>
      <w:tr w14:paraId="1ABCFD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24970CC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Zhang M.R. et al., 2018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717453A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Oesophageal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93434AA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Comprehensive continuity care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BE53D3E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4R multidisciplinary follow-up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910FD67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Telephone plus home visits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DD5FA8B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6 months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F37A23E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Nutrition; WHOQOL-BREF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03B9F56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B</w:t>
            </w:r>
          </w:p>
        </w:tc>
      </w:tr>
      <w:tr w14:paraId="3626D4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596671B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Jia, 2018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40EB814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Gastric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0F63291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Comprehensive continuity care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EDB9EC8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WeChat continuity care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52179D5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Usual care plus monthly calls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8939B17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1 year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A8A503A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Psychology; ESCA; QLQ-C30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C8381BE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A</w:t>
            </w:r>
          </w:p>
        </w:tc>
      </w:tr>
      <w:tr w14:paraId="2E367D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061E2DD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Xu M. et al., 2018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F545F9B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Oesophageal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889C78E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Nutrition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51C1C6E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NRS2002 self-assessment and nutrition management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8941AF7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Usual education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939B51B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2 and 3 months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0BACCD8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NRS2002; SGA; readmission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FF0F542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C</w:t>
            </w:r>
          </w:p>
        </w:tc>
      </w:tr>
      <w:tr w14:paraId="258638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68BD727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Malmström et al., 2016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2003FD3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Oesophageal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D01BB94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Comprehensive continuity care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6BF50FB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Nurse-led telephone support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FC731D2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Usual care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BEED424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2 weeks; 2, 4 and 6 months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03B1FAD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Quality of life; information; healthcare contacts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1368189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C</w:t>
            </w:r>
          </w:p>
        </w:tc>
      </w:tr>
      <w:tr w14:paraId="2D3D24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7ABB8D7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Davoodi et al., 2015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E063C4B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Gastric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D3F75BF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Education/self-management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AC192AC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Self-care education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02B299B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Usual care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2F99F4B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1 month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5BE1D25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QLQ-C30; QLQ-STO22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C307319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C</w:t>
            </w:r>
          </w:p>
        </w:tc>
      </w:tr>
      <w:tr w14:paraId="5CDBE1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A0AA377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Verschuur et al., 2009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BF8871C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Mixed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F8A3CF1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Comprehensive continuity care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A5C392E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Nurse-led postoperative follow-up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043C017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Surgeon-led outpatient follow-up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4D4A116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4, 7 and 13 months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E09B628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Quality of life; symptoms; weight; costs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07EE1D6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B</w:t>
            </w:r>
          </w:p>
        </w:tc>
      </w:tr>
      <w:tr w14:paraId="6ED6C3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AF073B7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Shi Y.Y. et al., 2025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7530F63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Oesophageal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C69FC23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Education/self-management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1244901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Family synchronous empowerment education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3B70A3E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Standard nursing education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C6C8045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1 month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E8ECCD8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PG-SGA; QLQ-C30; caregiver outcomes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972F068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B</w:t>
            </w:r>
          </w:p>
        </w:tc>
      </w:tr>
      <w:tr w14:paraId="776BE8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885F884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Xu L.L. et al., 2018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BEF5BF6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Gastric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C145E61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Education/self-management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57A155C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Humanistic nursing plus situational education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AA71FF8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Usual care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915004A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Approximately 3 months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955E850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Psychology; adherence; QLQ-C30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FAFF7D7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A</w:t>
            </w:r>
          </w:p>
        </w:tc>
      </w:tr>
      <w:tr w14:paraId="4E0C48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6294830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Liu H.M. et al., 2013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84D774C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Gastric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F01090A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Education/self-management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B1C9012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Specialist-nurse continuity education</w:t>
            </w: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66A8128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Usual discharge guidance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D7AEBB7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1 and 3 months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65EAEF0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QLQ-C30; weight; nutrition markers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B759DD3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A</w:t>
            </w:r>
          </w:p>
        </w:tc>
      </w:tr>
      <w:tr w14:paraId="5ACA69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01" w:type="dxa"/>
            <w:tcBorders>
              <w:top w:val="nil"/>
              <w:left w:val="nil"/>
              <w:bottom w:val="single" w:color="000000" w:sz="12" w:space="0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B351B7F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Xie et al., 2017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000000" w:sz="12" w:space="0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D29E62E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Gastric</w:t>
            </w:r>
          </w:p>
        </w:tc>
        <w:tc>
          <w:tcPr>
            <w:tcW w:w="1757" w:type="dxa"/>
            <w:tcBorders>
              <w:top w:val="nil"/>
              <w:left w:val="nil"/>
              <w:bottom w:val="single" w:color="000000" w:sz="12" w:space="0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CA5482C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Nutrition</w:t>
            </w:r>
          </w:p>
        </w:tc>
        <w:tc>
          <w:tcPr>
            <w:tcW w:w="2665" w:type="dxa"/>
            <w:tcBorders>
              <w:top w:val="nil"/>
              <w:left w:val="nil"/>
              <w:bottom w:val="single" w:color="000000" w:sz="12" w:space="0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B7612F7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Education and nutrition plus post-discharge calls</w:t>
            </w:r>
          </w:p>
        </w:tc>
        <w:tc>
          <w:tcPr>
            <w:tcW w:w="2438" w:type="dxa"/>
            <w:tcBorders>
              <w:top w:val="nil"/>
              <w:left w:val="nil"/>
              <w:bottom w:val="single" w:color="000000" w:sz="12" w:space="0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21E5F1D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Usual care</w:t>
            </w:r>
          </w:p>
        </w:tc>
        <w:tc>
          <w:tcPr>
            <w:tcW w:w="1531" w:type="dxa"/>
            <w:tcBorders>
              <w:top w:val="nil"/>
              <w:left w:val="nil"/>
              <w:bottom w:val="single" w:color="000000" w:sz="12" w:space="0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DCAFD19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Eight chemotherapy cycles</w:t>
            </w:r>
          </w:p>
        </w:tc>
        <w:tc>
          <w:tcPr>
            <w:tcW w:w="2948" w:type="dxa"/>
            <w:tcBorders>
              <w:top w:val="nil"/>
              <w:left w:val="nil"/>
              <w:bottom w:val="single" w:color="000000" w:sz="12" w:space="0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8F43EEA">
            <w:pPr>
              <w:keepLines w:val="0"/>
              <w:spacing w:after="0" w:line="276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Intake; nutrition markers; weight; adherence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000000" w:sz="12" w:space="0"/>
              <w:right w:val="nil"/>
              <w:insideH w:val="nil"/>
              <w:insideV w:val="nil"/>
            </w:tcBorders>
            <w:shd w:val="clear" w:color="auto" w:fill="FFFFFF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FC538CA">
            <w:pPr>
              <w:keepLines w:val="0"/>
              <w:spacing w:after="0" w:line="276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20"/>
              </w:rPr>
              <w:t>B</w:t>
            </w:r>
          </w:p>
        </w:tc>
      </w:tr>
    </w:tbl>
    <w:p w14:paraId="11641F4B">
      <w:pPr>
        <w:widowControl/>
        <w:spacing w:before="100" w:after="0" w:line="276" w:lineRule="auto"/>
        <w:jc w:val="both"/>
      </w:pPr>
      <w:r>
        <w:rPr>
          <w:rFonts w:ascii="Times New Roman" w:hAnsi="Times New Roman" w:eastAsia="Times New Roman"/>
          <w:sz w:val="20"/>
        </w:rPr>
        <w:t>Abbreviations: BMI, body mass index; ERAS, enhanced recovery after surgery; ESCA, Exercise of Self-Care Agency; FACT-G, Functional Assessment of Cancer Therapy-General; FOIS, Functional Oral Intake Scale; Hb, haemoglobin; HRQOL, health-related quality of life; IMB, information-motivation-behavioural skills; MDT, multidisciplinary team; MNA, Mini Nutritional Assessment; NRS 2002, Nutritional Risk Screening 2002; ONS, oral nutritional supplements; PG-SGA, Patient-Generated Subjective Global Assessment; QLQ-C30, Quality of Life Questionnaire-Core 30; QLQ-OES18, oesophageal cancer-specific quality-of-life module; QLQ-STO22, gastric cancer-specific quality-of-life module; SF-36, 36-Item Short Form Health Survey; SGA, Subjective Global Assessment; WHOQOL, World Health Organization Quality of Life.</w:t>
      </w:r>
    </w:p>
    <w:sectPr>
      <w:pgSz w:w="15840" w:h="12240" w:orient="landscape"/>
      <w:pgMar w:top="850" w:right="850" w:bottom="850" w:left="850" w:header="709" w:footer="709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2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61487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unhideWhenUsed="0" w:uiPriority="69" w:semiHidden="0" w:name="Medium Grid 3 Accent 1"/>
    <w:lsdException w:qFormat="1" w:unhideWhenUsed="0" w:uiPriority="70" w:semiHidden="0" w:name="Dark List Accent 1"/>
    <w:lsdException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unhideWhenUsed="0" w:uiPriority="66" w:semiHidden="0" w:name="Medium List 2 Accent 2"/>
    <w:lsdException w:qFormat="1"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qFormat="1"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qFormat="1" w:unhideWhenUsed="0" w:uiPriority="65" w:semiHidden="0" w:name="Medium List 1 Accent 4"/>
    <w:lsdException w:unhideWhenUsed="0" w:uiPriority="66" w:semiHidden="0" w:name="Medium List 2 Accent 4"/>
    <w:lsdException w:qFormat="1"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unhideWhenUsed="0" w:uiPriority="63" w:semiHidden="0" w:name="Medium Shading 1 Accent 5"/>
    <w:lsdException w:qFormat="1" w:unhideWhenUsed="0" w:uiPriority="64" w:semiHidden="0" w:name="Medium Shading 2 Accent 5"/>
    <w:lsdException w:unhideWhenUsed="0" w:uiPriority="65" w:semiHidden="0" w:name="Medium List 1 Accent 5"/>
    <w:lsdException w:qFormat="1"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qFormat="1"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qFormat="1" w:unhideWhenUsed="0" w:uiPriority="60" w:semiHidden="0" w:name="Light Shading Accent 6"/>
    <w:lsdException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unhideWhenUsed="0" w:uiPriority="64" w:semiHidden="0" w:name="Medium Shading 2 Accent 6"/>
    <w:lsdException w:qFormat="1"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20" w:line="360" w:lineRule="auto"/>
    </w:pPr>
    <w:rPr>
      <w:rFonts w:ascii="Times New Roman" w:hAnsi="Times New Roman" w:eastAsia="Times New Roman" w:cstheme="minorBidi"/>
      <w:sz w:val="24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944</Words>
  <Characters>6160</Characters>
  <Lines>0</Lines>
  <Paragraphs>0</Paragraphs>
  <TotalTime>0</TotalTime>
  <ScaleCrop>false</ScaleCrop>
  <LinksUpToDate>false</LinksUpToDate>
  <CharactersWithSpaces>6823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姚静</cp:lastModifiedBy>
  <dcterms:modified xsi:type="dcterms:W3CDTF">2026-07-30T14:40:18Z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6CF0D81B969D4AA9AE8E1C0034B1B039_13</vt:lpwstr>
  </property>
</Properties>
</file>