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1A9A7">
      <w:pPr>
        <w:widowControl/>
        <w:jc w:val="left"/>
        <w:rPr>
          <w:rFonts w:ascii="Times New Roman" w:hAnsi="Times New Roman" w:eastAsia="宋体" w:cs="Times New Roman"/>
          <w:b/>
          <w:bCs/>
          <w:szCs w:val="21"/>
        </w:rPr>
      </w:pPr>
      <w:r>
        <w:rPr>
          <w:rFonts w:ascii="Times New Roman" w:hAnsi="Times New Roman" w:eastAsia="宋体" w:cs="Times New Roman"/>
          <w:b/>
          <w:bCs/>
          <w:szCs w:val="21"/>
        </w:rPr>
        <w:t>Supplementary Table S1.</w:t>
      </w:r>
      <w:r>
        <w:rPr>
          <w:rFonts w:ascii="Times New Roman" w:hAnsi="Times New Roman" w:eastAsia="宋体" w:cs="Times New Roman"/>
          <w:szCs w:val="21"/>
        </w:rPr>
        <w:t xml:space="preserve"> Search strategies and records retrieved from bibliographic databases and trial registries</w:t>
      </w:r>
    </w:p>
    <w:p w14:paraId="440F1D87">
      <w:pPr>
        <w:widowControl/>
        <w:jc w:val="left"/>
        <w:rPr>
          <w:rFonts w:ascii="Times New Roman" w:hAnsi="Times New Roman" w:eastAsia="宋体" w:cs="Times New Roman"/>
          <w:b/>
          <w:bCs/>
          <w:kern w:val="0"/>
          <w:sz w:val="24"/>
          <w:szCs w:val="24"/>
          <w:lang w:bidi="ar"/>
        </w:rPr>
      </w:pPr>
      <w:r>
        <w:rPr>
          <w:rFonts w:ascii="Times New Roman" w:hAnsi="Times New Roman" w:eastAsia="宋体" w:cs="Times New Roman"/>
          <w:b/>
          <w:bCs/>
          <w:sz w:val="24"/>
          <w:szCs w:val="24"/>
        </w:rPr>
        <w:t>Supplementary Table S1</w:t>
      </w:r>
      <w:r>
        <w:rPr>
          <w:rFonts w:hint="eastAsia" w:ascii="Times New Roman" w:hAnsi="Times New Roman" w:eastAsia="宋体" w:cs="Times New Roman"/>
          <w:b/>
          <w:bCs/>
          <w:sz w:val="24"/>
          <w:szCs w:val="24"/>
        </w:rPr>
        <w:t>A</w:t>
      </w:r>
      <w:r>
        <w:rPr>
          <w:rFonts w:ascii="Times New Roman" w:hAnsi="Times New Roman" w:eastAsia="宋体" w:cs="Times New Roman"/>
          <w:b/>
          <w:bCs/>
          <w:sz w:val="24"/>
          <w:szCs w:val="24"/>
        </w:rPr>
        <w:t>.</w:t>
      </w:r>
      <w:r>
        <w:rPr>
          <w:rFonts w:ascii="Times New Roman" w:hAnsi="Times New Roman" w:eastAsia="宋体" w:cs="Times New Roman"/>
          <w:sz w:val="24"/>
          <w:szCs w:val="24"/>
        </w:rPr>
        <w:t xml:space="preserve"> Search strategies used in each database</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6537"/>
        <w:gridCol w:w="917"/>
      </w:tblGrid>
      <w:tr w14:paraId="4191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1068" w:type="dxa"/>
            <w:tcBorders>
              <w:top w:val="single" w:color="auto" w:sz="12" w:space="0"/>
              <w:left w:val="nil"/>
              <w:bottom w:val="single" w:color="auto" w:sz="4" w:space="0"/>
              <w:right w:val="nil"/>
            </w:tcBorders>
            <w:vAlign w:val="center"/>
          </w:tcPr>
          <w:p w14:paraId="12EC97E4">
            <w:pPr>
              <w:widowControl/>
              <w:snapToGrid w:val="0"/>
              <w:ind w:left="0" w:leftChars="0" w:right="0" w:rightChars="0" w:firstLine="0" w:firstLineChars="0"/>
              <w:jc w:val="center"/>
              <w:rPr>
                <w:rFonts w:ascii="Times New Roman" w:hAnsi="Times New Roman" w:cs="Times New Roman"/>
                <w:b/>
                <w:bCs/>
                <w:sz w:val="18"/>
                <w:szCs w:val="18"/>
              </w:rPr>
            </w:pPr>
            <w:r>
              <w:rPr>
                <w:rFonts w:ascii="Times New Roman" w:hAnsi="Times New Roman" w:eastAsia="宋体" w:cs="Times New Roman"/>
                <w:b/>
                <w:bCs/>
                <w:kern w:val="0"/>
                <w:sz w:val="18"/>
                <w:szCs w:val="18"/>
                <w:lang w:bidi="ar"/>
              </w:rPr>
              <w:t>Database</w:t>
            </w:r>
          </w:p>
        </w:tc>
        <w:tc>
          <w:tcPr>
            <w:tcW w:w="6537" w:type="dxa"/>
            <w:tcBorders>
              <w:top w:val="single" w:color="auto" w:sz="12" w:space="0"/>
              <w:left w:val="nil"/>
              <w:bottom w:val="single" w:color="auto" w:sz="4" w:space="0"/>
              <w:right w:val="nil"/>
            </w:tcBorders>
            <w:vAlign w:val="center"/>
          </w:tcPr>
          <w:p w14:paraId="198BC31F">
            <w:pPr>
              <w:widowControl/>
              <w:snapToGrid w:val="0"/>
              <w:ind w:left="0" w:leftChars="0" w:right="0" w:rightChars="0" w:firstLine="0" w:firstLineChars="0"/>
              <w:jc w:val="center"/>
              <w:rPr>
                <w:rFonts w:ascii="Times New Roman" w:hAnsi="Times New Roman" w:cs="Times New Roman"/>
                <w:b/>
                <w:bCs/>
                <w:sz w:val="18"/>
                <w:szCs w:val="18"/>
              </w:rPr>
            </w:pPr>
            <w:r>
              <w:rPr>
                <w:rFonts w:ascii="Times New Roman" w:hAnsi="Times New Roman" w:eastAsia="宋体" w:cs="Times New Roman"/>
                <w:b/>
                <w:bCs/>
                <w:kern w:val="0"/>
                <w:sz w:val="18"/>
                <w:szCs w:val="18"/>
                <w:lang w:bidi="ar"/>
              </w:rPr>
              <w:t>Search strategy</w:t>
            </w:r>
          </w:p>
        </w:tc>
        <w:tc>
          <w:tcPr>
            <w:tcW w:w="917" w:type="dxa"/>
            <w:tcBorders>
              <w:top w:val="single" w:color="auto" w:sz="12" w:space="0"/>
              <w:left w:val="nil"/>
              <w:bottom w:val="single" w:color="auto" w:sz="4" w:space="0"/>
              <w:right w:val="nil"/>
            </w:tcBorders>
            <w:vAlign w:val="center"/>
          </w:tcPr>
          <w:p w14:paraId="21C94611">
            <w:pPr>
              <w:widowControl/>
              <w:snapToGrid w:val="0"/>
              <w:ind w:left="0" w:leftChars="0" w:right="0" w:rightChars="0" w:firstLine="0" w:firstLineChars="0"/>
              <w:jc w:val="center"/>
              <w:rPr>
                <w:rFonts w:ascii="Times New Roman" w:hAnsi="Times New Roman" w:cs="Times New Roman"/>
                <w:b/>
                <w:bCs/>
                <w:sz w:val="18"/>
                <w:szCs w:val="18"/>
              </w:rPr>
            </w:pPr>
            <w:r>
              <w:rPr>
                <w:rFonts w:ascii="Times New Roman" w:hAnsi="Times New Roman" w:eastAsia="宋体" w:cs="Times New Roman"/>
                <w:b/>
                <w:bCs/>
                <w:kern w:val="0"/>
                <w:sz w:val="18"/>
                <w:szCs w:val="18"/>
                <w:lang w:bidi="ar"/>
              </w:rPr>
              <w:t>Records</w:t>
            </w:r>
          </w:p>
        </w:tc>
      </w:tr>
      <w:tr w14:paraId="1A2B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8" w:type="dxa"/>
            <w:tcBorders>
              <w:top w:val="single" w:color="auto" w:sz="4" w:space="0"/>
              <w:left w:val="nil"/>
              <w:bottom w:val="nil"/>
              <w:right w:val="nil"/>
            </w:tcBorders>
            <w:vAlign w:val="center"/>
          </w:tcPr>
          <w:p w14:paraId="1203D4B0">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PubMed</w:t>
            </w:r>
          </w:p>
        </w:tc>
        <w:tc>
          <w:tcPr>
            <w:tcW w:w="6537" w:type="dxa"/>
            <w:tcBorders>
              <w:top w:val="single" w:color="auto" w:sz="4" w:space="0"/>
              <w:left w:val="nil"/>
              <w:bottom w:val="nil"/>
              <w:right w:val="nil"/>
            </w:tcBorders>
            <w:vAlign w:val="center"/>
          </w:tcPr>
          <w:p w14:paraId="38032EB7">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((“Osteoarthritis, Knee”[Mesh] OR “knee osteoarthritis”[Title/Abstract] OR “osteoarthritis of knee”[Title/Abstract] OR “osteoarthritis of the knee”[Title/Abstract] OR “knee joint osteoarthritis”[Title/Abstract] OR “gonarthrosis”[Title/Abstract] OR “KOA”[Title/Abstract]) AND (“Probiotics”[Mesh] OR “Prebiotics”[Mesh] OR “Microbiota”[Mesh] OR probiotic*[Title/Abstract] OR prebiotic*[Title/Abstract] OR synbiotic*[Title/Abstract] OR postbiotic*[Title/Abstract] OR microbiota[Title/Abstract] OR microbiome[Title/Abstract] OR microflora[Title/Abstract] OR “microbial community”[Title/Abstract] OR Lactobacillus[Title/Abstract] OR Bifidobacterium[Title/Abstract]))</w:t>
            </w:r>
          </w:p>
        </w:tc>
        <w:tc>
          <w:tcPr>
            <w:tcW w:w="917" w:type="dxa"/>
            <w:tcBorders>
              <w:top w:val="single" w:color="auto" w:sz="4" w:space="0"/>
              <w:left w:val="nil"/>
              <w:bottom w:val="nil"/>
              <w:right w:val="nil"/>
            </w:tcBorders>
            <w:vAlign w:val="center"/>
          </w:tcPr>
          <w:p w14:paraId="6D2406F5">
            <w:pPr>
              <w:widowControl/>
              <w:snapToGrid w:val="0"/>
              <w:ind w:left="0" w:leftChars="0" w:right="0" w:rightChars="0" w:firstLine="0" w:firstLineChars="0"/>
              <w:jc w:val="center"/>
              <w:rPr>
                <w:rFonts w:ascii="Times New Roman" w:hAnsi="Times New Roman" w:cs="Times New Roman"/>
                <w:sz w:val="18"/>
                <w:szCs w:val="18"/>
              </w:rPr>
            </w:pPr>
            <w:r>
              <w:rPr>
                <w:rFonts w:ascii="Times New Roman" w:hAnsi="Times New Roman" w:eastAsia="宋体" w:cs="Times New Roman"/>
                <w:kern w:val="0"/>
                <w:sz w:val="18"/>
                <w:szCs w:val="18"/>
                <w:lang w:bidi="ar"/>
              </w:rPr>
              <w:t>76</w:t>
            </w:r>
          </w:p>
        </w:tc>
      </w:tr>
      <w:tr w14:paraId="4F6D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8" w:type="dxa"/>
            <w:tcBorders>
              <w:top w:val="nil"/>
              <w:left w:val="nil"/>
              <w:bottom w:val="nil"/>
              <w:right w:val="nil"/>
            </w:tcBorders>
            <w:vAlign w:val="center"/>
          </w:tcPr>
          <w:p w14:paraId="1E9AEFBC">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Embase</w:t>
            </w:r>
          </w:p>
        </w:tc>
        <w:tc>
          <w:tcPr>
            <w:tcW w:w="6537" w:type="dxa"/>
            <w:tcBorders>
              <w:top w:val="nil"/>
              <w:left w:val="nil"/>
              <w:bottom w:val="nil"/>
              <w:right w:val="nil"/>
            </w:tcBorders>
            <w:vAlign w:val="center"/>
          </w:tcPr>
          <w:p w14:paraId="38EBB5FF">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(‘knee osteoarthritis’/exp OR ‘knee osteoarthritis’ OR ‘knee joint osteoarthritis’ OR ‘knee arthrosis’ OR ‘knee joint arthrosis’ OR ‘knee osteo-arthritis’ OR ‘knee osteoarthrosis’ OR ‘osteoarthritis, knee’ OR ‘osteoarthrosis, knee’ OR ‘gonarthrosis’ OR ‘femorotibial arthrosis’ OR KOA) AND (‘probiotic agent’/exp OR ‘prebiotic agent’/exp OR ‘synbiotic agent’/exp OR ‘microflora’/exp OR probiotic* OR prebiotic* OR synbiotic* OR postbiotic* OR microbiota OR microbiome OR microflora OR ‘microbial flora’ OR Lactobacillus OR Bifidobacterium)</w:t>
            </w:r>
          </w:p>
        </w:tc>
        <w:tc>
          <w:tcPr>
            <w:tcW w:w="917" w:type="dxa"/>
            <w:tcBorders>
              <w:top w:val="nil"/>
              <w:left w:val="nil"/>
              <w:bottom w:val="nil"/>
              <w:right w:val="nil"/>
            </w:tcBorders>
            <w:vAlign w:val="center"/>
          </w:tcPr>
          <w:p w14:paraId="45B1C20A">
            <w:pPr>
              <w:widowControl/>
              <w:snapToGrid w:val="0"/>
              <w:ind w:left="0" w:leftChars="0" w:right="0" w:rightChars="0" w:firstLine="0" w:firstLineChars="0"/>
              <w:jc w:val="center"/>
              <w:rPr>
                <w:rFonts w:ascii="Times New Roman" w:hAnsi="Times New Roman" w:cs="Times New Roman"/>
                <w:sz w:val="18"/>
                <w:szCs w:val="18"/>
              </w:rPr>
            </w:pPr>
            <w:r>
              <w:rPr>
                <w:rFonts w:ascii="Times New Roman" w:hAnsi="Times New Roman" w:eastAsia="宋体" w:cs="Times New Roman"/>
                <w:kern w:val="0"/>
                <w:sz w:val="18"/>
                <w:szCs w:val="18"/>
                <w:lang w:bidi="ar"/>
              </w:rPr>
              <w:t>201</w:t>
            </w:r>
          </w:p>
        </w:tc>
      </w:tr>
      <w:tr w14:paraId="1172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8" w:type="dxa"/>
            <w:tcBorders>
              <w:top w:val="nil"/>
              <w:left w:val="nil"/>
              <w:bottom w:val="nil"/>
              <w:right w:val="nil"/>
            </w:tcBorders>
            <w:vAlign w:val="center"/>
          </w:tcPr>
          <w:p w14:paraId="4575E230">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Cochrane Library</w:t>
            </w:r>
          </w:p>
        </w:tc>
        <w:tc>
          <w:tcPr>
            <w:tcW w:w="6537" w:type="dxa"/>
            <w:tcBorders>
              <w:top w:val="nil"/>
              <w:left w:val="nil"/>
              <w:bottom w:val="nil"/>
              <w:right w:val="nil"/>
            </w:tcBorders>
            <w:vAlign w:val="center"/>
          </w:tcPr>
          <w:p w14:paraId="56731936">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#1 MeSH descriptor: [Osteoarthritis, Knee] explode all trees; #2 (“knee osteoarthritis” OR “osteoarthritis of knee” OR “osteoarthritis of the knee” OR “knee joint osteoarthritis” OR “gonarthrosis” OR KOA):ti,ab,kw; #3 MeSH descriptor: [Probiotics] explode all trees; #4 probiotic*:ti,ab,kw; #5 MeSH descriptor: [Prebiotics] explode all trees; #6 prebiotic*:ti,ab,kw; #7 synbiotic*:ti,ab,kw; #8 postbiotic*:ti,ab,kw; #9 MeSH descriptor: [Microbiota] explode all trees; #10 (microbiota OR microbiome OR microflora OR “microbial community” OR “microbial communities” OR “microbial community composition” OR “microbial community structure” OR Lactobacillus OR Bifidobacterium):ti,ab,kw; #11 #1 OR #2; #12 #3 OR #4 OR #5 OR #6 OR #7 OR #8 OR #9 OR #10; #13 #11 AND #12</w:t>
            </w:r>
          </w:p>
        </w:tc>
        <w:tc>
          <w:tcPr>
            <w:tcW w:w="917" w:type="dxa"/>
            <w:tcBorders>
              <w:top w:val="nil"/>
              <w:left w:val="nil"/>
              <w:bottom w:val="nil"/>
              <w:right w:val="nil"/>
            </w:tcBorders>
            <w:vAlign w:val="center"/>
          </w:tcPr>
          <w:p w14:paraId="189B1B4A">
            <w:pPr>
              <w:widowControl/>
              <w:snapToGrid w:val="0"/>
              <w:ind w:left="0" w:leftChars="0" w:right="0" w:rightChars="0" w:firstLine="0" w:firstLineChars="0"/>
              <w:jc w:val="center"/>
              <w:rPr>
                <w:rFonts w:ascii="Times New Roman" w:hAnsi="Times New Roman" w:cs="Times New Roman"/>
                <w:sz w:val="18"/>
                <w:szCs w:val="18"/>
              </w:rPr>
            </w:pPr>
            <w:r>
              <w:rPr>
                <w:rFonts w:ascii="Times New Roman" w:hAnsi="Times New Roman" w:eastAsia="宋体" w:cs="Times New Roman"/>
                <w:kern w:val="0"/>
                <w:sz w:val="18"/>
                <w:szCs w:val="18"/>
                <w:lang w:bidi="ar"/>
              </w:rPr>
              <w:t>35</w:t>
            </w:r>
          </w:p>
        </w:tc>
      </w:tr>
      <w:tr w14:paraId="3537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8" w:type="dxa"/>
            <w:tcBorders>
              <w:top w:val="nil"/>
              <w:left w:val="nil"/>
              <w:bottom w:val="nil"/>
              <w:right w:val="nil"/>
            </w:tcBorders>
            <w:vAlign w:val="center"/>
          </w:tcPr>
          <w:p w14:paraId="7612FD57">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CNKI</w:t>
            </w:r>
          </w:p>
        </w:tc>
        <w:tc>
          <w:tcPr>
            <w:tcW w:w="6537" w:type="dxa"/>
            <w:tcBorders>
              <w:top w:val="nil"/>
              <w:left w:val="nil"/>
              <w:bottom w:val="nil"/>
              <w:right w:val="nil"/>
            </w:tcBorders>
            <w:vAlign w:val="center"/>
          </w:tcPr>
          <w:p w14:paraId="518DDC41">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主题 =（膝骨关节炎 OR 膝骨性关节炎 OR 膝关节骨关节炎 OR 膝关节骨性关节炎 OR 膝关节炎 OR KOA）AND 主题 =（益生菌 OR 益生元 OR 合生元 OR 后生元 OR 微生态 OR 肠道菌群 OR 肠道微生态 OR 肠道微生物 OR 乳酸杆菌 OR 乳酸菌 OR 乳杆菌 OR 双歧杆菌 OR probiotic OR probiotics OR prebiotic OR prebiotics OR synbiotic OR synbiotics OR postbiotic OR postbiotics OR Lactobacillus OR Bifidobacterium）</w:t>
            </w:r>
          </w:p>
        </w:tc>
        <w:tc>
          <w:tcPr>
            <w:tcW w:w="917" w:type="dxa"/>
            <w:tcBorders>
              <w:top w:val="nil"/>
              <w:left w:val="nil"/>
              <w:bottom w:val="nil"/>
              <w:right w:val="nil"/>
            </w:tcBorders>
            <w:vAlign w:val="center"/>
          </w:tcPr>
          <w:p w14:paraId="4A4787F3">
            <w:pPr>
              <w:widowControl/>
              <w:snapToGrid w:val="0"/>
              <w:ind w:left="0" w:leftChars="0" w:right="0" w:rightChars="0" w:firstLine="0" w:firstLineChars="0"/>
              <w:jc w:val="center"/>
              <w:rPr>
                <w:rFonts w:ascii="Times New Roman" w:hAnsi="Times New Roman" w:cs="Times New Roman"/>
                <w:sz w:val="18"/>
                <w:szCs w:val="18"/>
              </w:rPr>
            </w:pPr>
            <w:r>
              <w:rPr>
                <w:rFonts w:ascii="Times New Roman" w:hAnsi="Times New Roman" w:eastAsia="宋体" w:cs="Times New Roman"/>
                <w:kern w:val="0"/>
                <w:sz w:val="18"/>
                <w:szCs w:val="18"/>
                <w:lang w:bidi="ar"/>
              </w:rPr>
              <w:t>89</w:t>
            </w:r>
          </w:p>
        </w:tc>
      </w:tr>
      <w:tr w14:paraId="6AE9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68" w:type="dxa"/>
            <w:tcBorders>
              <w:top w:val="nil"/>
              <w:left w:val="nil"/>
              <w:bottom w:val="single" w:color="auto" w:sz="12" w:space="0"/>
              <w:right w:val="nil"/>
            </w:tcBorders>
            <w:vAlign w:val="center"/>
          </w:tcPr>
          <w:p w14:paraId="24143865">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Wanfang</w:t>
            </w:r>
          </w:p>
        </w:tc>
        <w:tc>
          <w:tcPr>
            <w:tcW w:w="6537" w:type="dxa"/>
            <w:tcBorders>
              <w:top w:val="nil"/>
              <w:left w:val="nil"/>
              <w:bottom w:val="single" w:color="auto" w:sz="12" w:space="0"/>
              <w:right w:val="nil"/>
            </w:tcBorders>
            <w:vAlign w:val="center"/>
          </w:tcPr>
          <w:p w14:paraId="36C43908">
            <w:pPr>
              <w:widowControl/>
              <w:snapToGrid w:val="0"/>
              <w:ind w:left="0" w:leftChars="0" w:right="0" w:rightChars="0" w:firstLine="0" w:firstLineChars="0"/>
              <w:jc w:val="left"/>
              <w:rPr>
                <w:rFonts w:ascii="Times New Roman" w:hAnsi="Times New Roman" w:cs="Times New Roman"/>
                <w:sz w:val="18"/>
                <w:szCs w:val="18"/>
              </w:rPr>
            </w:pPr>
            <w:r>
              <w:rPr>
                <w:rFonts w:ascii="Times New Roman" w:hAnsi="Times New Roman" w:eastAsia="宋体" w:cs="Times New Roman"/>
                <w:kern w:val="0"/>
                <w:sz w:val="18"/>
                <w:szCs w:val="18"/>
                <w:lang w:bidi="ar"/>
              </w:rPr>
              <w:t>主题 =（膝骨关节炎 OR 膝骨性关节炎 OR 膝关节骨关节炎 OR 膝关节骨性关节炎 OR 膝关节炎 OR KOA）AND 主题 =（益生菌 OR 益生元 OR 合生元 OR 后生元 OR 微生态 OR 肠道菌群 OR 肠道微生态 OR 肠道微生物 OR 乳酸杆菌 OR 乳酸菌 OR 乳杆菌 OR 双歧杆菌 OR probiotic OR probiotics OR prebiotic OR prebiotics OR synbiotic OR synbiotics OR postbiotic OR postbiotics OR Lactobacillus OR Bifidobacterium）</w:t>
            </w:r>
          </w:p>
        </w:tc>
        <w:tc>
          <w:tcPr>
            <w:tcW w:w="917" w:type="dxa"/>
            <w:tcBorders>
              <w:top w:val="nil"/>
              <w:left w:val="nil"/>
              <w:bottom w:val="single" w:color="auto" w:sz="12" w:space="0"/>
              <w:right w:val="nil"/>
            </w:tcBorders>
            <w:vAlign w:val="center"/>
          </w:tcPr>
          <w:p w14:paraId="20CCC68B">
            <w:pPr>
              <w:widowControl/>
              <w:snapToGrid w:val="0"/>
              <w:ind w:left="0" w:leftChars="0" w:right="0" w:rightChars="0" w:firstLine="0" w:firstLineChars="0"/>
              <w:jc w:val="center"/>
              <w:rPr>
                <w:rFonts w:ascii="Times New Roman" w:hAnsi="Times New Roman" w:cs="Times New Roman"/>
                <w:sz w:val="18"/>
                <w:szCs w:val="18"/>
              </w:rPr>
            </w:pPr>
            <w:r>
              <w:rPr>
                <w:rFonts w:ascii="Times New Roman" w:hAnsi="Times New Roman" w:eastAsia="宋体" w:cs="Times New Roman"/>
                <w:kern w:val="0"/>
                <w:sz w:val="18"/>
                <w:szCs w:val="18"/>
                <w:lang w:bidi="ar"/>
              </w:rPr>
              <w:t>129</w:t>
            </w:r>
          </w:p>
        </w:tc>
      </w:tr>
    </w:tbl>
    <w:p w14:paraId="1BBE27D8">
      <w:pPr>
        <w:widowControl/>
        <w:jc w:val="center"/>
        <w:rPr>
          <w:rFonts w:ascii="Times New Roman" w:hAnsi="Times New Roman" w:eastAsia="宋体" w:cs="Times New Roman"/>
          <w:b/>
          <w:bCs/>
          <w:kern w:val="0"/>
          <w:sz w:val="18"/>
          <w:szCs w:val="18"/>
          <w:lang w:bidi="ar"/>
        </w:rPr>
      </w:pPr>
    </w:p>
    <w:p w14:paraId="1502DFDB">
      <w:pPr>
        <w:widowControl/>
        <w:jc w:val="center"/>
        <w:rPr>
          <w:rFonts w:ascii="Times New Roman" w:hAnsi="Times New Roman" w:eastAsia="宋体" w:cs="Times New Roman"/>
          <w:b/>
          <w:bCs/>
          <w:kern w:val="0"/>
          <w:sz w:val="18"/>
          <w:szCs w:val="18"/>
          <w:lang w:bidi="ar"/>
        </w:rPr>
      </w:pPr>
    </w:p>
    <w:p w14:paraId="3F577667">
      <w:pPr>
        <w:widowControl/>
        <w:jc w:val="center"/>
        <w:rPr>
          <w:rFonts w:ascii="Times New Roman" w:hAnsi="Times New Roman" w:eastAsia="宋体" w:cs="Times New Roman"/>
          <w:b/>
          <w:bCs/>
          <w:kern w:val="0"/>
          <w:sz w:val="18"/>
          <w:szCs w:val="18"/>
          <w:lang w:bidi="ar"/>
        </w:rPr>
      </w:pPr>
    </w:p>
    <w:p w14:paraId="2BE20736">
      <w:pPr>
        <w:widowControl/>
        <w:jc w:val="center"/>
        <w:rPr>
          <w:rFonts w:ascii="Times New Roman" w:hAnsi="Times New Roman" w:eastAsia="宋体" w:cs="Times New Roman"/>
          <w:b/>
          <w:bCs/>
          <w:kern w:val="0"/>
          <w:sz w:val="18"/>
          <w:szCs w:val="18"/>
          <w:lang w:bidi="ar"/>
        </w:rPr>
      </w:pPr>
    </w:p>
    <w:p w14:paraId="0B64F973">
      <w:pPr>
        <w:widowControl/>
        <w:jc w:val="center"/>
        <w:rPr>
          <w:rFonts w:ascii="Times New Roman" w:hAnsi="Times New Roman" w:eastAsia="宋体" w:cs="Times New Roman"/>
          <w:b/>
          <w:bCs/>
          <w:kern w:val="0"/>
          <w:sz w:val="18"/>
          <w:szCs w:val="18"/>
          <w:lang w:bidi="ar"/>
        </w:rPr>
      </w:pPr>
    </w:p>
    <w:p w14:paraId="0B85FE3D">
      <w:pPr>
        <w:widowControl/>
        <w:jc w:val="center"/>
        <w:rPr>
          <w:rFonts w:ascii="Times New Roman" w:hAnsi="Times New Roman" w:eastAsia="宋体" w:cs="Times New Roman"/>
          <w:b/>
          <w:bCs/>
          <w:kern w:val="0"/>
          <w:sz w:val="18"/>
          <w:szCs w:val="18"/>
          <w:lang w:bidi="ar"/>
        </w:rPr>
      </w:pPr>
    </w:p>
    <w:p w14:paraId="3CD09396">
      <w:pPr>
        <w:widowControl/>
        <w:jc w:val="center"/>
        <w:rPr>
          <w:rFonts w:ascii="Times New Roman" w:hAnsi="Times New Roman" w:eastAsia="宋体" w:cs="Times New Roman"/>
          <w:b/>
          <w:bCs/>
          <w:kern w:val="0"/>
          <w:sz w:val="18"/>
          <w:szCs w:val="18"/>
          <w:lang w:bidi="ar"/>
        </w:rPr>
      </w:pPr>
    </w:p>
    <w:p w14:paraId="32FFC217">
      <w:pPr>
        <w:widowControl/>
        <w:jc w:val="center"/>
        <w:rPr>
          <w:rFonts w:ascii="Times New Roman" w:hAnsi="Times New Roman" w:eastAsia="宋体" w:cs="Times New Roman"/>
          <w:b/>
          <w:bCs/>
          <w:kern w:val="0"/>
          <w:sz w:val="18"/>
          <w:szCs w:val="18"/>
          <w:lang w:bidi="ar"/>
        </w:rPr>
      </w:pPr>
    </w:p>
    <w:p w14:paraId="6579F885">
      <w:pPr>
        <w:widowControl/>
        <w:jc w:val="center"/>
        <w:rPr>
          <w:rFonts w:ascii="Times New Roman" w:hAnsi="Times New Roman" w:eastAsia="宋体" w:cs="Times New Roman"/>
          <w:b/>
          <w:bCs/>
          <w:kern w:val="0"/>
          <w:sz w:val="18"/>
          <w:szCs w:val="18"/>
          <w:lang w:bidi="ar"/>
        </w:rPr>
      </w:pPr>
    </w:p>
    <w:p w14:paraId="63BC64EB">
      <w:pPr>
        <w:widowControl/>
        <w:jc w:val="center"/>
        <w:rPr>
          <w:rFonts w:ascii="Times New Roman" w:hAnsi="Times New Roman" w:eastAsia="宋体" w:cs="Times New Roman"/>
          <w:b/>
          <w:bCs/>
          <w:kern w:val="0"/>
          <w:sz w:val="18"/>
          <w:szCs w:val="18"/>
          <w:lang w:bidi="ar"/>
        </w:rPr>
      </w:pPr>
    </w:p>
    <w:p w14:paraId="57161992">
      <w:pPr>
        <w:widowControl/>
        <w:jc w:val="center"/>
        <w:rPr>
          <w:rFonts w:ascii="Times New Roman" w:hAnsi="Times New Roman" w:eastAsia="宋体" w:cs="Times New Roman"/>
          <w:b/>
          <w:bCs/>
          <w:kern w:val="0"/>
          <w:sz w:val="18"/>
          <w:szCs w:val="18"/>
          <w:lang w:bidi="ar"/>
        </w:rPr>
      </w:pPr>
    </w:p>
    <w:p w14:paraId="222B65E0">
      <w:pPr>
        <w:widowControl/>
        <w:jc w:val="center"/>
        <w:rPr>
          <w:rFonts w:ascii="Times New Roman" w:hAnsi="Times New Roman" w:eastAsia="宋体" w:cs="Times New Roman"/>
          <w:b/>
          <w:bCs/>
          <w:kern w:val="0"/>
          <w:sz w:val="18"/>
          <w:szCs w:val="18"/>
          <w:lang w:bidi="ar"/>
        </w:rPr>
      </w:pPr>
    </w:p>
    <w:p w14:paraId="04E3E5B7">
      <w:pPr>
        <w:widowControl/>
        <w:jc w:val="center"/>
        <w:rPr>
          <w:rFonts w:ascii="Times New Roman" w:hAnsi="Times New Roman" w:eastAsia="宋体" w:cs="Times New Roman"/>
          <w:b/>
          <w:bCs/>
          <w:kern w:val="0"/>
          <w:sz w:val="18"/>
          <w:szCs w:val="18"/>
          <w:lang w:bidi="ar"/>
        </w:rPr>
      </w:pPr>
    </w:p>
    <w:p w14:paraId="6B58185B">
      <w:pPr>
        <w:widowControl/>
        <w:jc w:val="center"/>
        <w:rPr>
          <w:rFonts w:ascii="Times New Roman" w:hAnsi="Times New Roman" w:eastAsia="宋体" w:cs="Times New Roman"/>
          <w:b/>
          <w:bCs/>
          <w:kern w:val="0"/>
          <w:sz w:val="18"/>
          <w:szCs w:val="18"/>
          <w:lang w:bidi="ar"/>
        </w:rPr>
      </w:pPr>
    </w:p>
    <w:p w14:paraId="690B4961">
      <w:pPr>
        <w:widowControl/>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 xml:space="preserve">Supplementary Table S1B. </w:t>
      </w:r>
      <w:r>
        <w:rPr>
          <w:rFonts w:ascii="Times New Roman" w:hAnsi="Times New Roman" w:eastAsia="宋体" w:cs="Times New Roman"/>
          <w:kern w:val="0"/>
          <w:sz w:val="24"/>
          <w:szCs w:val="24"/>
          <w:lang w:bidi="ar"/>
        </w:rPr>
        <w:t>Trial registry search results and deduplication process.</w:t>
      </w:r>
    </w:p>
    <w:tbl>
      <w:tblPr>
        <w:tblStyle w:val="6"/>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777"/>
        <w:gridCol w:w="5263"/>
      </w:tblGrid>
      <w:tr w14:paraId="7B94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single" w:color="auto" w:sz="8" w:space="0"/>
              <w:left w:val="nil"/>
              <w:bottom w:val="single" w:color="auto" w:sz="6" w:space="0"/>
              <w:right w:val="nil"/>
            </w:tcBorders>
            <w:vAlign w:val="center"/>
          </w:tcPr>
          <w:p w14:paraId="710B0C1D">
            <w:pPr>
              <w:widowControl/>
              <w:rPr>
                <w:rFonts w:ascii="Times New Roman" w:hAnsi="Times New Roman" w:eastAsia="宋体" w:cs="Times New Roman"/>
                <w:b/>
                <w:bCs/>
                <w:kern w:val="0"/>
                <w:sz w:val="18"/>
                <w:szCs w:val="18"/>
                <w:lang w:bidi="ar"/>
              </w:rPr>
            </w:pPr>
            <w:r>
              <w:rPr>
                <w:rFonts w:ascii="Times New Roman" w:hAnsi="Times New Roman" w:eastAsia="宋体" w:cs="Times New Roman"/>
                <w:b/>
                <w:bCs/>
                <w:kern w:val="0"/>
                <w:sz w:val="18"/>
                <w:szCs w:val="18"/>
                <w:lang w:bidi="ar"/>
              </w:rPr>
              <w:t>Step</w:t>
            </w:r>
          </w:p>
        </w:tc>
        <w:tc>
          <w:tcPr>
            <w:tcW w:w="777" w:type="dxa"/>
            <w:tcBorders>
              <w:top w:val="single" w:color="auto" w:sz="8" w:space="0"/>
              <w:left w:val="nil"/>
              <w:bottom w:val="single" w:color="auto" w:sz="6" w:space="0"/>
              <w:right w:val="nil"/>
            </w:tcBorders>
            <w:vAlign w:val="center"/>
          </w:tcPr>
          <w:p w14:paraId="4FDCBABB">
            <w:pPr>
              <w:widowControl/>
              <w:rPr>
                <w:rFonts w:ascii="Times New Roman" w:hAnsi="Times New Roman" w:eastAsia="宋体" w:cs="Times New Roman"/>
                <w:b/>
                <w:bCs/>
                <w:kern w:val="0"/>
                <w:sz w:val="18"/>
                <w:szCs w:val="18"/>
                <w:lang w:bidi="ar"/>
              </w:rPr>
            </w:pPr>
            <w:r>
              <w:rPr>
                <w:rFonts w:ascii="Times New Roman" w:hAnsi="Times New Roman" w:eastAsia="宋体" w:cs="Times New Roman"/>
                <w:b/>
                <w:bCs/>
                <w:kern w:val="0"/>
                <w:sz w:val="18"/>
                <w:szCs w:val="18"/>
                <w:lang w:bidi="ar"/>
              </w:rPr>
              <w:t>Count</w:t>
            </w:r>
          </w:p>
        </w:tc>
        <w:tc>
          <w:tcPr>
            <w:tcW w:w="5263" w:type="dxa"/>
            <w:tcBorders>
              <w:top w:val="single" w:color="auto" w:sz="8" w:space="0"/>
              <w:left w:val="nil"/>
              <w:bottom w:val="single" w:color="auto" w:sz="6" w:space="0"/>
              <w:right w:val="nil"/>
            </w:tcBorders>
            <w:vAlign w:val="center"/>
          </w:tcPr>
          <w:p w14:paraId="61F47E0F">
            <w:pPr>
              <w:widowControl/>
              <w:rPr>
                <w:rFonts w:ascii="Times New Roman" w:hAnsi="Times New Roman" w:eastAsia="宋体" w:cs="Times New Roman"/>
                <w:b/>
                <w:bCs/>
                <w:kern w:val="0"/>
                <w:sz w:val="18"/>
                <w:szCs w:val="18"/>
                <w:lang w:bidi="ar"/>
              </w:rPr>
            </w:pPr>
            <w:r>
              <w:rPr>
                <w:rFonts w:ascii="Times New Roman" w:hAnsi="Times New Roman" w:eastAsia="宋体" w:cs="Times New Roman"/>
                <w:b/>
                <w:bCs/>
                <w:kern w:val="0"/>
                <w:sz w:val="18"/>
                <w:szCs w:val="18"/>
                <w:lang w:bidi="ar"/>
              </w:rPr>
              <w:t>Description</w:t>
            </w:r>
          </w:p>
        </w:tc>
      </w:tr>
      <w:tr w14:paraId="7A93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single" w:color="auto" w:sz="6" w:space="0"/>
              <w:left w:val="nil"/>
              <w:bottom w:val="nil"/>
              <w:right w:val="nil"/>
            </w:tcBorders>
            <w:vAlign w:val="center"/>
          </w:tcPr>
          <w:p w14:paraId="1C96E568">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ClinicalTrials.gov raw valid registry records</w:t>
            </w:r>
          </w:p>
        </w:tc>
        <w:tc>
          <w:tcPr>
            <w:tcW w:w="777" w:type="dxa"/>
            <w:tcBorders>
              <w:top w:val="single" w:color="auto" w:sz="6" w:space="0"/>
              <w:left w:val="nil"/>
              <w:bottom w:val="nil"/>
              <w:right w:val="nil"/>
            </w:tcBorders>
            <w:vAlign w:val="center"/>
          </w:tcPr>
          <w:p w14:paraId="63EB85CB">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48</w:t>
            </w:r>
          </w:p>
        </w:tc>
        <w:tc>
          <w:tcPr>
            <w:tcW w:w="5263" w:type="dxa"/>
            <w:tcBorders>
              <w:top w:val="single" w:color="auto" w:sz="6" w:space="0"/>
              <w:left w:val="nil"/>
              <w:bottom w:val="nil"/>
              <w:right w:val="nil"/>
            </w:tcBorders>
            <w:vAlign w:val="center"/>
          </w:tcPr>
          <w:p w14:paraId="5D78B3BB">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Number of valid NCT records after removing blank rows and repeated header rows</w:t>
            </w:r>
          </w:p>
        </w:tc>
      </w:tr>
      <w:tr w14:paraId="447A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nil"/>
              <w:left w:val="nil"/>
              <w:bottom w:val="nil"/>
              <w:right w:val="nil"/>
            </w:tcBorders>
            <w:vAlign w:val="center"/>
          </w:tcPr>
          <w:p w14:paraId="19986E1E">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ClinicalTrials.gov unique records after internal deduplication</w:t>
            </w:r>
          </w:p>
        </w:tc>
        <w:tc>
          <w:tcPr>
            <w:tcW w:w="777" w:type="dxa"/>
            <w:tcBorders>
              <w:top w:val="nil"/>
              <w:left w:val="nil"/>
              <w:bottom w:val="nil"/>
              <w:right w:val="nil"/>
            </w:tcBorders>
            <w:vAlign w:val="center"/>
          </w:tcPr>
          <w:p w14:paraId="07C53B8F">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w:t>
            </w:r>
          </w:p>
        </w:tc>
        <w:tc>
          <w:tcPr>
            <w:tcW w:w="5263" w:type="dxa"/>
            <w:tcBorders>
              <w:top w:val="nil"/>
              <w:left w:val="nil"/>
              <w:bottom w:val="nil"/>
              <w:right w:val="nil"/>
            </w:tcBorders>
            <w:vAlign w:val="center"/>
          </w:tcPr>
          <w:p w14:paraId="348A9B71">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Records retained after deduplication within ClinicalTrials.gov based on NCT Number</w:t>
            </w:r>
          </w:p>
        </w:tc>
      </w:tr>
      <w:tr w14:paraId="2D82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nil"/>
              <w:left w:val="nil"/>
              <w:bottom w:val="nil"/>
              <w:right w:val="nil"/>
            </w:tcBorders>
            <w:vAlign w:val="center"/>
          </w:tcPr>
          <w:p w14:paraId="18023963">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WHO ICTRP raw valid registry records</w:t>
            </w:r>
          </w:p>
        </w:tc>
        <w:tc>
          <w:tcPr>
            <w:tcW w:w="777" w:type="dxa"/>
            <w:tcBorders>
              <w:top w:val="nil"/>
              <w:left w:val="nil"/>
              <w:bottom w:val="nil"/>
              <w:right w:val="nil"/>
            </w:tcBorders>
            <w:vAlign w:val="center"/>
          </w:tcPr>
          <w:p w14:paraId="2860438A">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30</w:t>
            </w:r>
          </w:p>
        </w:tc>
        <w:tc>
          <w:tcPr>
            <w:tcW w:w="5263" w:type="dxa"/>
            <w:tcBorders>
              <w:top w:val="nil"/>
              <w:left w:val="nil"/>
              <w:bottom w:val="nil"/>
              <w:right w:val="nil"/>
            </w:tcBorders>
            <w:vAlign w:val="center"/>
          </w:tcPr>
          <w:p w14:paraId="100BBDEF">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Number of valid TrialID records after removing blank rows and repeated header rows</w:t>
            </w:r>
          </w:p>
        </w:tc>
      </w:tr>
      <w:tr w14:paraId="7E2F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nil"/>
              <w:left w:val="nil"/>
              <w:bottom w:val="nil"/>
              <w:right w:val="nil"/>
            </w:tcBorders>
            <w:vAlign w:val="center"/>
          </w:tcPr>
          <w:p w14:paraId="743F0998">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WHO ICTRP unique records after internal deduplication</w:t>
            </w:r>
          </w:p>
        </w:tc>
        <w:tc>
          <w:tcPr>
            <w:tcW w:w="777" w:type="dxa"/>
            <w:tcBorders>
              <w:top w:val="nil"/>
              <w:left w:val="nil"/>
              <w:bottom w:val="nil"/>
              <w:right w:val="nil"/>
            </w:tcBorders>
            <w:vAlign w:val="center"/>
          </w:tcPr>
          <w:p w14:paraId="315FF50B">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19</w:t>
            </w:r>
          </w:p>
        </w:tc>
        <w:tc>
          <w:tcPr>
            <w:tcW w:w="5263" w:type="dxa"/>
            <w:tcBorders>
              <w:top w:val="nil"/>
              <w:left w:val="nil"/>
              <w:bottom w:val="nil"/>
              <w:right w:val="nil"/>
            </w:tcBorders>
            <w:vAlign w:val="center"/>
          </w:tcPr>
          <w:p w14:paraId="49488555">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Records retained after deduplication within WHO ICTRP based on TrialID</w:t>
            </w:r>
          </w:p>
        </w:tc>
      </w:tr>
      <w:tr w14:paraId="41CA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nil"/>
              <w:left w:val="nil"/>
              <w:bottom w:val="nil"/>
              <w:right w:val="nil"/>
            </w:tcBorders>
            <w:vAlign w:val="center"/>
          </w:tcPr>
          <w:p w14:paraId="0D0A8457">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Cross-source duplicate records</w:t>
            </w:r>
          </w:p>
        </w:tc>
        <w:tc>
          <w:tcPr>
            <w:tcW w:w="777" w:type="dxa"/>
            <w:tcBorders>
              <w:top w:val="nil"/>
              <w:left w:val="nil"/>
              <w:bottom w:val="nil"/>
              <w:right w:val="nil"/>
            </w:tcBorders>
            <w:vAlign w:val="center"/>
          </w:tcPr>
          <w:p w14:paraId="6783BC05">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9</w:t>
            </w:r>
          </w:p>
        </w:tc>
        <w:tc>
          <w:tcPr>
            <w:tcW w:w="5263" w:type="dxa"/>
            <w:tcBorders>
              <w:top w:val="nil"/>
              <w:left w:val="nil"/>
              <w:bottom w:val="nil"/>
              <w:right w:val="nil"/>
            </w:tcBorders>
            <w:vAlign w:val="center"/>
          </w:tcPr>
          <w:p w14:paraId="43D0F16B">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Duplicate registry records identified across the two registry platforms</w:t>
            </w:r>
          </w:p>
        </w:tc>
      </w:tr>
      <w:tr w14:paraId="354E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nil"/>
              <w:left w:val="nil"/>
              <w:bottom w:val="nil"/>
              <w:right w:val="nil"/>
            </w:tcBorders>
            <w:vAlign w:val="center"/>
          </w:tcPr>
          <w:p w14:paraId="0FECD69E">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Final merged unique registry records</w:t>
            </w:r>
          </w:p>
        </w:tc>
        <w:tc>
          <w:tcPr>
            <w:tcW w:w="777" w:type="dxa"/>
            <w:tcBorders>
              <w:top w:val="nil"/>
              <w:left w:val="nil"/>
              <w:bottom w:val="nil"/>
              <w:right w:val="nil"/>
            </w:tcBorders>
            <w:vAlign w:val="center"/>
          </w:tcPr>
          <w:p w14:paraId="0BF227B8">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30</w:t>
            </w:r>
          </w:p>
        </w:tc>
        <w:tc>
          <w:tcPr>
            <w:tcW w:w="5263" w:type="dxa"/>
            <w:tcBorders>
              <w:top w:val="nil"/>
              <w:left w:val="nil"/>
              <w:bottom w:val="nil"/>
              <w:right w:val="nil"/>
            </w:tcBorders>
            <w:vAlign w:val="center"/>
          </w:tcPr>
          <w:p w14:paraId="63EA79C9">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Unique registry records retained after merging the two platforms and removing cross-source duplicates</w:t>
            </w:r>
          </w:p>
        </w:tc>
      </w:tr>
      <w:tr w14:paraId="557E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nil"/>
              <w:left w:val="nil"/>
              <w:bottom w:val="nil"/>
              <w:right w:val="nil"/>
            </w:tcBorders>
            <w:vAlign w:val="center"/>
          </w:tcPr>
          <w:p w14:paraId="31D3CDE7">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ChiCTR direct search</w:t>
            </w:r>
          </w:p>
        </w:tc>
        <w:tc>
          <w:tcPr>
            <w:tcW w:w="777" w:type="dxa"/>
            <w:tcBorders>
              <w:top w:val="nil"/>
              <w:left w:val="nil"/>
              <w:bottom w:val="nil"/>
              <w:right w:val="nil"/>
            </w:tcBorders>
            <w:vAlign w:val="center"/>
          </w:tcPr>
          <w:p w14:paraId="258EE91E">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0</w:t>
            </w:r>
          </w:p>
        </w:tc>
        <w:tc>
          <w:tcPr>
            <w:tcW w:w="5263" w:type="dxa"/>
            <w:tcBorders>
              <w:top w:val="nil"/>
              <w:left w:val="nil"/>
              <w:bottom w:val="nil"/>
              <w:right w:val="nil"/>
            </w:tcBorders>
            <w:vAlign w:val="center"/>
          </w:tcPr>
          <w:p w14:paraId="7691E156">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No additional eligible records were identified through direct searching of the ChiCTR website; ChiCTR-sourced records indexed in WHO ICTRP were retained in the WHO ICTRP/merged screening dataset</w:t>
            </w:r>
          </w:p>
        </w:tc>
      </w:tr>
      <w:tr w14:paraId="203D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8" w:type="dxa"/>
            <w:tcBorders>
              <w:top w:val="nil"/>
              <w:left w:val="nil"/>
              <w:bottom w:val="single" w:color="auto" w:sz="8" w:space="0"/>
              <w:right w:val="nil"/>
            </w:tcBorders>
            <w:vAlign w:val="center"/>
          </w:tcPr>
          <w:p w14:paraId="758D8AC7">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Additional completed RCTs with extractable results identified</w:t>
            </w:r>
          </w:p>
        </w:tc>
        <w:tc>
          <w:tcPr>
            <w:tcW w:w="777" w:type="dxa"/>
            <w:tcBorders>
              <w:top w:val="nil"/>
              <w:left w:val="nil"/>
              <w:bottom w:val="single" w:color="auto" w:sz="8" w:space="0"/>
              <w:right w:val="nil"/>
            </w:tcBorders>
            <w:vAlign w:val="center"/>
          </w:tcPr>
          <w:p w14:paraId="5211FB50">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0</w:t>
            </w:r>
          </w:p>
        </w:tc>
        <w:tc>
          <w:tcPr>
            <w:tcW w:w="5263" w:type="dxa"/>
            <w:tcBorders>
              <w:top w:val="nil"/>
              <w:left w:val="nil"/>
              <w:bottom w:val="single" w:color="auto" w:sz="8" w:space="0"/>
              <w:right w:val="nil"/>
            </w:tcBorders>
            <w:vAlign w:val="center"/>
          </w:tcPr>
          <w:p w14:paraId="16E31231">
            <w:pPr>
              <w:widowControl/>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No additional completed randomized controlled trials with extractable results were identified for inclusion in the meta-analysis</w:t>
            </w:r>
          </w:p>
        </w:tc>
      </w:tr>
    </w:tbl>
    <w:p w14:paraId="78E4904F">
      <w:pPr>
        <w:widowControl/>
        <w:rPr>
          <w:rFonts w:ascii="Times New Roman" w:hAnsi="Times New Roman" w:eastAsia="宋体" w:cs="Times New Roman"/>
          <w:kern w:val="0"/>
          <w:szCs w:val="21"/>
          <w:lang w:bidi="ar"/>
        </w:rPr>
      </w:pPr>
    </w:p>
    <w:p w14:paraId="7381325D">
      <w:pPr>
        <w:widowControl/>
        <w:jc w:val="left"/>
        <w:rPr>
          <w:rFonts w:ascii="Times New Roman" w:hAnsi="Times New Roman" w:eastAsia="宋体" w:cs="Times New Roman"/>
          <w:b w:val="0"/>
          <w:bCs w:val="0"/>
          <w:kern w:val="0"/>
          <w:sz w:val="24"/>
          <w:szCs w:val="24"/>
          <w:lang w:bidi="ar"/>
        </w:rPr>
      </w:pPr>
      <w:r>
        <w:rPr>
          <w:rFonts w:ascii="Times New Roman" w:hAnsi="Times New Roman" w:eastAsia="宋体" w:cs="Times New Roman"/>
          <w:b/>
          <w:bCs/>
          <w:kern w:val="0"/>
          <w:sz w:val="24"/>
          <w:szCs w:val="24"/>
          <w:lang w:bidi="ar"/>
        </w:rPr>
        <w:t xml:space="preserve">Supplementary Table S1C. </w:t>
      </w:r>
      <w:r>
        <w:rPr>
          <w:rFonts w:ascii="Times New Roman" w:hAnsi="Times New Roman" w:eastAsia="宋体" w:cs="Times New Roman"/>
          <w:b w:val="0"/>
          <w:bCs w:val="0"/>
          <w:kern w:val="0"/>
          <w:sz w:val="24"/>
          <w:szCs w:val="24"/>
          <w:lang w:bidi="ar"/>
        </w:rPr>
        <w:t>Search strategies used for clinical trial registries</w:t>
      </w:r>
    </w:p>
    <w:tbl>
      <w:tblPr>
        <w:tblStyle w:val="6"/>
        <w:tblW w:w="8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466"/>
        <w:gridCol w:w="4547"/>
        <w:gridCol w:w="746"/>
        <w:gridCol w:w="1721"/>
      </w:tblGrid>
      <w:tr w14:paraId="4C8B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6" w:type="dxa"/>
            <w:shd w:val="clear" w:color="auto" w:fill="auto"/>
            <w:vAlign w:val="center"/>
          </w:tcPr>
          <w:p w14:paraId="2C2D8949">
            <w:pPr>
              <w:widowControl/>
              <w:jc w:val="center"/>
              <w:rPr>
                <w:rFonts w:ascii="Times New Roman" w:hAnsi="Times New Roman" w:eastAsia="宋体" w:cs="Times New Roman"/>
                <w:b/>
                <w:bCs/>
                <w:kern w:val="0"/>
                <w:sz w:val="18"/>
                <w:szCs w:val="18"/>
                <w:lang w:val="en-US" w:eastAsia="zh-CN" w:bidi="ar"/>
              </w:rPr>
            </w:pPr>
            <w:r>
              <w:rPr>
                <w:rFonts w:ascii="Times New Roman" w:hAnsi="Times New Roman" w:eastAsia="宋体" w:cs="Times New Roman"/>
                <w:b/>
                <w:bCs/>
                <w:kern w:val="0"/>
                <w:sz w:val="18"/>
                <w:szCs w:val="18"/>
                <w:lang w:val="en-US" w:eastAsia="zh-CN" w:bidi="ar"/>
              </w:rPr>
              <w:t>Registry</w:t>
            </w:r>
          </w:p>
        </w:tc>
        <w:tc>
          <w:tcPr>
            <w:tcW w:w="4547" w:type="dxa"/>
            <w:shd w:val="clear" w:color="auto" w:fill="auto"/>
            <w:vAlign w:val="center"/>
          </w:tcPr>
          <w:p w14:paraId="537B2DDF">
            <w:pPr>
              <w:widowControl/>
              <w:jc w:val="center"/>
              <w:rPr>
                <w:rFonts w:ascii="Times New Roman" w:hAnsi="Times New Roman" w:eastAsia="宋体" w:cs="Times New Roman"/>
                <w:b/>
                <w:bCs/>
                <w:kern w:val="0"/>
                <w:sz w:val="18"/>
                <w:szCs w:val="18"/>
                <w:lang w:val="en-US" w:eastAsia="zh-CN" w:bidi="ar"/>
              </w:rPr>
            </w:pPr>
            <w:r>
              <w:rPr>
                <w:rFonts w:ascii="Times New Roman" w:hAnsi="Times New Roman" w:eastAsia="宋体" w:cs="Times New Roman"/>
                <w:b/>
                <w:bCs/>
                <w:kern w:val="0"/>
                <w:sz w:val="18"/>
                <w:szCs w:val="18"/>
                <w:lang w:val="en-US" w:eastAsia="zh-CN" w:bidi="ar"/>
              </w:rPr>
              <w:t>Search method and exact terms used</w:t>
            </w:r>
          </w:p>
        </w:tc>
        <w:tc>
          <w:tcPr>
            <w:tcW w:w="746" w:type="dxa"/>
            <w:shd w:val="clear" w:color="auto" w:fill="auto"/>
            <w:vAlign w:val="center"/>
          </w:tcPr>
          <w:p w14:paraId="74987403">
            <w:pPr>
              <w:widowControl/>
              <w:jc w:val="center"/>
              <w:rPr>
                <w:rFonts w:ascii="Times New Roman" w:hAnsi="Times New Roman" w:eastAsia="宋体" w:cs="Times New Roman"/>
                <w:b/>
                <w:bCs/>
                <w:kern w:val="0"/>
                <w:sz w:val="18"/>
                <w:szCs w:val="18"/>
                <w:lang w:val="en-US" w:eastAsia="zh-CN" w:bidi="ar"/>
              </w:rPr>
            </w:pPr>
            <w:r>
              <w:rPr>
                <w:rFonts w:ascii="Times New Roman" w:hAnsi="Times New Roman" w:eastAsia="宋体" w:cs="Times New Roman"/>
                <w:b/>
                <w:bCs/>
                <w:kern w:val="0"/>
                <w:sz w:val="18"/>
                <w:szCs w:val="18"/>
                <w:lang w:val="en-US" w:eastAsia="zh-CN" w:bidi="ar"/>
              </w:rPr>
              <w:t>Search date</w:t>
            </w:r>
          </w:p>
        </w:tc>
        <w:tc>
          <w:tcPr>
            <w:tcW w:w="1721" w:type="dxa"/>
            <w:shd w:val="clear" w:color="auto" w:fill="auto"/>
            <w:vAlign w:val="center"/>
          </w:tcPr>
          <w:p w14:paraId="01D06992">
            <w:pPr>
              <w:widowControl/>
              <w:jc w:val="center"/>
              <w:rPr>
                <w:rFonts w:ascii="Times New Roman" w:hAnsi="Times New Roman" w:eastAsia="宋体" w:cs="Times New Roman"/>
                <w:b/>
                <w:bCs/>
                <w:kern w:val="0"/>
                <w:sz w:val="18"/>
                <w:szCs w:val="18"/>
                <w:lang w:val="en-US" w:eastAsia="zh-CN" w:bidi="ar"/>
              </w:rPr>
            </w:pPr>
            <w:r>
              <w:rPr>
                <w:rFonts w:ascii="Times New Roman" w:hAnsi="Times New Roman" w:eastAsia="宋体" w:cs="Times New Roman"/>
                <w:b/>
                <w:bCs/>
                <w:kern w:val="0"/>
                <w:sz w:val="18"/>
                <w:szCs w:val="18"/>
                <w:lang w:val="en-US" w:eastAsia="zh-CN" w:bidi="ar"/>
              </w:rPr>
              <w:t>Records retrieved or retained</w:t>
            </w:r>
          </w:p>
        </w:tc>
      </w:tr>
      <w:tr w14:paraId="3017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6" w:type="dxa"/>
            <w:shd w:val="clear" w:color="auto" w:fill="auto"/>
            <w:vAlign w:val="center"/>
          </w:tcPr>
          <w:p w14:paraId="08C1032A">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ClinicalTrials.gov</w:t>
            </w:r>
          </w:p>
        </w:tc>
        <w:tc>
          <w:tcPr>
            <w:tcW w:w="4547" w:type="dxa"/>
            <w:shd w:val="clear" w:color="auto" w:fill="auto"/>
            <w:vAlign w:val="center"/>
          </w:tcPr>
          <w:p w14:paraId="65C74372">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Three separate searches were conducted and the exported results were combined. Disease terms: "knee osteoarthritis" and osteoarthritis. These were combined, as applicable, with the following intervention-related terms: probiotic, prebiotic, synbiotic, postbiotic, microbiota, microbiome, Lactobacillus, and Bifidobacterium. No restrictions on study status or language were applied.</w:t>
            </w:r>
          </w:p>
        </w:tc>
        <w:tc>
          <w:tcPr>
            <w:tcW w:w="746" w:type="dxa"/>
            <w:shd w:val="clear" w:color="auto" w:fill="auto"/>
            <w:vAlign w:val="center"/>
          </w:tcPr>
          <w:p w14:paraId="46D56FF3">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5 June 2026*</w:t>
            </w:r>
          </w:p>
        </w:tc>
        <w:tc>
          <w:tcPr>
            <w:tcW w:w="1721" w:type="dxa"/>
            <w:shd w:val="clear" w:color="auto" w:fill="auto"/>
            <w:vAlign w:val="center"/>
          </w:tcPr>
          <w:p w14:paraId="19E88015">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48 raw valid records; 20 unique records after within-registry deduplication</w:t>
            </w:r>
          </w:p>
        </w:tc>
      </w:tr>
      <w:tr w14:paraId="2EC5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6" w:type="dxa"/>
            <w:shd w:val="clear" w:color="auto" w:fill="auto"/>
            <w:vAlign w:val="center"/>
          </w:tcPr>
          <w:p w14:paraId="6A021D58">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WHO International Clinical Trials Registry Platform (WHO ICTRP)</w:t>
            </w:r>
          </w:p>
        </w:tc>
        <w:tc>
          <w:tcPr>
            <w:tcW w:w="4547" w:type="dxa"/>
            <w:shd w:val="clear" w:color="auto" w:fill="auto"/>
            <w:vAlign w:val="center"/>
          </w:tcPr>
          <w:p w14:paraId="59758CD9">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Separate searches were conducted and the exported results were combined. Disease terms: "knee osteoarthritis" and osteoarthritis. These were combined, as applicable, with the following intervention-related terms: probiotic, prebiotic, synbiotic, postbiotic, microbiota, microbiome, Lactobacillus, and Bifidobacterium. No restrictions on recruitment status, publication status, or language were applied.</w:t>
            </w:r>
          </w:p>
        </w:tc>
        <w:tc>
          <w:tcPr>
            <w:tcW w:w="746" w:type="dxa"/>
            <w:shd w:val="clear" w:color="auto" w:fill="auto"/>
            <w:vAlign w:val="center"/>
          </w:tcPr>
          <w:p w14:paraId="591B5E11">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5 June 2026*</w:t>
            </w:r>
          </w:p>
        </w:tc>
        <w:tc>
          <w:tcPr>
            <w:tcW w:w="1721" w:type="dxa"/>
            <w:shd w:val="clear" w:color="auto" w:fill="auto"/>
            <w:vAlign w:val="center"/>
          </w:tcPr>
          <w:p w14:paraId="7EA3D7F5">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30 raw valid records; 19 unique records after within-registry deduplication</w:t>
            </w:r>
          </w:p>
        </w:tc>
      </w:tr>
      <w:tr w14:paraId="4DD8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6" w:type="dxa"/>
            <w:shd w:val="clear" w:color="auto" w:fill="auto"/>
            <w:vAlign w:val="center"/>
          </w:tcPr>
          <w:p w14:paraId="4F683F17">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Chinese Clinical Trial Registry (ChiCTR)</w:t>
            </w:r>
          </w:p>
        </w:tc>
        <w:tc>
          <w:tcPr>
            <w:tcW w:w="4547" w:type="dxa"/>
            <w:shd w:val="clear" w:color="auto" w:fill="auto"/>
            <w:vAlign w:val="center"/>
          </w:tcPr>
          <w:p w14:paraId="357DF2B8">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Direct website searches were conducted using English and Chinese disease and intervention terms. English disease terms: "knee osteoarthritis" and osteoarthritis; English intervention terms: probiotic, prebiotic, synbiotic, postbiotic, microbiota, microbiome, Lactobacillus, and Bifidobacterium. Chinese disease terms: 膝骨关节炎, 膝关节骨性关节炎, and 骨关节炎; Chinese intervention terms: 益生菌, 益生元, 合生元, 后生元, 肠道菌群, 肠道微生态, 乳酸杆菌, and 双歧杆菌.</w:t>
            </w:r>
          </w:p>
        </w:tc>
        <w:tc>
          <w:tcPr>
            <w:tcW w:w="746" w:type="dxa"/>
            <w:shd w:val="clear" w:color="auto" w:fill="auto"/>
            <w:vAlign w:val="center"/>
          </w:tcPr>
          <w:p w14:paraId="2E455AEB">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5 June 2026*</w:t>
            </w:r>
          </w:p>
        </w:tc>
        <w:tc>
          <w:tcPr>
            <w:tcW w:w="1721" w:type="dxa"/>
            <w:shd w:val="clear" w:color="auto" w:fill="auto"/>
            <w:vAlign w:val="center"/>
          </w:tcPr>
          <w:p w14:paraId="7DCEB4CF">
            <w:pPr>
              <w:widowControl/>
              <w:jc w:val="center"/>
              <w:rPr>
                <w:rFonts w:hint="default" w:ascii="Times New Roman" w:hAnsi="Times New Roman" w:eastAsia="宋体" w:cs="Times New Roman"/>
                <w:b w:val="0"/>
                <w:bCs w:val="0"/>
                <w:kern w:val="0"/>
                <w:sz w:val="18"/>
                <w:szCs w:val="18"/>
                <w:lang w:val="en-US" w:eastAsia="zh-CN" w:bidi="ar"/>
              </w:rPr>
            </w:pPr>
            <w:r>
              <w:rPr>
                <w:rFonts w:hint="default" w:ascii="Times New Roman" w:hAnsi="Times New Roman" w:eastAsia="宋体" w:cs="Times New Roman"/>
                <w:b w:val="0"/>
                <w:bCs w:val="0"/>
                <w:kern w:val="0"/>
                <w:sz w:val="18"/>
                <w:szCs w:val="18"/>
                <w:lang w:val="en-US" w:eastAsia="zh-CN" w:bidi="ar"/>
              </w:rPr>
              <w:t>Original number retrieved was not recorded; 0 additional eligible records were identified</w:t>
            </w:r>
          </w:p>
        </w:tc>
      </w:tr>
    </w:tbl>
    <w:p w14:paraId="4AAE60AE">
      <w:pPr>
        <w:widowControl/>
        <w:jc w:val="both"/>
        <w:rPr>
          <w:rFonts w:ascii="Times New Roman" w:hAnsi="Times New Roman" w:eastAsia="宋体" w:cs="Times New Roman"/>
          <w:b w:val="0"/>
          <w:bCs w:val="0"/>
          <w:kern w:val="0"/>
          <w:sz w:val="18"/>
          <w:szCs w:val="18"/>
          <w:lang w:bidi="ar"/>
        </w:rPr>
      </w:pPr>
      <w:r>
        <w:rPr>
          <w:rFonts w:ascii="Times New Roman" w:hAnsi="Times New Roman" w:eastAsia="宋体" w:cs="Times New Roman"/>
          <w:b/>
          <w:bCs/>
          <w:kern w:val="0"/>
          <w:sz w:val="18"/>
          <w:szCs w:val="18"/>
          <w:lang w:bidi="ar"/>
        </w:rPr>
        <w:t>Abbreviations:</w:t>
      </w:r>
      <w:r>
        <w:rPr>
          <w:rFonts w:ascii="Times New Roman" w:hAnsi="Times New Roman" w:eastAsia="宋体" w:cs="Times New Roman"/>
          <w:b w:val="0"/>
          <w:bCs w:val="0"/>
          <w:kern w:val="0"/>
          <w:sz w:val="18"/>
          <w:szCs w:val="18"/>
          <w:lang w:bidi="ar"/>
        </w:rPr>
        <w:t xml:space="preserve"> ChiCTR, Chinese Clinical Trial Registry; WHO ICTRP, World Health Organization International Clinical Trials Registry Platform.</w:t>
      </w:r>
      <w:r>
        <w:rPr>
          <w:rFonts w:ascii="Times New Roman" w:hAnsi="Times New Roman" w:eastAsia="宋体" w:cs="Times New Roman"/>
          <w:b w:val="0"/>
          <w:bCs w:val="0"/>
          <w:kern w:val="0"/>
          <w:sz w:val="18"/>
          <w:szCs w:val="18"/>
          <w:lang w:bidi="ar"/>
        </w:rPr>
        <w:br w:type="textWrapping"/>
      </w:r>
      <w:r>
        <w:rPr>
          <w:rFonts w:ascii="Times New Roman" w:hAnsi="Times New Roman" w:eastAsia="宋体" w:cs="Times New Roman"/>
          <w:b w:val="0"/>
          <w:bCs w:val="0"/>
          <w:kern w:val="0"/>
          <w:sz w:val="18"/>
          <w:szCs w:val="18"/>
          <w:lang w:bidi="ar"/>
        </w:rPr>
        <w:t>*The date should be retained only if June 5, 2026 was the actual date of the final registry search. Search results from Clini</w:t>
      </w:r>
      <w:bookmarkStart w:id="0" w:name="_GoBack"/>
      <w:bookmarkEnd w:id="0"/>
      <w:r>
        <w:rPr>
          <w:rFonts w:ascii="Times New Roman" w:hAnsi="Times New Roman" w:eastAsia="宋体" w:cs="Times New Roman"/>
          <w:b w:val="0"/>
          <w:bCs w:val="0"/>
          <w:kern w:val="0"/>
          <w:sz w:val="18"/>
          <w:szCs w:val="18"/>
          <w:lang w:bidi="ar"/>
        </w:rPr>
        <w:t>calTrials.gov and WHO ICTRP were exported and combined before within-registry deduplication. The reported raw valid record counts exclude blank rows and repeated header rows but include duplicate records retrieved through more than one search. After within-registry and cross-registry deduplication, 30 unique registry records remained for screening. Records originating from ChiCTR that were indexed in WHO ICTRP were retained in the WHO ICTRP and merged screening datasets. Direct searching of ChiCTR identified no additional eligible records. No additional completed randomized controlled trials with extractable outcome data were identified.</w:t>
      </w:r>
    </w:p>
    <w:p w14:paraId="3E7609CE">
      <w:pPr>
        <w:widowControl/>
        <w:jc w:val="center"/>
        <w:rPr>
          <w:rFonts w:ascii="Times New Roman" w:hAnsi="Times New Roman" w:eastAsia="宋体" w:cs="Times New Roman"/>
          <w:b/>
          <w:bCs/>
          <w:kern w:val="0"/>
          <w:sz w:val="18"/>
          <w:szCs w:val="18"/>
          <w:lang w:bidi="ar"/>
        </w:rPr>
      </w:pPr>
    </w:p>
    <w:p w14:paraId="2DED0AE9">
      <w:pPr>
        <w:widowControl/>
        <w:jc w:val="center"/>
        <w:rPr>
          <w:rFonts w:ascii="Times New Roman" w:hAnsi="Times New Roman" w:eastAsia="宋体" w:cs="Times New Roman"/>
          <w:b/>
          <w:bCs/>
          <w:kern w:val="0"/>
          <w:sz w:val="18"/>
          <w:szCs w:val="18"/>
          <w:lang w:bidi="ar"/>
        </w:rPr>
        <w:sectPr>
          <w:pgSz w:w="11906" w:h="16838"/>
          <w:pgMar w:top="1440" w:right="1800" w:bottom="1440" w:left="1800" w:header="851" w:footer="992" w:gutter="0"/>
          <w:cols w:space="425" w:num="1"/>
          <w:docGrid w:type="lines" w:linePitch="312" w:charSpace="0"/>
        </w:sectPr>
      </w:pPr>
    </w:p>
    <w:p w14:paraId="2DC8A4AA">
      <w:pPr>
        <w:rPr>
          <w:rFonts w:hint="eastAsia" w:ascii="Times New Roman" w:hAnsi="Times New Roman" w:eastAsia="宋体" w:cs="Times New Roman"/>
          <w:sz w:val="24"/>
          <w:szCs w:val="24"/>
        </w:rPr>
      </w:pPr>
      <w:r>
        <w:rPr>
          <w:rFonts w:hint="eastAsia" w:ascii="Times New Roman" w:hAnsi="Times New Roman" w:eastAsia="宋体" w:cs="Times New Roman"/>
          <w:b/>
          <w:bCs/>
          <w:sz w:val="24"/>
          <w:szCs w:val="24"/>
        </w:rPr>
        <w:t>Supplementary Table S2.</w:t>
      </w:r>
      <w:r>
        <w:rPr>
          <w:rFonts w:hint="eastAsia" w:ascii="Times New Roman" w:hAnsi="Times New Roman" w:eastAsia="宋体" w:cs="Times New Roman"/>
          <w:sz w:val="24"/>
          <w:szCs w:val="24"/>
        </w:rPr>
        <w:t xml:space="preserve"> Descriptive summary of adverse events reported in the included studies</w:t>
      </w:r>
    </w:p>
    <w:tbl>
      <w:tblPr>
        <w:tblStyle w:val="6"/>
        <w:tblW w:w="14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1745"/>
        <w:gridCol w:w="1336"/>
        <w:gridCol w:w="2143"/>
        <w:gridCol w:w="1949"/>
        <w:gridCol w:w="2490"/>
        <w:gridCol w:w="1475"/>
        <w:gridCol w:w="2330"/>
      </w:tblGrid>
      <w:tr w14:paraId="02B9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78" w:type="dxa"/>
            <w:tcBorders>
              <w:top w:val="single" w:color="auto" w:sz="12" w:space="0"/>
              <w:left w:val="nil"/>
              <w:bottom w:val="single" w:color="auto" w:sz="4" w:space="0"/>
              <w:right w:val="nil"/>
            </w:tcBorders>
            <w:shd w:val="clear" w:color="auto" w:fill="auto"/>
            <w:vAlign w:val="center"/>
          </w:tcPr>
          <w:p w14:paraId="015F040C">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Study</w:t>
            </w:r>
          </w:p>
        </w:tc>
        <w:tc>
          <w:tcPr>
            <w:tcW w:w="1745" w:type="dxa"/>
            <w:tcBorders>
              <w:top w:val="single" w:color="auto" w:sz="12" w:space="0"/>
              <w:left w:val="nil"/>
              <w:bottom w:val="single" w:color="auto" w:sz="4" w:space="0"/>
              <w:right w:val="nil"/>
            </w:tcBorders>
            <w:shd w:val="clear" w:color="auto" w:fill="auto"/>
            <w:vAlign w:val="center"/>
          </w:tcPr>
          <w:p w14:paraId="013F1684">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Safety outcome</w:t>
            </w:r>
          </w:p>
        </w:tc>
        <w:tc>
          <w:tcPr>
            <w:tcW w:w="1336" w:type="dxa"/>
            <w:tcBorders>
              <w:top w:val="single" w:color="auto" w:sz="12" w:space="0"/>
              <w:left w:val="nil"/>
              <w:bottom w:val="single" w:color="auto" w:sz="4" w:space="0"/>
              <w:right w:val="nil"/>
            </w:tcBorders>
            <w:shd w:val="clear" w:color="auto" w:fill="auto"/>
            <w:vAlign w:val="center"/>
          </w:tcPr>
          <w:p w14:paraId="2819F77D">
            <w:pPr>
              <w:snapToGrid w:val="0"/>
              <w:ind w:left="0" w:leftChars="0" w:right="0" w:rightChars="0" w:firstLine="0" w:firstLineChars="0"/>
              <w:jc w:val="center"/>
              <w:rPr>
                <w:rFonts w:hint="eastAsia" w:ascii="Times New Roman" w:hAnsi="Times New Roman" w:eastAsia="宋体" w:cs="Times New Roman"/>
                <w:b/>
                <w:sz w:val="18"/>
                <w:szCs w:val="18"/>
                <w:lang w:val="en-US" w:eastAsia="zh-CN"/>
              </w:rPr>
            </w:pPr>
            <w:r>
              <w:rPr>
                <w:rFonts w:hint="eastAsia" w:ascii="Times New Roman" w:hAnsi="Times New Roman" w:eastAsia="宋体" w:cs="Times New Roman"/>
                <w:b/>
                <w:sz w:val="18"/>
                <w:szCs w:val="18"/>
                <w:lang w:val="en-US" w:eastAsia="zh-CN"/>
              </w:rPr>
              <w:t xml:space="preserve">Intervention events/n </w:t>
            </w:r>
          </w:p>
          <w:p w14:paraId="06A4FD53">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w:t>
            </w:r>
          </w:p>
        </w:tc>
        <w:tc>
          <w:tcPr>
            <w:tcW w:w="2143" w:type="dxa"/>
            <w:tcBorders>
              <w:top w:val="single" w:color="auto" w:sz="12" w:space="0"/>
              <w:left w:val="nil"/>
              <w:bottom w:val="single" w:color="auto" w:sz="4" w:space="0"/>
              <w:right w:val="nil"/>
            </w:tcBorders>
            <w:shd w:val="clear" w:color="auto" w:fill="auto"/>
            <w:vAlign w:val="center"/>
          </w:tcPr>
          <w:p w14:paraId="3BCB272A">
            <w:pPr>
              <w:snapToGrid w:val="0"/>
              <w:ind w:left="0" w:leftChars="0" w:right="0" w:rightChars="0" w:firstLine="0" w:firstLineChars="0"/>
              <w:jc w:val="center"/>
              <w:rPr>
                <w:rFonts w:hint="eastAsia" w:ascii="Times New Roman" w:hAnsi="Times New Roman" w:eastAsia="宋体" w:cs="Times New Roman"/>
                <w:b/>
                <w:sz w:val="18"/>
                <w:szCs w:val="18"/>
                <w:lang w:val="en-US" w:eastAsia="zh-CN"/>
              </w:rPr>
            </w:pPr>
            <w:r>
              <w:rPr>
                <w:rFonts w:hint="eastAsia" w:ascii="Times New Roman" w:hAnsi="Times New Roman" w:eastAsia="宋体" w:cs="Times New Roman"/>
                <w:b/>
                <w:sz w:val="18"/>
                <w:szCs w:val="18"/>
                <w:lang w:val="en-US" w:eastAsia="zh-CN"/>
              </w:rPr>
              <w:t xml:space="preserve">Control events/n </w:t>
            </w:r>
          </w:p>
          <w:p w14:paraId="54403820">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w:t>
            </w:r>
          </w:p>
        </w:tc>
        <w:tc>
          <w:tcPr>
            <w:tcW w:w="1949" w:type="dxa"/>
            <w:tcBorders>
              <w:top w:val="single" w:color="auto" w:sz="12" w:space="0"/>
              <w:left w:val="nil"/>
              <w:bottom w:val="single" w:color="auto" w:sz="4" w:space="0"/>
              <w:right w:val="nil"/>
            </w:tcBorders>
            <w:shd w:val="clear" w:color="auto" w:fill="auto"/>
            <w:vAlign w:val="center"/>
          </w:tcPr>
          <w:p w14:paraId="3ACEE0A7">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Serious adverse events</w:t>
            </w:r>
          </w:p>
        </w:tc>
        <w:tc>
          <w:tcPr>
            <w:tcW w:w="2490" w:type="dxa"/>
            <w:tcBorders>
              <w:top w:val="single" w:color="auto" w:sz="12" w:space="0"/>
              <w:left w:val="nil"/>
              <w:bottom w:val="single" w:color="auto" w:sz="4" w:space="0"/>
              <w:right w:val="nil"/>
            </w:tcBorders>
            <w:shd w:val="clear" w:color="auto" w:fill="auto"/>
            <w:vAlign w:val="center"/>
          </w:tcPr>
          <w:p w14:paraId="4F3BD468">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AE type/details</w:t>
            </w:r>
          </w:p>
        </w:tc>
        <w:tc>
          <w:tcPr>
            <w:tcW w:w="1475" w:type="dxa"/>
            <w:tcBorders>
              <w:top w:val="single" w:color="auto" w:sz="12" w:space="0"/>
              <w:left w:val="nil"/>
              <w:bottom w:val="single" w:color="auto" w:sz="4" w:space="0"/>
              <w:right w:val="nil"/>
            </w:tcBorders>
            <w:shd w:val="clear" w:color="auto" w:fill="auto"/>
            <w:vAlign w:val="center"/>
          </w:tcPr>
          <w:p w14:paraId="280F8AB0">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Study-specific effect estimate</w:t>
            </w:r>
          </w:p>
        </w:tc>
        <w:tc>
          <w:tcPr>
            <w:tcW w:w="2330" w:type="dxa"/>
            <w:tcBorders>
              <w:top w:val="single" w:color="auto" w:sz="12" w:space="0"/>
              <w:left w:val="nil"/>
              <w:bottom w:val="single" w:color="auto" w:sz="4" w:space="0"/>
              <w:right w:val="nil"/>
            </w:tcBorders>
            <w:shd w:val="clear" w:color="auto" w:fill="auto"/>
            <w:vAlign w:val="center"/>
          </w:tcPr>
          <w:p w14:paraId="0BEB6DBB">
            <w:pPr>
              <w:snapToGrid w:val="0"/>
              <w:ind w:left="0" w:leftChars="0" w:right="0" w:rightChars="0" w:firstLine="0" w:firstLineChars="0"/>
              <w:jc w:val="center"/>
              <w:rPr>
                <w:rFonts w:hint="eastAsia" w:ascii="Times New Roman" w:hAnsi="Times New Roman" w:eastAsia="宋体" w:cs="Times New Roman"/>
                <w:b/>
                <w:kern w:val="2"/>
                <w:sz w:val="18"/>
                <w:szCs w:val="18"/>
                <w:lang w:val="en-US" w:eastAsia="zh-CN" w:bidi="ar-SA"/>
              </w:rPr>
            </w:pPr>
            <w:r>
              <w:rPr>
                <w:rFonts w:hint="eastAsia" w:ascii="Times New Roman" w:hAnsi="Times New Roman" w:eastAsia="宋体" w:cs="Times New Roman"/>
                <w:b/>
                <w:sz w:val="18"/>
                <w:szCs w:val="18"/>
                <w:lang w:val="en-US" w:eastAsia="zh-CN"/>
              </w:rPr>
              <w:t>Role in synthesis</w:t>
            </w:r>
          </w:p>
        </w:tc>
      </w:tr>
      <w:tr w14:paraId="4BCB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8" w:type="dxa"/>
            <w:tcBorders>
              <w:top w:val="single" w:color="auto" w:sz="4" w:space="0"/>
              <w:left w:val="nil"/>
              <w:bottom w:val="nil"/>
              <w:right w:val="nil"/>
            </w:tcBorders>
            <w:shd w:val="clear" w:color="auto" w:fill="auto"/>
            <w:vAlign w:val="center"/>
          </w:tcPr>
          <w:p w14:paraId="487E6EA5">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Lyu 2020</w:t>
            </w:r>
          </w:p>
        </w:tc>
        <w:tc>
          <w:tcPr>
            <w:tcW w:w="1745" w:type="dxa"/>
            <w:tcBorders>
              <w:top w:val="single" w:color="auto" w:sz="4" w:space="0"/>
              <w:left w:val="nil"/>
              <w:bottom w:val="nil"/>
              <w:right w:val="nil"/>
            </w:tcBorders>
            <w:shd w:val="clear" w:color="auto" w:fill="auto"/>
            <w:vAlign w:val="center"/>
          </w:tcPr>
          <w:p w14:paraId="52FBDE89">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Any adverse events</w:t>
            </w:r>
          </w:p>
        </w:tc>
        <w:tc>
          <w:tcPr>
            <w:tcW w:w="1336" w:type="dxa"/>
            <w:tcBorders>
              <w:top w:val="single" w:color="auto" w:sz="4" w:space="0"/>
              <w:left w:val="nil"/>
              <w:bottom w:val="nil"/>
              <w:right w:val="nil"/>
            </w:tcBorders>
            <w:shd w:val="clear" w:color="auto" w:fill="auto"/>
            <w:vAlign w:val="center"/>
          </w:tcPr>
          <w:p w14:paraId="19685EAB">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0/41 (0.0%)</w:t>
            </w:r>
          </w:p>
        </w:tc>
        <w:tc>
          <w:tcPr>
            <w:tcW w:w="2143" w:type="dxa"/>
            <w:tcBorders>
              <w:top w:val="single" w:color="auto" w:sz="4" w:space="0"/>
              <w:left w:val="nil"/>
              <w:bottom w:val="nil"/>
              <w:right w:val="nil"/>
            </w:tcBorders>
            <w:shd w:val="clear" w:color="auto" w:fill="auto"/>
            <w:vAlign w:val="center"/>
          </w:tcPr>
          <w:p w14:paraId="590B8512">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0/39 (0.0%)</w:t>
            </w:r>
          </w:p>
        </w:tc>
        <w:tc>
          <w:tcPr>
            <w:tcW w:w="1949" w:type="dxa"/>
            <w:tcBorders>
              <w:top w:val="single" w:color="auto" w:sz="4" w:space="0"/>
              <w:left w:val="nil"/>
              <w:bottom w:val="nil"/>
              <w:right w:val="nil"/>
            </w:tcBorders>
            <w:shd w:val="clear" w:color="auto" w:fill="auto"/>
            <w:vAlign w:val="center"/>
          </w:tcPr>
          <w:p w14:paraId="4E98D196">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Not specifically reported</w:t>
            </w:r>
          </w:p>
        </w:tc>
        <w:tc>
          <w:tcPr>
            <w:tcW w:w="2490" w:type="dxa"/>
            <w:tcBorders>
              <w:top w:val="single" w:color="auto" w:sz="4" w:space="0"/>
              <w:left w:val="nil"/>
              <w:bottom w:val="nil"/>
              <w:right w:val="nil"/>
            </w:tcBorders>
            <w:shd w:val="clear" w:color="auto" w:fill="auto"/>
            <w:vAlign w:val="center"/>
          </w:tcPr>
          <w:p w14:paraId="256D0203">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 adverse reactions reported</w:t>
            </w:r>
          </w:p>
        </w:tc>
        <w:tc>
          <w:tcPr>
            <w:tcW w:w="1475" w:type="dxa"/>
            <w:tcBorders>
              <w:top w:val="single" w:color="auto" w:sz="4" w:space="0"/>
              <w:left w:val="nil"/>
              <w:bottom w:val="nil"/>
              <w:right w:val="nil"/>
            </w:tcBorders>
            <w:shd w:val="clear" w:color="auto" w:fill="auto"/>
            <w:vAlign w:val="center"/>
          </w:tcPr>
          <w:p w14:paraId="4B32F8AD">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Not estimable because of zero events in both groups</w:t>
            </w:r>
          </w:p>
        </w:tc>
        <w:tc>
          <w:tcPr>
            <w:tcW w:w="2330" w:type="dxa"/>
            <w:tcBorders>
              <w:top w:val="single" w:color="auto" w:sz="4" w:space="0"/>
              <w:left w:val="nil"/>
              <w:bottom w:val="nil"/>
              <w:right w:val="nil"/>
            </w:tcBorders>
            <w:shd w:val="clear" w:color="auto" w:fill="auto"/>
            <w:vAlign w:val="center"/>
          </w:tcPr>
          <w:p w14:paraId="2B588CA3">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Overall adverse-event descriptive synthesis</w:t>
            </w:r>
          </w:p>
        </w:tc>
      </w:tr>
      <w:tr w14:paraId="7685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8" w:type="dxa"/>
            <w:tcBorders>
              <w:top w:val="nil"/>
              <w:left w:val="nil"/>
              <w:bottom w:val="nil"/>
              <w:right w:val="nil"/>
            </w:tcBorders>
            <w:shd w:val="clear" w:color="auto" w:fill="auto"/>
            <w:vAlign w:val="center"/>
          </w:tcPr>
          <w:p w14:paraId="7B62CCC3">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Shang 2024</w:t>
            </w:r>
          </w:p>
        </w:tc>
        <w:tc>
          <w:tcPr>
            <w:tcW w:w="1745" w:type="dxa"/>
            <w:tcBorders>
              <w:top w:val="nil"/>
              <w:left w:val="nil"/>
              <w:bottom w:val="nil"/>
              <w:right w:val="nil"/>
            </w:tcBorders>
            <w:shd w:val="clear" w:color="auto" w:fill="auto"/>
            <w:vAlign w:val="center"/>
          </w:tcPr>
          <w:p w14:paraId="6B8A4312">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Any adverse events</w:t>
            </w:r>
          </w:p>
        </w:tc>
        <w:tc>
          <w:tcPr>
            <w:tcW w:w="1336" w:type="dxa"/>
            <w:tcBorders>
              <w:top w:val="nil"/>
              <w:left w:val="nil"/>
              <w:bottom w:val="nil"/>
              <w:right w:val="nil"/>
            </w:tcBorders>
            <w:shd w:val="clear" w:color="auto" w:fill="auto"/>
            <w:vAlign w:val="center"/>
          </w:tcPr>
          <w:p w14:paraId="70A1E3EE">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0/30 (0.0%)</w:t>
            </w:r>
          </w:p>
        </w:tc>
        <w:tc>
          <w:tcPr>
            <w:tcW w:w="2143" w:type="dxa"/>
            <w:tcBorders>
              <w:top w:val="nil"/>
              <w:left w:val="nil"/>
              <w:bottom w:val="nil"/>
              <w:right w:val="nil"/>
            </w:tcBorders>
            <w:shd w:val="clear" w:color="auto" w:fill="auto"/>
            <w:vAlign w:val="center"/>
          </w:tcPr>
          <w:p w14:paraId="6A2EEFA4">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0/30 (0.0%)</w:t>
            </w:r>
          </w:p>
        </w:tc>
        <w:tc>
          <w:tcPr>
            <w:tcW w:w="1949" w:type="dxa"/>
            <w:tcBorders>
              <w:top w:val="nil"/>
              <w:left w:val="nil"/>
              <w:bottom w:val="nil"/>
              <w:right w:val="nil"/>
            </w:tcBorders>
            <w:shd w:val="clear" w:color="auto" w:fill="auto"/>
            <w:vAlign w:val="center"/>
          </w:tcPr>
          <w:p w14:paraId="06B29668">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Not specifically reported</w:t>
            </w:r>
          </w:p>
        </w:tc>
        <w:tc>
          <w:tcPr>
            <w:tcW w:w="2490" w:type="dxa"/>
            <w:tcBorders>
              <w:top w:val="nil"/>
              <w:left w:val="nil"/>
              <w:bottom w:val="nil"/>
              <w:right w:val="nil"/>
            </w:tcBorders>
            <w:shd w:val="clear" w:color="auto" w:fill="auto"/>
            <w:vAlign w:val="center"/>
          </w:tcPr>
          <w:p w14:paraId="2A59F4B9">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 adverse events reported</w:t>
            </w:r>
          </w:p>
        </w:tc>
        <w:tc>
          <w:tcPr>
            <w:tcW w:w="1475" w:type="dxa"/>
            <w:tcBorders>
              <w:top w:val="nil"/>
              <w:left w:val="nil"/>
              <w:bottom w:val="nil"/>
              <w:right w:val="nil"/>
            </w:tcBorders>
            <w:shd w:val="clear" w:color="auto" w:fill="auto"/>
            <w:vAlign w:val="center"/>
          </w:tcPr>
          <w:p w14:paraId="41301CD7">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Not estimable because of zero events in both groups</w:t>
            </w:r>
          </w:p>
        </w:tc>
        <w:tc>
          <w:tcPr>
            <w:tcW w:w="2330" w:type="dxa"/>
            <w:tcBorders>
              <w:top w:val="nil"/>
              <w:left w:val="nil"/>
              <w:bottom w:val="nil"/>
              <w:right w:val="nil"/>
            </w:tcBorders>
            <w:shd w:val="clear" w:color="auto" w:fill="auto"/>
            <w:vAlign w:val="center"/>
          </w:tcPr>
          <w:p w14:paraId="0090042E">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Overall adverse-event descriptive synthesis</w:t>
            </w:r>
          </w:p>
        </w:tc>
      </w:tr>
      <w:tr w14:paraId="4026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8" w:type="dxa"/>
            <w:tcBorders>
              <w:top w:val="nil"/>
              <w:left w:val="nil"/>
              <w:bottom w:val="nil"/>
              <w:right w:val="nil"/>
            </w:tcBorders>
            <w:shd w:val="clear" w:color="auto" w:fill="auto"/>
            <w:vAlign w:val="center"/>
          </w:tcPr>
          <w:p w14:paraId="637440F2">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Dolatkhah 2024</w:t>
            </w:r>
          </w:p>
        </w:tc>
        <w:tc>
          <w:tcPr>
            <w:tcW w:w="1745" w:type="dxa"/>
            <w:tcBorders>
              <w:top w:val="nil"/>
              <w:left w:val="nil"/>
              <w:bottom w:val="nil"/>
              <w:right w:val="nil"/>
            </w:tcBorders>
            <w:shd w:val="clear" w:color="auto" w:fill="auto"/>
            <w:vAlign w:val="center"/>
          </w:tcPr>
          <w:p w14:paraId="3D61AA70">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Any adverse events</w:t>
            </w:r>
          </w:p>
        </w:tc>
        <w:tc>
          <w:tcPr>
            <w:tcW w:w="1336" w:type="dxa"/>
            <w:tcBorders>
              <w:top w:val="nil"/>
              <w:left w:val="nil"/>
              <w:bottom w:val="nil"/>
              <w:right w:val="nil"/>
            </w:tcBorders>
            <w:shd w:val="clear" w:color="auto" w:fill="auto"/>
            <w:vAlign w:val="center"/>
          </w:tcPr>
          <w:p w14:paraId="5D470FA5">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2/32 (6.3%)</w:t>
            </w:r>
          </w:p>
        </w:tc>
        <w:tc>
          <w:tcPr>
            <w:tcW w:w="2143" w:type="dxa"/>
            <w:tcBorders>
              <w:top w:val="nil"/>
              <w:left w:val="nil"/>
              <w:bottom w:val="nil"/>
              <w:right w:val="nil"/>
            </w:tcBorders>
            <w:shd w:val="clear" w:color="auto" w:fill="auto"/>
            <w:vAlign w:val="center"/>
          </w:tcPr>
          <w:p w14:paraId="205C3574">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3/31 (9.7%)</w:t>
            </w:r>
          </w:p>
        </w:tc>
        <w:tc>
          <w:tcPr>
            <w:tcW w:w="1949" w:type="dxa"/>
            <w:tcBorders>
              <w:top w:val="nil"/>
              <w:left w:val="nil"/>
              <w:bottom w:val="nil"/>
              <w:right w:val="nil"/>
            </w:tcBorders>
            <w:shd w:val="clear" w:color="auto" w:fill="auto"/>
            <w:vAlign w:val="center"/>
          </w:tcPr>
          <w:p w14:paraId="49B02A14">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 serious adverse events reported</w:t>
            </w:r>
          </w:p>
        </w:tc>
        <w:tc>
          <w:tcPr>
            <w:tcW w:w="2490" w:type="dxa"/>
            <w:tcBorders>
              <w:top w:val="nil"/>
              <w:left w:val="nil"/>
              <w:bottom w:val="nil"/>
              <w:right w:val="nil"/>
            </w:tcBorders>
            <w:shd w:val="clear" w:color="auto" w:fill="auto"/>
            <w:vAlign w:val="center"/>
          </w:tcPr>
          <w:p w14:paraId="7E80D558">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Intervention: diarrhea and stomach pain; control: constipation, nausea, and heartburn</w:t>
            </w:r>
          </w:p>
        </w:tc>
        <w:tc>
          <w:tcPr>
            <w:tcW w:w="1475" w:type="dxa"/>
            <w:tcBorders>
              <w:top w:val="nil"/>
              <w:left w:val="nil"/>
              <w:bottom w:val="nil"/>
              <w:right w:val="nil"/>
            </w:tcBorders>
            <w:shd w:val="clear" w:color="auto" w:fill="auto"/>
            <w:vAlign w:val="center"/>
          </w:tcPr>
          <w:p w14:paraId="678D4274">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RR = 0.65 (95% CI 0.12–3.61)</w:t>
            </w:r>
          </w:p>
        </w:tc>
        <w:tc>
          <w:tcPr>
            <w:tcW w:w="2330" w:type="dxa"/>
            <w:tcBorders>
              <w:top w:val="nil"/>
              <w:left w:val="nil"/>
              <w:bottom w:val="nil"/>
              <w:right w:val="nil"/>
            </w:tcBorders>
            <w:shd w:val="clear" w:color="auto" w:fill="auto"/>
            <w:vAlign w:val="center"/>
          </w:tcPr>
          <w:p w14:paraId="03FE3215">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Only study providing an estimable relative effect; no meta-analysis performed</w:t>
            </w:r>
          </w:p>
        </w:tc>
      </w:tr>
      <w:tr w14:paraId="3381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8" w:type="dxa"/>
            <w:tcBorders>
              <w:top w:val="nil"/>
              <w:left w:val="nil"/>
              <w:bottom w:val="nil"/>
              <w:right w:val="nil"/>
            </w:tcBorders>
            <w:shd w:val="clear" w:color="auto" w:fill="auto"/>
            <w:vAlign w:val="center"/>
          </w:tcPr>
          <w:p w14:paraId="0A92BACF">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Shine 2025</w:t>
            </w:r>
          </w:p>
        </w:tc>
        <w:tc>
          <w:tcPr>
            <w:tcW w:w="1745" w:type="dxa"/>
            <w:tcBorders>
              <w:top w:val="nil"/>
              <w:left w:val="nil"/>
              <w:bottom w:val="nil"/>
              <w:right w:val="nil"/>
            </w:tcBorders>
            <w:shd w:val="clear" w:color="auto" w:fill="auto"/>
            <w:vAlign w:val="center"/>
          </w:tcPr>
          <w:p w14:paraId="325A5AE4">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Any adverse events</w:t>
            </w:r>
          </w:p>
        </w:tc>
        <w:tc>
          <w:tcPr>
            <w:tcW w:w="1336" w:type="dxa"/>
            <w:tcBorders>
              <w:top w:val="nil"/>
              <w:left w:val="nil"/>
              <w:bottom w:val="nil"/>
              <w:right w:val="nil"/>
            </w:tcBorders>
            <w:shd w:val="clear" w:color="auto" w:fill="auto"/>
            <w:vAlign w:val="center"/>
          </w:tcPr>
          <w:p w14:paraId="65BF9BAE">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0/50 (0.0%)</w:t>
            </w:r>
          </w:p>
        </w:tc>
        <w:tc>
          <w:tcPr>
            <w:tcW w:w="2143" w:type="dxa"/>
            <w:tcBorders>
              <w:top w:val="nil"/>
              <w:left w:val="nil"/>
              <w:bottom w:val="nil"/>
              <w:right w:val="nil"/>
            </w:tcBorders>
            <w:shd w:val="clear" w:color="auto" w:fill="auto"/>
            <w:vAlign w:val="center"/>
          </w:tcPr>
          <w:p w14:paraId="04F964BE">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0/50 (0.0%)</w:t>
            </w:r>
          </w:p>
        </w:tc>
        <w:tc>
          <w:tcPr>
            <w:tcW w:w="1949" w:type="dxa"/>
            <w:tcBorders>
              <w:top w:val="nil"/>
              <w:left w:val="nil"/>
              <w:bottom w:val="nil"/>
              <w:right w:val="nil"/>
            </w:tcBorders>
            <w:shd w:val="clear" w:color="auto" w:fill="auto"/>
            <w:vAlign w:val="center"/>
          </w:tcPr>
          <w:p w14:paraId="10DFAD47">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 serious adverse events reported</w:t>
            </w:r>
          </w:p>
        </w:tc>
        <w:tc>
          <w:tcPr>
            <w:tcW w:w="2490" w:type="dxa"/>
            <w:tcBorders>
              <w:top w:val="nil"/>
              <w:left w:val="nil"/>
              <w:bottom w:val="nil"/>
              <w:right w:val="nil"/>
            </w:tcBorders>
            <w:shd w:val="clear" w:color="auto" w:fill="auto"/>
            <w:vAlign w:val="center"/>
          </w:tcPr>
          <w:p w14:paraId="022E30E9">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 adverse events or serious adverse events reported</w:t>
            </w:r>
          </w:p>
        </w:tc>
        <w:tc>
          <w:tcPr>
            <w:tcW w:w="1475" w:type="dxa"/>
            <w:tcBorders>
              <w:top w:val="nil"/>
              <w:left w:val="nil"/>
              <w:bottom w:val="nil"/>
              <w:right w:val="nil"/>
            </w:tcBorders>
            <w:shd w:val="clear" w:color="auto" w:fill="auto"/>
            <w:vAlign w:val="center"/>
          </w:tcPr>
          <w:p w14:paraId="69A3A0D5">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Not estimable because of zero events in both groups</w:t>
            </w:r>
          </w:p>
        </w:tc>
        <w:tc>
          <w:tcPr>
            <w:tcW w:w="2330" w:type="dxa"/>
            <w:tcBorders>
              <w:top w:val="nil"/>
              <w:left w:val="nil"/>
              <w:bottom w:val="nil"/>
              <w:right w:val="nil"/>
            </w:tcBorders>
            <w:shd w:val="clear" w:color="auto" w:fill="auto"/>
            <w:vAlign w:val="center"/>
          </w:tcPr>
          <w:p w14:paraId="0F062E76">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Overall adverse-event descriptive synthesis</w:t>
            </w:r>
          </w:p>
        </w:tc>
      </w:tr>
      <w:tr w14:paraId="5AAB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8" w:type="dxa"/>
            <w:tcBorders>
              <w:top w:val="nil"/>
              <w:left w:val="nil"/>
              <w:bottom w:val="nil"/>
              <w:right w:val="nil"/>
            </w:tcBorders>
            <w:shd w:val="clear" w:color="auto" w:fill="auto"/>
            <w:vAlign w:val="center"/>
          </w:tcPr>
          <w:p w14:paraId="51EC3881">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Karim 2026</w:t>
            </w:r>
          </w:p>
        </w:tc>
        <w:tc>
          <w:tcPr>
            <w:tcW w:w="1745" w:type="dxa"/>
            <w:tcBorders>
              <w:top w:val="nil"/>
              <w:left w:val="nil"/>
              <w:bottom w:val="nil"/>
              <w:right w:val="nil"/>
            </w:tcBorders>
            <w:shd w:val="clear" w:color="auto" w:fill="auto"/>
            <w:vAlign w:val="center"/>
          </w:tcPr>
          <w:p w14:paraId="5FA97C50">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Any adverse events</w:t>
            </w:r>
          </w:p>
        </w:tc>
        <w:tc>
          <w:tcPr>
            <w:tcW w:w="1336" w:type="dxa"/>
            <w:tcBorders>
              <w:top w:val="nil"/>
              <w:left w:val="nil"/>
              <w:bottom w:val="nil"/>
              <w:right w:val="nil"/>
            </w:tcBorders>
            <w:shd w:val="clear" w:color="auto" w:fill="auto"/>
            <w:vAlign w:val="center"/>
          </w:tcPr>
          <w:p w14:paraId="3018EF0E">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0/54 (0.0%)</w:t>
            </w:r>
          </w:p>
        </w:tc>
        <w:tc>
          <w:tcPr>
            <w:tcW w:w="2143" w:type="dxa"/>
            <w:tcBorders>
              <w:top w:val="nil"/>
              <w:left w:val="nil"/>
              <w:bottom w:val="nil"/>
              <w:right w:val="nil"/>
            </w:tcBorders>
            <w:shd w:val="clear" w:color="auto" w:fill="auto"/>
            <w:vAlign w:val="center"/>
          </w:tcPr>
          <w:p w14:paraId="1CB55C86">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0/56 (0.0%)</w:t>
            </w:r>
          </w:p>
        </w:tc>
        <w:tc>
          <w:tcPr>
            <w:tcW w:w="1949" w:type="dxa"/>
            <w:tcBorders>
              <w:top w:val="nil"/>
              <w:left w:val="nil"/>
              <w:bottom w:val="nil"/>
              <w:right w:val="nil"/>
            </w:tcBorders>
            <w:shd w:val="clear" w:color="auto" w:fill="auto"/>
            <w:vAlign w:val="center"/>
          </w:tcPr>
          <w:p w14:paraId="1E9511D9">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None reported</w:t>
            </w:r>
          </w:p>
        </w:tc>
        <w:tc>
          <w:tcPr>
            <w:tcW w:w="2490" w:type="dxa"/>
            <w:tcBorders>
              <w:top w:val="nil"/>
              <w:left w:val="nil"/>
              <w:bottom w:val="nil"/>
              <w:right w:val="nil"/>
            </w:tcBorders>
            <w:shd w:val="clear" w:color="auto" w:fill="auto"/>
            <w:vAlign w:val="center"/>
          </w:tcPr>
          <w:p w14:paraId="638522DD">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 adverse reactions or safety concerns reported</w:t>
            </w:r>
          </w:p>
        </w:tc>
        <w:tc>
          <w:tcPr>
            <w:tcW w:w="1475" w:type="dxa"/>
            <w:tcBorders>
              <w:top w:val="nil"/>
              <w:left w:val="nil"/>
              <w:bottom w:val="nil"/>
              <w:right w:val="nil"/>
            </w:tcBorders>
            <w:shd w:val="clear" w:color="auto" w:fill="auto"/>
            <w:vAlign w:val="center"/>
          </w:tcPr>
          <w:p w14:paraId="2A75D7F2">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Not estimable because of zero events in both groups</w:t>
            </w:r>
          </w:p>
        </w:tc>
        <w:tc>
          <w:tcPr>
            <w:tcW w:w="2330" w:type="dxa"/>
            <w:tcBorders>
              <w:top w:val="nil"/>
              <w:left w:val="nil"/>
              <w:bottom w:val="nil"/>
              <w:right w:val="nil"/>
            </w:tcBorders>
            <w:shd w:val="clear" w:color="auto" w:fill="auto"/>
            <w:vAlign w:val="center"/>
          </w:tcPr>
          <w:p w14:paraId="60D3A6AC">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Overall adverse-event descriptive synthesis</w:t>
            </w:r>
          </w:p>
        </w:tc>
      </w:tr>
      <w:tr w14:paraId="17AF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8" w:type="dxa"/>
            <w:tcBorders>
              <w:top w:val="nil"/>
              <w:left w:val="nil"/>
              <w:bottom w:val="single" w:color="auto" w:sz="12" w:space="0"/>
              <w:right w:val="nil"/>
            </w:tcBorders>
            <w:shd w:val="clear" w:color="auto" w:fill="auto"/>
            <w:vAlign w:val="center"/>
          </w:tcPr>
          <w:p w14:paraId="38880C43">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Kouraki 2026</w:t>
            </w:r>
          </w:p>
        </w:tc>
        <w:tc>
          <w:tcPr>
            <w:tcW w:w="1745" w:type="dxa"/>
            <w:tcBorders>
              <w:top w:val="nil"/>
              <w:left w:val="nil"/>
              <w:bottom w:val="single" w:color="auto" w:sz="12" w:space="0"/>
              <w:right w:val="nil"/>
            </w:tcBorders>
            <w:shd w:val="clear" w:color="auto" w:fill="auto"/>
            <w:vAlign w:val="center"/>
          </w:tcPr>
          <w:p w14:paraId="1E46CFD9">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Minor gastrointestinal adverse events</w:t>
            </w:r>
          </w:p>
        </w:tc>
        <w:tc>
          <w:tcPr>
            <w:tcW w:w="1336" w:type="dxa"/>
            <w:tcBorders>
              <w:top w:val="nil"/>
              <w:left w:val="nil"/>
              <w:bottom w:val="single" w:color="auto" w:sz="12" w:space="0"/>
              <w:right w:val="nil"/>
            </w:tcBorders>
            <w:shd w:val="clear" w:color="auto" w:fill="auto"/>
            <w:vAlign w:val="center"/>
          </w:tcPr>
          <w:p w14:paraId="49B3CC16">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23/50 (46.0%)</w:t>
            </w:r>
          </w:p>
        </w:tc>
        <w:tc>
          <w:tcPr>
            <w:tcW w:w="2143" w:type="dxa"/>
            <w:tcBorders>
              <w:top w:val="nil"/>
              <w:left w:val="nil"/>
              <w:bottom w:val="single" w:color="auto" w:sz="12" w:space="0"/>
              <w:right w:val="nil"/>
            </w:tcBorders>
            <w:shd w:val="clear" w:color="auto" w:fill="auto"/>
            <w:vAlign w:val="center"/>
          </w:tcPr>
          <w:p w14:paraId="3FF5A667">
            <w:pPr>
              <w:snapToGrid w:val="0"/>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0/67 (0.0%)</w:t>
            </w:r>
          </w:p>
        </w:tc>
        <w:tc>
          <w:tcPr>
            <w:tcW w:w="1949" w:type="dxa"/>
            <w:tcBorders>
              <w:top w:val="nil"/>
              <w:left w:val="nil"/>
              <w:bottom w:val="single" w:color="auto" w:sz="12" w:space="0"/>
              <w:right w:val="nil"/>
            </w:tcBorders>
            <w:shd w:val="clear" w:color="auto" w:fill="auto"/>
            <w:vAlign w:val="center"/>
          </w:tcPr>
          <w:p w14:paraId="51D3DC98">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 serious adverse events reported</w:t>
            </w:r>
          </w:p>
        </w:tc>
        <w:tc>
          <w:tcPr>
            <w:tcW w:w="2490" w:type="dxa"/>
            <w:tcBorders>
              <w:top w:val="nil"/>
              <w:left w:val="nil"/>
              <w:bottom w:val="single" w:color="auto" w:sz="12" w:space="0"/>
              <w:right w:val="nil"/>
            </w:tcBorders>
            <w:shd w:val="clear" w:color="auto" w:fill="auto"/>
            <w:vAlign w:val="center"/>
          </w:tcPr>
          <w:p w14:paraId="46811848">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Mild gastrointestinal symptoms, mainly increased flatulence and bloating</w:t>
            </w:r>
          </w:p>
        </w:tc>
        <w:tc>
          <w:tcPr>
            <w:tcW w:w="1475" w:type="dxa"/>
            <w:tcBorders>
              <w:top w:val="nil"/>
              <w:left w:val="nil"/>
              <w:bottom w:val="single" w:color="auto" w:sz="12" w:space="0"/>
              <w:right w:val="nil"/>
            </w:tcBorders>
            <w:shd w:val="clear" w:color="auto" w:fill="auto"/>
            <w:vAlign w:val="center"/>
          </w:tcPr>
          <w:p w14:paraId="1050D6BB">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Not estimated; raw event data reported descriptively</w:t>
            </w:r>
          </w:p>
        </w:tc>
        <w:tc>
          <w:tcPr>
            <w:tcW w:w="2330" w:type="dxa"/>
            <w:tcBorders>
              <w:top w:val="nil"/>
              <w:left w:val="nil"/>
              <w:bottom w:val="single" w:color="auto" w:sz="12" w:space="0"/>
              <w:right w:val="nil"/>
            </w:tcBorders>
            <w:shd w:val="clear" w:color="auto" w:fill="auto"/>
            <w:vAlign w:val="center"/>
          </w:tcPr>
          <w:p w14:paraId="186D342A">
            <w:pPr>
              <w:snapToGrid w:val="0"/>
              <w:ind w:left="0" w:leftChars="0" w:right="0" w:rightChars="0" w:firstLine="0" w:firstLineChars="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Exploratory descriptive analysis of gastrointestinal adverse events</w:t>
            </w:r>
          </w:p>
        </w:tc>
      </w:tr>
    </w:tbl>
    <w:p w14:paraId="5B6E2492">
      <w:pPr>
        <w:rPr>
          <w:rFonts w:hint="eastAsia" w:ascii="Times New Roman" w:hAnsi="Times New Roman" w:eastAsia="宋体" w:cs="Times New Roman"/>
          <w:sz w:val="18"/>
          <w:szCs w:val="18"/>
        </w:rPr>
      </w:pPr>
      <w:r>
        <w:rPr>
          <w:rFonts w:hint="eastAsia" w:ascii="Times New Roman" w:hAnsi="Times New Roman" w:eastAsia="宋体" w:cs="Times New Roman"/>
          <w:b/>
          <w:bCs/>
          <w:sz w:val="18"/>
          <w:szCs w:val="18"/>
        </w:rPr>
        <w:t>Notes:</w:t>
      </w:r>
      <w:r>
        <w:rPr>
          <w:rFonts w:hint="eastAsia" w:ascii="Times New Roman" w:hAnsi="Times New Roman" w:eastAsia="宋体" w:cs="Times New Roman"/>
          <w:sz w:val="18"/>
          <w:szCs w:val="18"/>
        </w:rPr>
        <w:t xml:space="preserve"> AE, adverse event; CI, confidence interval; PSE, physiotherapy-supported exercise; RR, risk ratio. Safety denominators were based on the populations for which adverse-event information was available and may therefore differ from the efficacy-analysis populations. Five studies involving 413 participants reported overall adverse events. Four of these studies reported zero events in both groups and therefore did not provide estimable relative effects. Only Dolatkhah 2024 provided an estimable study-specific RR; consequently, no meta-analysis of overall adverse events was performed. For Kouraki 2026, the inulin-only and inulin-plus-PSE arms were combined as the intervention group, whereas the PSE-only and placebo arms were combined as the non-inulin comparison group. Because Kouraki 2026 reported specifically solicited minor gastrointestinal symptoms within a 2 × 2 factorial design, its findings were summarized separately as an exploratory descriptive analysis and were not combined with studies reporting overall adverse events.</w:t>
      </w:r>
    </w:p>
    <w:p w14:paraId="44EF1C01">
      <w:pPr>
        <w:widowControl/>
        <w:jc w:val="left"/>
        <w:rPr>
          <w:rFonts w:ascii="Times New Roman" w:hAnsi="Times New Roman" w:eastAsia="宋体" w:cs="Times New Roman"/>
          <w:b/>
          <w:bCs/>
          <w:sz w:val="24"/>
        </w:rPr>
      </w:pPr>
    </w:p>
    <w:p w14:paraId="1813F9DA">
      <w:pPr>
        <w:widowControl/>
        <w:jc w:val="left"/>
        <w:rPr>
          <w:rFonts w:ascii="Times New Roman" w:hAnsi="Times New Roman" w:eastAsia="宋体" w:cs="Times New Roman"/>
          <w:sz w:val="24"/>
        </w:rPr>
      </w:pPr>
      <w:r>
        <w:rPr>
          <w:rFonts w:ascii="Times New Roman" w:hAnsi="Times New Roman" w:eastAsia="宋体" w:cs="Times New Roman"/>
          <w:b/>
          <w:bCs/>
          <w:sz w:val="24"/>
        </w:rPr>
        <w:t>Supplementary Table S3.</w:t>
      </w:r>
      <w:r>
        <w:rPr>
          <w:rFonts w:ascii="Times New Roman" w:hAnsi="Times New Roman" w:eastAsia="宋体" w:cs="Times New Roman"/>
          <w:sz w:val="24"/>
        </w:rPr>
        <w:t xml:space="preserve"> GRADE summary of the certainty of evidence for primary, key inflammatory, and safety outcomes</w:t>
      </w:r>
    </w:p>
    <w:tbl>
      <w:tblPr>
        <w:tblStyle w:val="6"/>
        <w:tblW w:w="14645"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456"/>
        <w:gridCol w:w="1591"/>
        <w:gridCol w:w="915"/>
        <w:gridCol w:w="1388"/>
        <w:gridCol w:w="1278"/>
        <w:gridCol w:w="1146"/>
        <w:gridCol w:w="1218"/>
        <w:gridCol w:w="964"/>
        <w:gridCol w:w="3754"/>
      </w:tblGrid>
      <w:tr w14:paraId="096F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tcBorders>
              <w:top w:val="single" w:color="auto" w:sz="8" w:space="0"/>
              <w:left w:val="nil"/>
              <w:bottom w:val="single" w:color="auto" w:sz="6" w:space="0"/>
              <w:right w:val="nil"/>
            </w:tcBorders>
            <w:vAlign w:val="center"/>
          </w:tcPr>
          <w:p w14:paraId="5164ECD9">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Outcome</w:t>
            </w:r>
          </w:p>
        </w:tc>
        <w:tc>
          <w:tcPr>
            <w:tcW w:w="1456" w:type="dxa"/>
            <w:tcBorders>
              <w:top w:val="single" w:color="auto" w:sz="8" w:space="0"/>
              <w:left w:val="nil"/>
              <w:bottom w:val="single" w:color="auto" w:sz="6" w:space="0"/>
              <w:right w:val="nil"/>
            </w:tcBorders>
            <w:vAlign w:val="center"/>
          </w:tcPr>
          <w:p w14:paraId="27DF13B4">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Studies / participants</w:t>
            </w:r>
          </w:p>
        </w:tc>
        <w:tc>
          <w:tcPr>
            <w:tcW w:w="1591" w:type="dxa"/>
            <w:tcBorders>
              <w:top w:val="single" w:color="auto" w:sz="8" w:space="0"/>
              <w:left w:val="nil"/>
              <w:bottom w:val="single" w:color="auto" w:sz="6" w:space="0"/>
              <w:right w:val="nil"/>
            </w:tcBorders>
            <w:vAlign w:val="center"/>
          </w:tcPr>
          <w:p w14:paraId="3403B62F">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Effect estimate</w:t>
            </w:r>
          </w:p>
        </w:tc>
        <w:tc>
          <w:tcPr>
            <w:tcW w:w="915" w:type="dxa"/>
            <w:tcBorders>
              <w:top w:val="single" w:color="auto" w:sz="8" w:space="0"/>
              <w:left w:val="nil"/>
              <w:bottom w:val="single" w:color="auto" w:sz="6" w:space="0"/>
              <w:right w:val="nil"/>
            </w:tcBorders>
            <w:vAlign w:val="center"/>
          </w:tcPr>
          <w:p w14:paraId="0D710218">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Risk of bias</w:t>
            </w:r>
          </w:p>
        </w:tc>
        <w:tc>
          <w:tcPr>
            <w:tcW w:w="1388" w:type="dxa"/>
            <w:tcBorders>
              <w:top w:val="single" w:color="auto" w:sz="8" w:space="0"/>
              <w:left w:val="nil"/>
              <w:bottom w:val="single" w:color="auto" w:sz="6" w:space="0"/>
              <w:right w:val="nil"/>
            </w:tcBorders>
            <w:vAlign w:val="center"/>
          </w:tcPr>
          <w:p w14:paraId="4369FE1A">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Inconsistency</w:t>
            </w:r>
          </w:p>
        </w:tc>
        <w:tc>
          <w:tcPr>
            <w:tcW w:w="1278" w:type="dxa"/>
            <w:tcBorders>
              <w:top w:val="single" w:color="auto" w:sz="8" w:space="0"/>
              <w:left w:val="nil"/>
              <w:bottom w:val="single" w:color="auto" w:sz="6" w:space="0"/>
              <w:right w:val="nil"/>
            </w:tcBorders>
            <w:vAlign w:val="center"/>
          </w:tcPr>
          <w:p w14:paraId="54460BCD">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Indirectness</w:t>
            </w:r>
          </w:p>
        </w:tc>
        <w:tc>
          <w:tcPr>
            <w:tcW w:w="1146" w:type="dxa"/>
            <w:tcBorders>
              <w:top w:val="single" w:color="auto" w:sz="8" w:space="0"/>
              <w:left w:val="nil"/>
              <w:bottom w:val="single" w:color="auto" w:sz="6" w:space="0"/>
              <w:right w:val="nil"/>
            </w:tcBorders>
            <w:vAlign w:val="center"/>
          </w:tcPr>
          <w:p w14:paraId="1E3FA7F1">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Imprecision</w:t>
            </w:r>
          </w:p>
        </w:tc>
        <w:tc>
          <w:tcPr>
            <w:tcW w:w="1218" w:type="dxa"/>
            <w:tcBorders>
              <w:top w:val="single" w:color="auto" w:sz="8" w:space="0"/>
              <w:left w:val="nil"/>
              <w:bottom w:val="single" w:color="auto" w:sz="6" w:space="0"/>
              <w:right w:val="nil"/>
            </w:tcBorders>
            <w:vAlign w:val="center"/>
          </w:tcPr>
          <w:p w14:paraId="0B1A94AE">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Publication bias</w:t>
            </w:r>
          </w:p>
        </w:tc>
        <w:tc>
          <w:tcPr>
            <w:tcW w:w="964" w:type="dxa"/>
            <w:tcBorders>
              <w:top w:val="single" w:color="auto" w:sz="8" w:space="0"/>
              <w:left w:val="nil"/>
              <w:bottom w:val="single" w:color="auto" w:sz="6" w:space="0"/>
              <w:right w:val="nil"/>
            </w:tcBorders>
            <w:vAlign w:val="center"/>
          </w:tcPr>
          <w:p w14:paraId="15C69FAB">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Certainty of evidence</w:t>
            </w:r>
          </w:p>
        </w:tc>
        <w:tc>
          <w:tcPr>
            <w:tcW w:w="3754" w:type="dxa"/>
            <w:tcBorders>
              <w:top w:val="single" w:color="auto" w:sz="8" w:space="0"/>
              <w:left w:val="nil"/>
              <w:bottom w:val="single" w:color="auto" w:sz="6" w:space="0"/>
              <w:right w:val="nil"/>
            </w:tcBorders>
            <w:vAlign w:val="center"/>
          </w:tcPr>
          <w:p w14:paraId="7FE82F65">
            <w:pPr>
              <w:jc w:val="center"/>
              <w:rPr>
                <w:rFonts w:ascii="Times New Roman" w:hAnsi="Times New Roman" w:eastAsia="宋体" w:cs="Times New Roman"/>
                <w:b/>
                <w:bCs/>
                <w:sz w:val="18"/>
                <w:szCs w:val="18"/>
              </w:rPr>
            </w:pPr>
            <w:r>
              <w:rPr>
                <w:rFonts w:ascii="Times New Roman" w:hAnsi="Times New Roman" w:eastAsia="宋体" w:cs="Times New Roman"/>
                <w:b/>
                <w:bCs/>
                <w:sz w:val="18"/>
                <w:szCs w:val="18"/>
              </w:rPr>
              <w:t>Main reasons</w:t>
            </w:r>
          </w:p>
        </w:tc>
      </w:tr>
      <w:tr w14:paraId="58CC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tcBorders>
              <w:top w:val="single" w:color="auto" w:sz="6" w:space="0"/>
              <w:left w:val="nil"/>
              <w:bottom w:val="nil"/>
              <w:right w:val="nil"/>
            </w:tcBorders>
            <w:vAlign w:val="center"/>
          </w:tcPr>
          <w:p w14:paraId="09EF29E4">
            <w:pPr>
              <w:rPr>
                <w:rFonts w:ascii="Times New Roman" w:hAnsi="Times New Roman" w:eastAsia="宋体" w:cs="Times New Roman"/>
                <w:sz w:val="18"/>
                <w:szCs w:val="18"/>
              </w:rPr>
            </w:pPr>
            <w:r>
              <w:rPr>
                <w:rFonts w:ascii="Times New Roman" w:hAnsi="Times New Roman" w:eastAsia="宋体" w:cs="Times New Roman"/>
                <w:sz w:val="18"/>
                <w:szCs w:val="18"/>
              </w:rPr>
              <w:t>Pain intensity</w:t>
            </w:r>
          </w:p>
        </w:tc>
        <w:tc>
          <w:tcPr>
            <w:tcW w:w="1456" w:type="dxa"/>
            <w:tcBorders>
              <w:top w:val="single" w:color="auto" w:sz="6" w:space="0"/>
              <w:left w:val="nil"/>
              <w:bottom w:val="nil"/>
              <w:right w:val="nil"/>
            </w:tcBorders>
            <w:vAlign w:val="center"/>
          </w:tcPr>
          <w:p w14:paraId="3726C793">
            <w:pPr>
              <w:jc w:val="left"/>
              <w:rPr>
                <w:rFonts w:ascii="Times New Roman" w:hAnsi="Times New Roman" w:eastAsia="宋体" w:cs="Times New Roman"/>
                <w:sz w:val="18"/>
                <w:szCs w:val="18"/>
              </w:rPr>
            </w:pPr>
            <w:r>
              <w:rPr>
                <w:rFonts w:ascii="Times New Roman" w:hAnsi="Times New Roman" w:eastAsia="宋体" w:cs="Times New Roman"/>
                <w:sz w:val="18"/>
                <w:szCs w:val="18"/>
              </w:rPr>
              <w:t>8 studies / 662 participants</w:t>
            </w:r>
          </w:p>
        </w:tc>
        <w:tc>
          <w:tcPr>
            <w:tcW w:w="1591" w:type="dxa"/>
            <w:tcBorders>
              <w:top w:val="single" w:color="auto" w:sz="6" w:space="0"/>
              <w:left w:val="nil"/>
              <w:bottom w:val="nil"/>
              <w:right w:val="nil"/>
            </w:tcBorders>
            <w:vAlign w:val="center"/>
          </w:tcPr>
          <w:p w14:paraId="65C331A2">
            <w:pPr>
              <w:jc w:val="left"/>
              <w:rPr>
                <w:rFonts w:ascii="Times New Roman" w:hAnsi="Times New Roman" w:eastAsia="宋体" w:cs="Times New Roman"/>
                <w:sz w:val="18"/>
                <w:szCs w:val="18"/>
              </w:rPr>
            </w:pPr>
            <w:r>
              <w:rPr>
                <w:rFonts w:ascii="Times New Roman" w:hAnsi="Times New Roman" w:eastAsia="宋体" w:cs="Times New Roman"/>
                <w:sz w:val="18"/>
                <w:szCs w:val="18"/>
              </w:rPr>
              <w:t>MD = −1.06, 95% CI −1.42 to −0.70; P &lt; 0.001; I² = 0.0%</w:t>
            </w:r>
          </w:p>
        </w:tc>
        <w:tc>
          <w:tcPr>
            <w:tcW w:w="915" w:type="dxa"/>
            <w:tcBorders>
              <w:top w:val="single" w:color="auto" w:sz="6" w:space="0"/>
              <w:left w:val="nil"/>
              <w:bottom w:val="nil"/>
              <w:right w:val="nil"/>
            </w:tcBorders>
            <w:vAlign w:val="center"/>
          </w:tcPr>
          <w:p w14:paraId="0C540EE3">
            <w:pPr>
              <w:rPr>
                <w:rFonts w:ascii="Times New Roman" w:hAnsi="Times New Roman" w:eastAsia="宋体" w:cs="Times New Roman"/>
                <w:sz w:val="18"/>
                <w:szCs w:val="18"/>
              </w:rPr>
            </w:pPr>
            <w:r>
              <w:rPr>
                <w:rFonts w:ascii="Times New Roman" w:hAnsi="Times New Roman" w:eastAsia="宋体" w:cs="Times New Roman"/>
                <w:sz w:val="18"/>
                <w:szCs w:val="18"/>
              </w:rPr>
              <w:t>Serious</w:t>
            </w:r>
          </w:p>
        </w:tc>
        <w:tc>
          <w:tcPr>
            <w:tcW w:w="1388" w:type="dxa"/>
            <w:tcBorders>
              <w:top w:val="single" w:color="auto" w:sz="6" w:space="0"/>
              <w:left w:val="nil"/>
              <w:bottom w:val="nil"/>
              <w:right w:val="nil"/>
            </w:tcBorders>
            <w:vAlign w:val="center"/>
          </w:tcPr>
          <w:p w14:paraId="0FCBD7AF">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278" w:type="dxa"/>
            <w:tcBorders>
              <w:top w:val="single" w:color="auto" w:sz="6" w:space="0"/>
              <w:left w:val="nil"/>
              <w:bottom w:val="nil"/>
              <w:right w:val="nil"/>
            </w:tcBorders>
            <w:vAlign w:val="center"/>
          </w:tcPr>
          <w:p w14:paraId="1A1E176A">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146" w:type="dxa"/>
            <w:tcBorders>
              <w:top w:val="single" w:color="auto" w:sz="6" w:space="0"/>
              <w:left w:val="nil"/>
              <w:bottom w:val="nil"/>
              <w:right w:val="nil"/>
            </w:tcBorders>
            <w:vAlign w:val="center"/>
          </w:tcPr>
          <w:p w14:paraId="0F74F1E3">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218" w:type="dxa"/>
            <w:tcBorders>
              <w:top w:val="single" w:color="auto" w:sz="6" w:space="0"/>
              <w:left w:val="nil"/>
              <w:bottom w:val="nil"/>
              <w:right w:val="nil"/>
            </w:tcBorders>
            <w:vAlign w:val="center"/>
          </w:tcPr>
          <w:p w14:paraId="147043AB">
            <w:pPr>
              <w:rPr>
                <w:rFonts w:ascii="Times New Roman" w:hAnsi="Times New Roman" w:eastAsia="宋体" w:cs="Times New Roman"/>
                <w:sz w:val="18"/>
                <w:szCs w:val="18"/>
              </w:rPr>
            </w:pPr>
            <w:r>
              <w:rPr>
                <w:rFonts w:ascii="Times New Roman" w:hAnsi="Times New Roman" w:eastAsia="宋体" w:cs="Times New Roman"/>
                <w:sz w:val="18"/>
                <w:szCs w:val="18"/>
              </w:rPr>
              <w:t>Not assessed (&lt;10 studies)</w:t>
            </w:r>
          </w:p>
        </w:tc>
        <w:tc>
          <w:tcPr>
            <w:tcW w:w="964" w:type="dxa"/>
            <w:tcBorders>
              <w:top w:val="single" w:color="auto" w:sz="6" w:space="0"/>
              <w:left w:val="nil"/>
              <w:bottom w:val="nil"/>
              <w:right w:val="nil"/>
            </w:tcBorders>
            <w:vAlign w:val="center"/>
          </w:tcPr>
          <w:p w14:paraId="31E0C56C">
            <w:pPr>
              <w:rPr>
                <w:rFonts w:ascii="Times New Roman" w:hAnsi="Times New Roman" w:eastAsia="宋体" w:cs="Times New Roman"/>
                <w:sz w:val="18"/>
                <w:szCs w:val="18"/>
              </w:rPr>
            </w:pPr>
            <w:r>
              <w:rPr>
                <w:rFonts w:ascii="Times New Roman" w:hAnsi="Times New Roman" w:eastAsia="宋体" w:cs="Times New Roman"/>
                <w:sz w:val="18"/>
                <w:szCs w:val="18"/>
              </w:rPr>
              <w:t>Moderate</w:t>
            </w:r>
          </w:p>
        </w:tc>
        <w:tc>
          <w:tcPr>
            <w:tcW w:w="3754" w:type="dxa"/>
            <w:tcBorders>
              <w:top w:val="single" w:color="auto" w:sz="6" w:space="0"/>
              <w:left w:val="nil"/>
              <w:bottom w:val="nil"/>
              <w:right w:val="nil"/>
            </w:tcBorders>
            <w:vAlign w:val="center"/>
          </w:tcPr>
          <w:p w14:paraId="170292F5">
            <w:pPr>
              <w:jc w:val="left"/>
              <w:rPr>
                <w:rFonts w:ascii="Times New Roman" w:hAnsi="Times New Roman" w:eastAsia="宋体" w:cs="Times New Roman"/>
                <w:sz w:val="18"/>
                <w:szCs w:val="18"/>
              </w:rPr>
            </w:pPr>
            <w:r>
              <w:rPr>
                <w:rFonts w:ascii="Times New Roman" w:hAnsi="Times New Roman" w:eastAsia="宋体" w:cs="Times New Roman"/>
                <w:sz w:val="18"/>
                <w:szCs w:val="18"/>
              </w:rPr>
              <w:t>Downgraded one level for risk-of-bias concerns in some included studies that could have affected the pooled estimate.</w:t>
            </w:r>
          </w:p>
        </w:tc>
      </w:tr>
      <w:tr w14:paraId="539B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tcBorders>
              <w:top w:val="nil"/>
              <w:left w:val="nil"/>
              <w:bottom w:val="nil"/>
              <w:right w:val="nil"/>
            </w:tcBorders>
            <w:vAlign w:val="center"/>
          </w:tcPr>
          <w:p w14:paraId="39AB412E">
            <w:pPr>
              <w:rPr>
                <w:rFonts w:ascii="Times New Roman" w:hAnsi="Times New Roman" w:eastAsia="宋体" w:cs="Times New Roman"/>
                <w:sz w:val="18"/>
                <w:szCs w:val="18"/>
              </w:rPr>
            </w:pPr>
            <w:r>
              <w:rPr>
                <w:rFonts w:ascii="Times New Roman" w:hAnsi="Times New Roman" w:eastAsia="宋体" w:cs="Times New Roman"/>
                <w:sz w:val="18"/>
                <w:szCs w:val="18"/>
              </w:rPr>
              <w:t>WOMAC total score</w:t>
            </w:r>
          </w:p>
        </w:tc>
        <w:tc>
          <w:tcPr>
            <w:tcW w:w="1456" w:type="dxa"/>
            <w:tcBorders>
              <w:top w:val="nil"/>
              <w:left w:val="nil"/>
              <w:bottom w:val="nil"/>
              <w:right w:val="nil"/>
            </w:tcBorders>
            <w:vAlign w:val="center"/>
          </w:tcPr>
          <w:p w14:paraId="79F052B5">
            <w:pPr>
              <w:jc w:val="left"/>
              <w:rPr>
                <w:rFonts w:ascii="Times New Roman" w:hAnsi="Times New Roman" w:eastAsia="宋体" w:cs="Times New Roman"/>
                <w:sz w:val="18"/>
                <w:szCs w:val="18"/>
              </w:rPr>
            </w:pPr>
            <w:r>
              <w:rPr>
                <w:rFonts w:ascii="Times New Roman" w:hAnsi="Times New Roman" w:eastAsia="宋体" w:cs="Times New Roman"/>
                <w:sz w:val="18"/>
                <w:szCs w:val="18"/>
              </w:rPr>
              <w:t>4 studies / 677 participants</w:t>
            </w:r>
          </w:p>
        </w:tc>
        <w:tc>
          <w:tcPr>
            <w:tcW w:w="1591" w:type="dxa"/>
            <w:tcBorders>
              <w:top w:val="nil"/>
              <w:left w:val="nil"/>
              <w:bottom w:val="nil"/>
              <w:right w:val="nil"/>
            </w:tcBorders>
            <w:vAlign w:val="center"/>
          </w:tcPr>
          <w:p w14:paraId="13A1D128">
            <w:pPr>
              <w:jc w:val="left"/>
              <w:rPr>
                <w:rFonts w:ascii="Times New Roman" w:hAnsi="Times New Roman" w:eastAsia="宋体" w:cs="Times New Roman"/>
                <w:sz w:val="18"/>
                <w:szCs w:val="18"/>
              </w:rPr>
            </w:pPr>
            <w:r>
              <w:rPr>
                <w:rFonts w:ascii="Times New Roman" w:hAnsi="Times New Roman" w:eastAsia="宋体" w:cs="Times New Roman"/>
                <w:sz w:val="18"/>
                <w:szCs w:val="18"/>
              </w:rPr>
              <w:t>MD = −8.05, 95% CI −19.49 to 3.39; P = 0.111; I² = 90.2%</w:t>
            </w:r>
          </w:p>
        </w:tc>
        <w:tc>
          <w:tcPr>
            <w:tcW w:w="915" w:type="dxa"/>
            <w:tcBorders>
              <w:top w:val="nil"/>
              <w:left w:val="nil"/>
              <w:bottom w:val="nil"/>
              <w:right w:val="nil"/>
            </w:tcBorders>
            <w:vAlign w:val="center"/>
          </w:tcPr>
          <w:p w14:paraId="41E1B87C">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388" w:type="dxa"/>
            <w:tcBorders>
              <w:top w:val="nil"/>
              <w:left w:val="nil"/>
              <w:bottom w:val="nil"/>
              <w:right w:val="nil"/>
            </w:tcBorders>
            <w:vAlign w:val="center"/>
          </w:tcPr>
          <w:p w14:paraId="0B6F356E">
            <w:pPr>
              <w:rPr>
                <w:rFonts w:ascii="Times New Roman" w:hAnsi="Times New Roman" w:eastAsia="宋体" w:cs="Times New Roman"/>
                <w:sz w:val="18"/>
                <w:szCs w:val="18"/>
              </w:rPr>
            </w:pPr>
            <w:r>
              <w:rPr>
                <w:rFonts w:ascii="Times New Roman" w:hAnsi="Times New Roman" w:eastAsia="宋体" w:cs="Times New Roman"/>
                <w:sz w:val="18"/>
                <w:szCs w:val="18"/>
              </w:rPr>
              <w:t>Serious</w:t>
            </w:r>
          </w:p>
        </w:tc>
        <w:tc>
          <w:tcPr>
            <w:tcW w:w="1278" w:type="dxa"/>
            <w:tcBorders>
              <w:top w:val="nil"/>
              <w:left w:val="nil"/>
              <w:bottom w:val="nil"/>
              <w:right w:val="nil"/>
            </w:tcBorders>
            <w:vAlign w:val="center"/>
          </w:tcPr>
          <w:p w14:paraId="44618245">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146" w:type="dxa"/>
            <w:tcBorders>
              <w:top w:val="nil"/>
              <w:left w:val="nil"/>
              <w:bottom w:val="nil"/>
              <w:right w:val="nil"/>
            </w:tcBorders>
            <w:vAlign w:val="center"/>
          </w:tcPr>
          <w:p w14:paraId="6BCF6B94">
            <w:pPr>
              <w:rPr>
                <w:rFonts w:ascii="Times New Roman" w:hAnsi="Times New Roman" w:eastAsia="宋体" w:cs="Times New Roman"/>
                <w:sz w:val="18"/>
                <w:szCs w:val="18"/>
              </w:rPr>
            </w:pPr>
            <w:r>
              <w:rPr>
                <w:rFonts w:ascii="Times New Roman" w:hAnsi="Times New Roman" w:eastAsia="宋体" w:cs="Times New Roman"/>
                <w:sz w:val="18"/>
                <w:szCs w:val="18"/>
              </w:rPr>
              <w:t>Serious</w:t>
            </w:r>
          </w:p>
        </w:tc>
        <w:tc>
          <w:tcPr>
            <w:tcW w:w="1218" w:type="dxa"/>
            <w:tcBorders>
              <w:top w:val="nil"/>
              <w:left w:val="nil"/>
              <w:bottom w:val="nil"/>
              <w:right w:val="nil"/>
            </w:tcBorders>
            <w:vAlign w:val="center"/>
          </w:tcPr>
          <w:p w14:paraId="0F5EF6CB">
            <w:pPr>
              <w:rPr>
                <w:rFonts w:ascii="Times New Roman" w:hAnsi="Times New Roman" w:eastAsia="宋体" w:cs="Times New Roman"/>
                <w:sz w:val="18"/>
                <w:szCs w:val="18"/>
              </w:rPr>
            </w:pPr>
            <w:r>
              <w:rPr>
                <w:rFonts w:ascii="Times New Roman" w:hAnsi="Times New Roman" w:eastAsia="宋体" w:cs="Times New Roman"/>
                <w:sz w:val="18"/>
                <w:szCs w:val="18"/>
              </w:rPr>
              <w:t>Not assessed (&lt;10 studies)</w:t>
            </w:r>
          </w:p>
        </w:tc>
        <w:tc>
          <w:tcPr>
            <w:tcW w:w="964" w:type="dxa"/>
            <w:tcBorders>
              <w:top w:val="nil"/>
              <w:left w:val="nil"/>
              <w:bottom w:val="nil"/>
              <w:right w:val="nil"/>
            </w:tcBorders>
            <w:vAlign w:val="center"/>
          </w:tcPr>
          <w:p w14:paraId="492E7E1F">
            <w:pPr>
              <w:rPr>
                <w:rFonts w:ascii="Times New Roman" w:hAnsi="Times New Roman" w:eastAsia="宋体" w:cs="Times New Roman"/>
                <w:sz w:val="18"/>
                <w:szCs w:val="18"/>
              </w:rPr>
            </w:pPr>
            <w:r>
              <w:rPr>
                <w:rFonts w:ascii="Times New Roman" w:hAnsi="Times New Roman" w:eastAsia="宋体" w:cs="Times New Roman"/>
                <w:sz w:val="18"/>
                <w:szCs w:val="18"/>
              </w:rPr>
              <w:t>Low</w:t>
            </w:r>
          </w:p>
        </w:tc>
        <w:tc>
          <w:tcPr>
            <w:tcW w:w="3754" w:type="dxa"/>
            <w:tcBorders>
              <w:top w:val="nil"/>
              <w:left w:val="nil"/>
              <w:bottom w:val="nil"/>
              <w:right w:val="nil"/>
            </w:tcBorders>
            <w:vAlign w:val="center"/>
          </w:tcPr>
          <w:p w14:paraId="17A943D4">
            <w:pPr>
              <w:jc w:val="left"/>
              <w:rPr>
                <w:rFonts w:ascii="Times New Roman" w:hAnsi="Times New Roman" w:eastAsia="宋体" w:cs="Times New Roman"/>
                <w:sz w:val="18"/>
                <w:szCs w:val="18"/>
              </w:rPr>
            </w:pPr>
            <w:r>
              <w:rPr>
                <w:rFonts w:ascii="Times New Roman" w:hAnsi="Times New Roman" w:eastAsia="宋体" w:cs="Times New Roman"/>
                <w:sz w:val="18"/>
                <w:szCs w:val="18"/>
              </w:rPr>
              <w:t>Downgraded one level for serious inconsistency because of substantial unexplained heterogeneity and one level for serious imprecision because the confidence interval was wide and crossed the null effect.</w:t>
            </w:r>
          </w:p>
        </w:tc>
      </w:tr>
      <w:tr w14:paraId="5CA6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tcBorders>
              <w:top w:val="nil"/>
              <w:left w:val="nil"/>
              <w:bottom w:val="nil"/>
              <w:right w:val="nil"/>
            </w:tcBorders>
            <w:vAlign w:val="center"/>
          </w:tcPr>
          <w:p w14:paraId="1F78F826">
            <w:pPr>
              <w:rPr>
                <w:rFonts w:ascii="Times New Roman" w:hAnsi="Times New Roman" w:eastAsia="宋体" w:cs="Times New Roman"/>
                <w:sz w:val="18"/>
                <w:szCs w:val="18"/>
              </w:rPr>
            </w:pPr>
            <w:r>
              <w:rPr>
                <w:rFonts w:ascii="Times New Roman" w:hAnsi="Times New Roman" w:eastAsia="宋体" w:cs="Times New Roman"/>
                <w:sz w:val="18"/>
                <w:szCs w:val="18"/>
              </w:rPr>
              <w:t>CRP/hs-CRP</w:t>
            </w:r>
          </w:p>
        </w:tc>
        <w:tc>
          <w:tcPr>
            <w:tcW w:w="1456" w:type="dxa"/>
            <w:tcBorders>
              <w:top w:val="nil"/>
              <w:left w:val="nil"/>
              <w:bottom w:val="nil"/>
              <w:right w:val="nil"/>
            </w:tcBorders>
            <w:vAlign w:val="center"/>
          </w:tcPr>
          <w:p w14:paraId="7ED491A8">
            <w:pPr>
              <w:jc w:val="left"/>
              <w:rPr>
                <w:rFonts w:ascii="Times New Roman" w:hAnsi="Times New Roman" w:eastAsia="宋体" w:cs="Times New Roman"/>
                <w:sz w:val="18"/>
                <w:szCs w:val="18"/>
              </w:rPr>
            </w:pPr>
            <w:r>
              <w:rPr>
                <w:rFonts w:ascii="Times New Roman" w:hAnsi="Times New Roman" w:eastAsia="宋体" w:cs="Times New Roman"/>
                <w:sz w:val="18"/>
                <w:szCs w:val="18"/>
              </w:rPr>
              <w:t>5 studies / 483 participants</w:t>
            </w:r>
          </w:p>
        </w:tc>
        <w:tc>
          <w:tcPr>
            <w:tcW w:w="1591" w:type="dxa"/>
            <w:tcBorders>
              <w:top w:val="nil"/>
              <w:left w:val="nil"/>
              <w:bottom w:val="nil"/>
              <w:right w:val="nil"/>
            </w:tcBorders>
            <w:vAlign w:val="center"/>
          </w:tcPr>
          <w:p w14:paraId="3BE4E1A7">
            <w:pPr>
              <w:jc w:val="left"/>
              <w:rPr>
                <w:rFonts w:ascii="Times New Roman" w:hAnsi="Times New Roman" w:eastAsia="宋体" w:cs="Times New Roman"/>
                <w:sz w:val="18"/>
                <w:szCs w:val="18"/>
              </w:rPr>
            </w:pPr>
            <w:r>
              <w:rPr>
                <w:rFonts w:ascii="Times New Roman" w:hAnsi="Times New Roman" w:eastAsia="宋体" w:cs="Times New Roman"/>
                <w:sz w:val="18"/>
                <w:szCs w:val="18"/>
              </w:rPr>
              <w:t>MD = −0.42, 95% CI −1.77 to 0.94; P = 0.439; I² = 96.9%</w:t>
            </w:r>
          </w:p>
        </w:tc>
        <w:tc>
          <w:tcPr>
            <w:tcW w:w="915" w:type="dxa"/>
            <w:tcBorders>
              <w:top w:val="nil"/>
              <w:left w:val="nil"/>
              <w:bottom w:val="nil"/>
              <w:right w:val="nil"/>
            </w:tcBorders>
            <w:vAlign w:val="center"/>
          </w:tcPr>
          <w:p w14:paraId="56B194D0">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388" w:type="dxa"/>
            <w:tcBorders>
              <w:top w:val="nil"/>
              <w:left w:val="nil"/>
              <w:bottom w:val="nil"/>
              <w:right w:val="nil"/>
            </w:tcBorders>
            <w:vAlign w:val="center"/>
          </w:tcPr>
          <w:p w14:paraId="75A6E4E6">
            <w:pPr>
              <w:rPr>
                <w:rFonts w:ascii="Times New Roman" w:hAnsi="Times New Roman" w:eastAsia="宋体" w:cs="Times New Roman"/>
                <w:sz w:val="18"/>
                <w:szCs w:val="18"/>
              </w:rPr>
            </w:pPr>
            <w:r>
              <w:rPr>
                <w:rFonts w:hint="eastAsia" w:ascii="Times New Roman" w:hAnsi="Times New Roman" w:eastAsia="宋体" w:cs="Times New Roman"/>
                <w:sz w:val="18"/>
                <w:szCs w:val="18"/>
              </w:rPr>
              <w:t>S</w:t>
            </w:r>
            <w:r>
              <w:rPr>
                <w:rFonts w:ascii="Times New Roman" w:hAnsi="Times New Roman" w:eastAsia="宋体" w:cs="Times New Roman"/>
                <w:sz w:val="18"/>
                <w:szCs w:val="18"/>
              </w:rPr>
              <w:t>erious</w:t>
            </w:r>
          </w:p>
        </w:tc>
        <w:tc>
          <w:tcPr>
            <w:tcW w:w="1278" w:type="dxa"/>
            <w:tcBorders>
              <w:top w:val="nil"/>
              <w:left w:val="nil"/>
              <w:bottom w:val="nil"/>
              <w:right w:val="nil"/>
            </w:tcBorders>
            <w:vAlign w:val="center"/>
          </w:tcPr>
          <w:p w14:paraId="1EA836A1">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146" w:type="dxa"/>
            <w:tcBorders>
              <w:top w:val="nil"/>
              <w:left w:val="nil"/>
              <w:bottom w:val="nil"/>
              <w:right w:val="nil"/>
            </w:tcBorders>
            <w:vAlign w:val="center"/>
          </w:tcPr>
          <w:p w14:paraId="364487B2">
            <w:pPr>
              <w:rPr>
                <w:rFonts w:ascii="Times New Roman" w:hAnsi="Times New Roman" w:eastAsia="宋体" w:cs="Times New Roman"/>
                <w:sz w:val="18"/>
                <w:szCs w:val="18"/>
              </w:rPr>
            </w:pPr>
            <w:r>
              <w:rPr>
                <w:rFonts w:ascii="Times New Roman" w:hAnsi="Times New Roman" w:eastAsia="宋体" w:cs="Times New Roman"/>
                <w:sz w:val="18"/>
                <w:szCs w:val="18"/>
              </w:rPr>
              <w:t>Serious</w:t>
            </w:r>
          </w:p>
        </w:tc>
        <w:tc>
          <w:tcPr>
            <w:tcW w:w="1218" w:type="dxa"/>
            <w:tcBorders>
              <w:top w:val="nil"/>
              <w:left w:val="nil"/>
              <w:bottom w:val="nil"/>
              <w:right w:val="nil"/>
            </w:tcBorders>
            <w:vAlign w:val="center"/>
          </w:tcPr>
          <w:p w14:paraId="7E167CE5">
            <w:pPr>
              <w:rPr>
                <w:rFonts w:ascii="Times New Roman" w:hAnsi="Times New Roman" w:eastAsia="宋体" w:cs="Times New Roman"/>
                <w:sz w:val="18"/>
                <w:szCs w:val="18"/>
              </w:rPr>
            </w:pPr>
            <w:r>
              <w:rPr>
                <w:rFonts w:ascii="Times New Roman" w:hAnsi="Times New Roman" w:eastAsia="宋体" w:cs="Times New Roman"/>
                <w:sz w:val="18"/>
                <w:szCs w:val="18"/>
              </w:rPr>
              <w:t>Not assessed (&lt;10 studies)</w:t>
            </w:r>
          </w:p>
        </w:tc>
        <w:tc>
          <w:tcPr>
            <w:tcW w:w="964" w:type="dxa"/>
            <w:tcBorders>
              <w:top w:val="nil"/>
              <w:left w:val="nil"/>
              <w:bottom w:val="nil"/>
              <w:right w:val="nil"/>
            </w:tcBorders>
            <w:vAlign w:val="center"/>
          </w:tcPr>
          <w:p w14:paraId="3FC2571A">
            <w:pPr>
              <w:rPr>
                <w:rFonts w:ascii="Times New Roman" w:hAnsi="Times New Roman" w:eastAsia="宋体" w:cs="Times New Roman"/>
                <w:sz w:val="18"/>
                <w:szCs w:val="18"/>
              </w:rPr>
            </w:pPr>
            <w:r>
              <w:rPr>
                <w:rFonts w:ascii="Times New Roman" w:hAnsi="Times New Roman" w:eastAsia="宋体" w:cs="Times New Roman"/>
                <w:sz w:val="18"/>
                <w:szCs w:val="18"/>
              </w:rPr>
              <w:t>Low</w:t>
            </w:r>
          </w:p>
        </w:tc>
        <w:tc>
          <w:tcPr>
            <w:tcW w:w="3754" w:type="dxa"/>
            <w:tcBorders>
              <w:top w:val="nil"/>
              <w:left w:val="nil"/>
              <w:bottom w:val="nil"/>
              <w:right w:val="nil"/>
            </w:tcBorders>
            <w:vAlign w:val="center"/>
          </w:tcPr>
          <w:p w14:paraId="1D94484E">
            <w:pPr>
              <w:jc w:val="left"/>
              <w:rPr>
                <w:rFonts w:ascii="Times New Roman" w:hAnsi="Times New Roman" w:eastAsia="宋体" w:cs="Times New Roman"/>
                <w:sz w:val="18"/>
                <w:szCs w:val="18"/>
              </w:rPr>
            </w:pPr>
            <w:r>
              <w:rPr>
                <w:rFonts w:ascii="Times New Roman" w:hAnsi="Times New Roman" w:eastAsia="宋体" w:cs="Times New Roman"/>
                <w:sz w:val="18"/>
                <w:szCs w:val="18"/>
              </w:rPr>
              <w:t>Downgraded one level for serious inconsistency because of substantial unexplained heterogeneity and divergent study estimates, and one level for serious imprecision because the confidence interval crossed the null effect.</w:t>
            </w:r>
          </w:p>
        </w:tc>
      </w:tr>
      <w:tr w14:paraId="5782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tcBorders>
              <w:top w:val="nil"/>
              <w:left w:val="nil"/>
              <w:bottom w:val="single" w:color="auto" w:sz="8" w:space="0"/>
              <w:right w:val="nil"/>
            </w:tcBorders>
            <w:vAlign w:val="center"/>
          </w:tcPr>
          <w:p w14:paraId="7D6B0F6D">
            <w:pPr>
              <w:rPr>
                <w:rFonts w:ascii="Times New Roman" w:hAnsi="Times New Roman" w:eastAsia="宋体" w:cs="Times New Roman"/>
                <w:sz w:val="18"/>
                <w:szCs w:val="18"/>
              </w:rPr>
            </w:pPr>
            <w:r>
              <w:rPr>
                <w:rFonts w:ascii="Times New Roman" w:hAnsi="Times New Roman" w:eastAsia="宋体" w:cs="Times New Roman"/>
                <w:sz w:val="18"/>
                <w:szCs w:val="18"/>
              </w:rPr>
              <w:t>Adverse events</w:t>
            </w:r>
          </w:p>
        </w:tc>
        <w:tc>
          <w:tcPr>
            <w:tcW w:w="1456" w:type="dxa"/>
            <w:tcBorders>
              <w:top w:val="nil"/>
              <w:left w:val="nil"/>
              <w:bottom w:val="single" w:color="auto" w:sz="8" w:space="0"/>
              <w:right w:val="nil"/>
            </w:tcBorders>
            <w:vAlign w:val="center"/>
          </w:tcPr>
          <w:p w14:paraId="0F3BD65E">
            <w:pPr>
              <w:jc w:val="left"/>
              <w:rPr>
                <w:rFonts w:ascii="Times New Roman" w:hAnsi="Times New Roman" w:eastAsia="宋体" w:cs="Times New Roman"/>
                <w:sz w:val="18"/>
                <w:szCs w:val="18"/>
              </w:rPr>
            </w:pPr>
            <w:r>
              <w:rPr>
                <w:rFonts w:ascii="Times New Roman" w:hAnsi="Times New Roman" w:eastAsia="宋体" w:cs="Times New Roman"/>
                <w:sz w:val="18"/>
                <w:szCs w:val="18"/>
              </w:rPr>
              <w:t>5 studies / 413 participants</w:t>
            </w:r>
          </w:p>
        </w:tc>
        <w:tc>
          <w:tcPr>
            <w:tcW w:w="1591" w:type="dxa"/>
            <w:tcBorders>
              <w:top w:val="nil"/>
              <w:left w:val="nil"/>
              <w:bottom w:val="single" w:color="auto" w:sz="8" w:space="0"/>
              <w:right w:val="nil"/>
            </w:tcBorders>
            <w:vAlign w:val="center"/>
          </w:tcPr>
          <w:p w14:paraId="059B7ABE">
            <w:pPr>
              <w:jc w:val="left"/>
              <w:rPr>
                <w:rFonts w:ascii="Times New Roman" w:hAnsi="Times New Roman" w:eastAsia="宋体" w:cs="Times New Roman"/>
                <w:sz w:val="18"/>
                <w:szCs w:val="18"/>
              </w:rPr>
            </w:pPr>
            <w:r>
              <w:rPr>
                <w:rFonts w:ascii="Times New Roman" w:hAnsi="Times New Roman" w:eastAsia="宋体" w:cs="Times New Roman"/>
                <w:sz w:val="18"/>
                <w:szCs w:val="18"/>
              </w:rPr>
              <w:t>No pooled estimate; 4 double-zero studies and only 1 estimable RR (0.65, 95% CI 0.12–3.61)</w:t>
            </w:r>
          </w:p>
        </w:tc>
        <w:tc>
          <w:tcPr>
            <w:tcW w:w="915" w:type="dxa"/>
            <w:tcBorders>
              <w:top w:val="nil"/>
              <w:left w:val="nil"/>
              <w:bottom w:val="single" w:color="auto" w:sz="8" w:space="0"/>
              <w:right w:val="nil"/>
            </w:tcBorders>
            <w:vAlign w:val="center"/>
          </w:tcPr>
          <w:p w14:paraId="38C06D0B">
            <w:pPr>
              <w:rPr>
                <w:rFonts w:ascii="Times New Roman" w:hAnsi="Times New Roman" w:eastAsia="宋体" w:cs="Times New Roman"/>
                <w:sz w:val="18"/>
                <w:szCs w:val="18"/>
              </w:rPr>
            </w:pPr>
            <w:r>
              <w:rPr>
                <w:rFonts w:ascii="Times New Roman" w:hAnsi="Times New Roman" w:eastAsia="宋体" w:cs="Times New Roman"/>
                <w:sz w:val="18"/>
                <w:szCs w:val="18"/>
              </w:rPr>
              <w:t>Serious</w:t>
            </w:r>
          </w:p>
        </w:tc>
        <w:tc>
          <w:tcPr>
            <w:tcW w:w="1388" w:type="dxa"/>
            <w:tcBorders>
              <w:top w:val="nil"/>
              <w:left w:val="nil"/>
              <w:bottom w:val="single" w:color="auto" w:sz="8" w:space="0"/>
              <w:right w:val="nil"/>
            </w:tcBorders>
            <w:vAlign w:val="center"/>
          </w:tcPr>
          <w:p w14:paraId="4924044E">
            <w:pPr>
              <w:rPr>
                <w:rFonts w:ascii="Times New Roman" w:hAnsi="Times New Roman" w:eastAsia="宋体" w:cs="Times New Roman"/>
                <w:sz w:val="18"/>
                <w:szCs w:val="18"/>
              </w:rPr>
            </w:pPr>
            <w:r>
              <w:rPr>
                <w:rFonts w:ascii="Times New Roman" w:hAnsi="Times New Roman" w:eastAsia="宋体" w:cs="Times New Roman"/>
                <w:sz w:val="18"/>
                <w:szCs w:val="18"/>
              </w:rPr>
              <w:t>Not assessable</w:t>
            </w:r>
          </w:p>
        </w:tc>
        <w:tc>
          <w:tcPr>
            <w:tcW w:w="1278" w:type="dxa"/>
            <w:tcBorders>
              <w:top w:val="nil"/>
              <w:left w:val="nil"/>
              <w:bottom w:val="single" w:color="auto" w:sz="8" w:space="0"/>
              <w:right w:val="nil"/>
            </w:tcBorders>
            <w:vAlign w:val="center"/>
          </w:tcPr>
          <w:p w14:paraId="05C5FEDA">
            <w:pPr>
              <w:rPr>
                <w:rFonts w:ascii="Times New Roman" w:hAnsi="Times New Roman" w:eastAsia="宋体" w:cs="Times New Roman"/>
                <w:sz w:val="18"/>
                <w:szCs w:val="18"/>
              </w:rPr>
            </w:pPr>
            <w:r>
              <w:rPr>
                <w:rFonts w:ascii="Times New Roman" w:hAnsi="Times New Roman" w:eastAsia="宋体" w:cs="Times New Roman"/>
                <w:sz w:val="18"/>
                <w:szCs w:val="18"/>
              </w:rPr>
              <w:t>Not serious</w:t>
            </w:r>
          </w:p>
        </w:tc>
        <w:tc>
          <w:tcPr>
            <w:tcW w:w="1146" w:type="dxa"/>
            <w:tcBorders>
              <w:top w:val="nil"/>
              <w:left w:val="nil"/>
              <w:bottom w:val="single" w:color="auto" w:sz="8" w:space="0"/>
              <w:right w:val="nil"/>
            </w:tcBorders>
            <w:vAlign w:val="center"/>
          </w:tcPr>
          <w:p w14:paraId="17CEB4DC">
            <w:pPr>
              <w:rPr>
                <w:rFonts w:ascii="Times New Roman" w:hAnsi="Times New Roman" w:eastAsia="宋体" w:cs="Times New Roman"/>
                <w:sz w:val="18"/>
                <w:szCs w:val="18"/>
              </w:rPr>
            </w:pPr>
            <w:r>
              <w:rPr>
                <w:rFonts w:ascii="Times New Roman" w:hAnsi="Times New Roman" w:eastAsia="宋体" w:cs="Times New Roman"/>
                <w:sz w:val="18"/>
                <w:szCs w:val="18"/>
              </w:rPr>
              <w:t>Very serious</w:t>
            </w:r>
          </w:p>
        </w:tc>
        <w:tc>
          <w:tcPr>
            <w:tcW w:w="1218" w:type="dxa"/>
            <w:tcBorders>
              <w:top w:val="nil"/>
              <w:left w:val="nil"/>
              <w:bottom w:val="single" w:color="auto" w:sz="8" w:space="0"/>
              <w:right w:val="nil"/>
            </w:tcBorders>
            <w:vAlign w:val="center"/>
          </w:tcPr>
          <w:p w14:paraId="6FFD1038">
            <w:pPr>
              <w:rPr>
                <w:rFonts w:ascii="Times New Roman" w:hAnsi="Times New Roman" w:eastAsia="宋体" w:cs="Times New Roman"/>
                <w:sz w:val="18"/>
                <w:szCs w:val="18"/>
              </w:rPr>
            </w:pPr>
            <w:r>
              <w:rPr>
                <w:rFonts w:ascii="Times New Roman" w:hAnsi="Times New Roman" w:eastAsia="宋体" w:cs="Times New Roman"/>
                <w:sz w:val="18"/>
                <w:szCs w:val="18"/>
              </w:rPr>
              <w:t>Not assessed (&lt;10 studies)</w:t>
            </w:r>
          </w:p>
        </w:tc>
        <w:tc>
          <w:tcPr>
            <w:tcW w:w="964" w:type="dxa"/>
            <w:tcBorders>
              <w:top w:val="nil"/>
              <w:left w:val="nil"/>
              <w:bottom w:val="single" w:color="auto" w:sz="8" w:space="0"/>
              <w:right w:val="nil"/>
            </w:tcBorders>
            <w:vAlign w:val="center"/>
          </w:tcPr>
          <w:p w14:paraId="5A642C4D">
            <w:pPr>
              <w:rPr>
                <w:rFonts w:ascii="Times New Roman" w:hAnsi="Times New Roman" w:eastAsia="宋体" w:cs="Times New Roman"/>
                <w:sz w:val="18"/>
                <w:szCs w:val="18"/>
              </w:rPr>
            </w:pPr>
            <w:r>
              <w:rPr>
                <w:rFonts w:ascii="Times New Roman" w:hAnsi="Times New Roman" w:eastAsia="宋体" w:cs="Times New Roman"/>
                <w:sz w:val="18"/>
                <w:szCs w:val="18"/>
                <w:lang w:val="en-US" w:eastAsia="zh-CN"/>
              </w:rPr>
              <w:t>Very low</w:t>
            </w:r>
          </w:p>
        </w:tc>
        <w:tc>
          <w:tcPr>
            <w:tcW w:w="3754" w:type="dxa"/>
            <w:tcBorders>
              <w:top w:val="nil"/>
              <w:left w:val="nil"/>
              <w:bottom w:val="single" w:color="auto" w:sz="8" w:space="0"/>
              <w:right w:val="nil"/>
            </w:tcBorders>
            <w:vAlign w:val="center"/>
          </w:tcPr>
          <w:p w14:paraId="50047ED5">
            <w:pPr>
              <w:jc w:val="left"/>
              <w:rPr>
                <w:rFonts w:ascii="Times New Roman" w:hAnsi="Times New Roman" w:eastAsia="宋体" w:cs="Times New Roman"/>
                <w:sz w:val="18"/>
                <w:szCs w:val="18"/>
              </w:rPr>
            </w:pPr>
            <w:r>
              <w:rPr>
                <w:rFonts w:ascii="Times New Roman" w:hAnsi="Times New Roman" w:eastAsia="宋体" w:cs="Times New Roman"/>
                <w:sz w:val="18"/>
                <w:szCs w:val="18"/>
                <w:lang w:val="en-US" w:eastAsia="zh-CN"/>
              </w:rPr>
              <w:t>Downgraded one level for risk-of-bias concerns because adverse-event ascertainment and reporting were limited or inconsistent across studies, and two levels for very serious imprecision because events were sparse, 4 studies had zero events in both groups, and only 1 study provided an estimable relative effect</w:t>
            </w:r>
            <w:r>
              <w:rPr>
                <w:rFonts w:ascii="Times New Roman" w:hAnsi="Times New Roman" w:eastAsia="宋体" w:cs="Times New Roman"/>
                <w:sz w:val="18"/>
                <w:szCs w:val="18"/>
              </w:rPr>
              <w:t>.</w:t>
            </w:r>
          </w:p>
        </w:tc>
      </w:tr>
    </w:tbl>
    <w:p w14:paraId="2ADE4079">
      <w:pPr>
        <w:widowControl/>
        <w:rPr>
          <w:rFonts w:ascii="Times New Roman" w:hAnsi="Times New Roman" w:eastAsia="宋体" w:cs="Times New Roman"/>
          <w:sz w:val="18"/>
          <w:szCs w:val="18"/>
        </w:rPr>
      </w:pPr>
      <w:r>
        <w:rPr>
          <w:rStyle w:val="8"/>
          <w:rFonts w:ascii="Times New Roman" w:hAnsi="Times New Roman" w:eastAsia="宋体" w:cs="Times New Roman"/>
          <w:sz w:val="18"/>
          <w:szCs w:val="18"/>
        </w:rPr>
        <w:t>Abbreviations:</w:t>
      </w:r>
      <w:r>
        <w:rPr>
          <w:rFonts w:ascii="Times New Roman" w:hAnsi="Times New Roman" w:eastAsia="宋体" w:cs="Times New Roman"/>
          <w:sz w:val="18"/>
          <w:szCs w:val="18"/>
        </w:rPr>
        <w:t xml:space="preserve"> CI, confidence interval; CRP, C-reactive protein; GRADE, Grading of Recommendations Assessment, Development and Evaluation; hs-CRP, high-sensitivity C-reactive protein; MD, mean difference; RR, risk ratio; WOMAC, Western Ontario and McMaster Universities Osteoarthritis Index. For continuous outcomes, pooled estimates were based on change scores or baseline-adjusted between-group effects. No pooled effect estimate was calculated for overall adverse events because 4 of the 5 studies reported zero events in both groups and only 1 study provided an estimable relative effect. Publication bias was not formally assessed because fewer than 10 studies were available for each outcome.</w:t>
      </w:r>
    </w:p>
    <w:p w14:paraId="206EF557">
      <w:pPr>
        <w:widowControl/>
        <w:rPr>
          <w:rFonts w:ascii="Times New Roman" w:hAnsi="Times New Roman" w:eastAsia="宋体" w:cs="Times New Roman"/>
          <w:sz w:val="18"/>
          <w:szCs w:val="18"/>
        </w:rPr>
      </w:pPr>
    </w:p>
    <w:p w14:paraId="22AE65E3">
      <w:pPr>
        <w:widowControl/>
        <w:rPr>
          <w:rFonts w:ascii="Times New Roman" w:hAnsi="Times New Roman" w:eastAsia="宋体" w:cs="Times New Roman"/>
          <w:sz w:val="18"/>
          <w:szCs w:val="18"/>
        </w:rPr>
      </w:pPr>
    </w:p>
    <w:p w14:paraId="1C9055C5">
      <w:pPr>
        <w:widowControl/>
        <w:rPr>
          <w:rFonts w:ascii="Times New Roman" w:hAnsi="Times New Roman" w:eastAsia="宋体" w:cs="Times New Roman"/>
          <w:sz w:val="18"/>
          <w:szCs w:val="18"/>
        </w:rPr>
      </w:pPr>
    </w:p>
    <w:p w14:paraId="58628E76">
      <w:pPr>
        <w:widowControl/>
        <w:rPr>
          <w:rFonts w:hint="default" w:ascii="Times New Roman" w:hAnsi="Times New Roman" w:eastAsia="宋体" w:cs="Times New Roman"/>
          <w:b/>
          <w:bCs/>
          <w:sz w:val="24"/>
          <w:lang w:val="en-US" w:eastAsia="zh-CN"/>
        </w:rPr>
      </w:pPr>
      <w:r>
        <w:rPr>
          <w:rFonts w:ascii="Times New Roman" w:hAnsi="Times New Roman" w:eastAsia="宋体" w:cs="Times New Roman"/>
          <w:b/>
          <w:bCs/>
          <w:sz w:val="24"/>
        </w:rPr>
        <w:t>Supplementary Table S</w:t>
      </w:r>
      <w:r>
        <w:rPr>
          <w:rFonts w:hint="eastAsia" w:ascii="Times New Roman" w:hAnsi="Times New Roman" w:eastAsia="宋体" w:cs="Times New Roman"/>
          <w:b/>
          <w:bCs/>
          <w:sz w:val="24"/>
          <w:lang w:val="en-US" w:eastAsia="zh-CN"/>
        </w:rPr>
        <w:t xml:space="preserve">4. </w:t>
      </w:r>
      <w:r>
        <w:rPr>
          <w:rFonts w:hint="eastAsia" w:ascii="Times New Roman" w:hAnsi="Times New Roman" w:eastAsia="宋体" w:cs="Times New Roman"/>
          <w:b w:val="0"/>
          <w:bCs w:val="0"/>
          <w:sz w:val="24"/>
          <w:lang w:val="en-US" w:eastAsia="zh-CN"/>
        </w:rPr>
        <w:t>Sensitivity analyses using alternative assumed correlation coefficients and excluding studies with imputed change-score standard deviations</w:t>
      </w:r>
    </w:p>
    <w:tbl>
      <w:tblPr>
        <w:tblStyle w:val="6"/>
        <w:tblW w:w="14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3216"/>
        <w:gridCol w:w="2995"/>
        <w:gridCol w:w="1907"/>
        <w:gridCol w:w="1196"/>
        <w:gridCol w:w="2270"/>
        <w:gridCol w:w="936"/>
      </w:tblGrid>
      <w:tr w14:paraId="0A1B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656" w:type="dxa"/>
            <w:tcBorders>
              <w:top w:val="single" w:color="auto" w:sz="12" w:space="0"/>
              <w:left w:val="nil"/>
              <w:bottom w:val="single" w:color="auto" w:sz="4" w:space="0"/>
              <w:right w:val="nil"/>
            </w:tcBorders>
            <w:shd w:val="clear" w:color="auto" w:fill="auto"/>
            <w:vAlign w:val="center"/>
          </w:tcPr>
          <w:p w14:paraId="775AAC8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2"/>
                <w:sz w:val="20"/>
                <w:szCs w:val="20"/>
                <w:lang w:val="en-US" w:eastAsia="zh-CN" w:bidi="ar-SA"/>
              </w:rPr>
            </w:pPr>
            <w:r>
              <w:rPr>
                <w:rFonts w:hint="default" w:ascii="Times New Roman" w:hAnsi="Times New Roman" w:eastAsia="宋体" w:cs="Times New Roman"/>
                <w:b/>
                <w:bCs/>
                <w:kern w:val="0"/>
                <w:sz w:val="20"/>
                <w:szCs w:val="20"/>
                <w:lang w:val="en-US" w:eastAsia="zh-CN" w:bidi="ar"/>
              </w:rPr>
              <w:t>Outcome</w:t>
            </w:r>
          </w:p>
        </w:tc>
        <w:tc>
          <w:tcPr>
            <w:tcW w:w="3216" w:type="dxa"/>
            <w:tcBorders>
              <w:top w:val="single" w:color="auto" w:sz="12" w:space="0"/>
              <w:left w:val="nil"/>
              <w:bottom w:val="single" w:color="auto" w:sz="4" w:space="0"/>
              <w:right w:val="nil"/>
            </w:tcBorders>
            <w:shd w:val="clear" w:color="auto" w:fill="auto"/>
            <w:vAlign w:val="center"/>
          </w:tcPr>
          <w:p w14:paraId="09109AA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2"/>
                <w:sz w:val="20"/>
                <w:szCs w:val="20"/>
                <w:lang w:val="en-US" w:eastAsia="zh-CN" w:bidi="ar-SA"/>
              </w:rPr>
            </w:pPr>
            <w:r>
              <w:rPr>
                <w:rFonts w:hint="default" w:ascii="Times New Roman" w:hAnsi="Times New Roman" w:eastAsia="宋体" w:cs="Times New Roman"/>
                <w:b/>
                <w:bCs/>
                <w:kern w:val="0"/>
                <w:sz w:val="20"/>
                <w:szCs w:val="20"/>
                <w:lang w:val="en-US" w:eastAsia="zh-CN" w:bidi="ar"/>
              </w:rPr>
              <w:t>Analysis</w:t>
            </w:r>
          </w:p>
        </w:tc>
        <w:tc>
          <w:tcPr>
            <w:tcW w:w="2995" w:type="dxa"/>
            <w:tcBorders>
              <w:top w:val="single" w:color="auto" w:sz="12" w:space="0"/>
              <w:left w:val="nil"/>
              <w:bottom w:val="single" w:color="auto" w:sz="4" w:space="0"/>
              <w:right w:val="nil"/>
            </w:tcBorders>
            <w:shd w:val="clear" w:color="auto" w:fill="auto"/>
            <w:vAlign w:val="center"/>
          </w:tcPr>
          <w:p w14:paraId="068DC5F1">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2"/>
                <w:sz w:val="20"/>
                <w:szCs w:val="20"/>
                <w:lang w:val="en-US" w:eastAsia="zh-CN" w:bidi="ar-SA"/>
              </w:rPr>
            </w:pPr>
            <w:r>
              <w:rPr>
                <w:rFonts w:hint="default" w:ascii="Times New Roman" w:hAnsi="Times New Roman" w:eastAsia="宋体" w:cs="Times New Roman"/>
                <w:b/>
                <w:bCs/>
                <w:kern w:val="0"/>
                <w:sz w:val="20"/>
                <w:szCs w:val="20"/>
                <w:lang w:val="en-US" w:eastAsia="zh-CN" w:bidi="ar"/>
              </w:rPr>
              <w:t>Studies / participants</w:t>
            </w:r>
          </w:p>
        </w:tc>
        <w:tc>
          <w:tcPr>
            <w:tcW w:w="1907" w:type="dxa"/>
            <w:tcBorders>
              <w:top w:val="single" w:color="auto" w:sz="12" w:space="0"/>
              <w:left w:val="nil"/>
              <w:bottom w:val="single" w:color="auto" w:sz="4" w:space="0"/>
              <w:right w:val="nil"/>
            </w:tcBorders>
            <w:shd w:val="clear" w:color="auto" w:fill="auto"/>
            <w:vAlign w:val="center"/>
          </w:tcPr>
          <w:p w14:paraId="1F2AB45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2"/>
                <w:sz w:val="20"/>
                <w:szCs w:val="20"/>
                <w:lang w:val="en-US" w:eastAsia="zh-CN" w:bidi="ar-SA"/>
              </w:rPr>
            </w:pPr>
            <w:r>
              <w:rPr>
                <w:rFonts w:hint="default" w:ascii="Times New Roman" w:hAnsi="Times New Roman" w:eastAsia="宋体" w:cs="Times New Roman"/>
                <w:b/>
                <w:bCs/>
                <w:kern w:val="0"/>
                <w:sz w:val="20"/>
                <w:szCs w:val="20"/>
                <w:lang w:val="en-US" w:eastAsia="zh-CN" w:bidi="ar"/>
              </w:rPr>
              <w:t>Pooled effect</w:t>
            </w:r>
          </w:p>
        </w:tc>
        <w:tc>
          <w:tcPr>
            <w:tcW w:w="1196" w:type="dxa"/>
            <w:tcBorders>
              <w:top w:val="single" w:color="auto" w:sz="12" w:space="0"/>
              <w:left w:val="nil"/>
              <w:bottom w:val="single" w:color="auto" w:sz="4" w:space="0"/>
              <w:right w:val="nil"/>
            </w:tcBorders>
            <w:shd w:val="clear" w:color="auto" w:fill="auto"/>
            <w:vAlign w:val="center"/>
          </w:tcPr>
          <w:p w14:paraId="7891996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2"/>
                <w:sz w:val="20"/>
                <w:szCs w:val="20"/>
                <w:lang w:val="en-US" w:eastAsia="zh-CN" w:bidi="ar-SA"/>
              </w:rPr>
            </w:pPr>
            <w:r>
              <w:rPr>
                <w:rFonts w:hint="default" w:ascii="Times New Roman" w:hAnsi="Times New Roman" w:eastAsia="宋体" w:cs="Times New Roman"/>
                <w:b/>
                <w:bCs/>
                <w:kern w:val="0"/>
                <w:sz w:val="20"/>
                <w:szCs w:val="20"/>
                <w:lang w:val="en-US" w:eastAsia="zh-CN" w:bidi="ar"/>
              </w:rPr>
              <w:t>95% CI</w:t>
            </w:r>
          </w:p>
        </w:tc>
        <w:tc>
          <w:tcPr>
            <w:tcW w:w="2270" w:type="dxa"/>
            <w:tcBorders>
              <w:top w:val="single" w:color="auto" w:sz="12" w:space="0"/>
              <w:left w:val="nil"/>
              <w:bottom w:val="single" w:color="auto" w:sz="4" w:space="0"/>
              <w:right w:val="nil"/>
            </w:tcBorders>
            <w:shd w:val="clear" w:color="auto" w:fill="auto"/>
            <w:vAlign w:val="center"/>
          </w:tcPr>
          <w:p w14:paraId="49B6777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0"/>
                <w:sz w:val="20"/>
                <w:szCs w:val="20"/>
                <w:lang w:val="en-US" w:eastAsia="zh-CN" w:bidi="ar"/>
              </w:rPr>
            </w:pPr>
            <w:r>
              <w:rPr>
                <w:rFonts w:hint="default" w:ascii="Times New Roman" w:hAnsi="Times New Roman" w:eastAsia="宋体" w:cs="Times New Roman"/>
                <w:b/>
                <w:bCs/>
                <w:kern w:val="0"/>
                <w:sz w:val="20"/>
                <w:szCs w:val="20"/>
                <w:lang w:val="en-US" w:eastAsia="zh-CN" w:bidi="ar"/>
              </w:rPr>
              <w:t xml:space="preserve">P value </w:t>
            </w:r>
          </w:p>
          <w:p w14:paraId="6001B9A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2"/>
                <w:sz w:val="20"/>
                <w:szCs w:val="20"/>
                <w:lang w:val="en-US" w:eastAsia="zh-CN" w:bidi="ar-SA"/>
              </w:rPr>
            </w:pPr>
            <w:r>
              <w:rPr>
                <w:rFonts w:hint="default" w:ascii="Times New Roman" w:hAnsi="Times New Roman" w:eastAsia="宋体" w:cs="Times New Roman"/>
                <w:b/>
                <w:bCs/>
                <w:kern w:val="0"/>
                <w:sz w:val="20"/>
                <w:szCs w:val="20"/>
                <w:lang w:val="en-US" w:eastAsia="zh-CN" w:bidi="ar"/>
              </w:rPr>
              <w:t>(Hartung–Knapp)</w:t>
            </w:r>
          </w:p>
        </w:tc>
        <w:tc>
          <w:tcPr>
            <w:tcW w:w="936" w:type="dxa"/>
            <w:tcBorders>
              <w:top w:val="single" w:color="auto" w:sz="12" w:space="0"/>
              <w:left w:val="nil"/>
              <w:bottom w:val="single" w:color="auto" w:sz="4" w:space="0"/>
              <w:right w:val="nil"/>
            </w:tcBorders>
            <w:shd w:val="clear" w:color="auto" w:fill="auto"/>
            <w:vAlign w:val="center"/>
          </w:tcPr>
          <w:p w14:paraId="46FD283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b/>
                <w:bCs/>
                <w:kern w:val="2"/>
                <w:sz w:val="20"/>
                <w:szCs w:val="20"/>
                <w:lang w:val="en-US" w:eastAsia="zh-CN" w:bidi="ar-SA"/>
              </w:rPr>
            </w:pPr>
            <w:r>
              <w:rPr>
                <w:rFonts w:hint="default" w:ascii="Times New Roman" w:hAnsi="Times New Roman" w:eastAsia="宋体" w:cs="Times New Roman"/>
                <w:b/>
                <w:bCs/>
                <w:kern w:val="0"/>
                <w:sz w:val="20"/>
                <w:szCs w:val="20"/>
                <w:lang w:val="en-US" w:eastAsia="zh-CN" w:bidi="ar"/>
              </w:rPr>
              <w:t>I²</w:t>
            </w:r>
          </w:p>
        </w:tc>
      </w:tr>
      <w:tr w14:paraId="5E89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single" w:color="auto" w:sz="4" w:space="0"/>
              <w:left w:val="nil"/>
              <w:bottom w:val="nil"/>
              <w:right w:val="nil"/>
            </w:tcBorders>
            <w:shd w:val="clear" w:color="auto" w:fill="auto"/>
            <w:vAlign w:val="center"/>
          </w:tcPr>
          <w:p w14:paraId="0DA2916D">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Pain intensity</w:t>
            </w:r>
          </w:p>
        </w:tc>
        <w:tc>
          <w:tcPr>
            <w:tcW w:w="3216" w:type="dxa"/>
            <w:tcBorders>
              <w:top w:val="single" w:color="auto" w:sz="4" w:space="0"/>
              <w:left w:val="nil"/>
              <w:bottom w:val="nil"/>
              <w:right w:val="nil"/>
            </w:tcBorders>
            <w:shd w:val="clear" w:color="auto" w:fill="auto"/>
            <w:vAlign w:val="center"/>
          </w:tcPr>
          <w:p w14:paraId="3180B42C">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0.3</w:t>
            </w:r>
          </w:p>
        </w:tc>
        <w:tc>
          <w:tcPr>
            <w:tcW w:w="2995" w:type="dxa"/>
            <w:tcBorders>
              <w:top w:val="single" w:color="auto" w:sz="4" w:space="0"/>
              <w:left w:val="nil"/>
              <w:bottom w:val="nil"/>
              <w:right w:val="nil"/>
            </w:tcBorders>
            <w:shd w:val="clear" w:color="auto" w:fill="auto"/>
            <w:vAlign w:val="center"/>
          </w:tcPr>
          <w:p w14:paraId="2000861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8 / 662</w:t>
            </w:r>
          </w:p>
        </w:tc>
        <w:tc>
          <w:tcPr>
            <w:tcW w:w="1907" w:type="dxa"/>
            <w:tcBorders>
              <w:top w:val="single" w:color="auto" w:sz="4" w:space="0"/>
              <w:left w:val="nil"/>
              <w:bottom w:val="nil"/>
              <w:right w:val="nil"/>
            </w:tcBorders>
            <w:shd w:val="clear" w:color="auto" w:fill="auto"/>
            <w:vAlign w:val="center"/>
          </w:tcPr>
          <w:p w14:paraId="11B3CE1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−1.02</w:t>
            </w:r>
          </w:p>
        </w:tc>
        <w:tc>
          <w:tcPr>
            <w:tcW w:w="1196" w:type="dxa"/>
            <w:tcBorders>
              <w:top w:val="single" w:color="auto" w:sz="4" w:space="0"/>
              <w:left w:val="nil"/>
              <w:bottom w:val="nil"/>
              <w:right w:val="nil"/>
            </w:tcBorders>
            <w:shd w:val="clear" w:color="auto" w:fill="auto"/>
            <w:vAlign w:val="center"/>
          </w:tcPr>
          <w:p w14:paraId="2FA380A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−1.37 to −0.68</w:t>
            </w:r>
          </w:p>
        </w:tc>
        <w:tc>
          <w:tcPr>
            <w:tcW w:w="2270" w:type="dxa"/>
            <w:tcBorders>
              <w:top w:val="single" w:color="auto" w:sz="4" w:space="0"/>
              <w:left w:val="nil"/>
              <w:bottom w:val="nil"/>
              <w:right w:val="nil"/>
            </w:tcBorders>
            <w:shd w:val="clear" w:color="auto" w:fill="auto"/>
            <w:vAlign w:val="center"/>
          </w:tcPr>
          <w:p w14:paraId="33A3A9D7">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&lt;0.001</w:t>
            </w:r>
          </w:p>
        </w:tc>
        <w:tc>
          <w:tcPr>
            <w:tcW w:w="936" w:type="dxa"/>
            <w:tcBorders>
              <w:top w:val="single" w:color="auto" w:sz="4" w:space="0"/>
              <w:left w:val="nil"/>
              <w:bottom w:val="nil"/>
              <w:right w:val="nil"/>
            </w:tcBorders>
            <w:shd w:val="clear" w:color="auto" w:fill="auto"/>
            <w:vAlign w:val="center"/>
          </w:tcPr>
          <w:p w14:paraId="3C24EFE0">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0.0%</w:t>
            </w:r>
          </w:p>
        </w:tc>
      </w:tr>
      <w:tr w14:paraId="1BE4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7799CC19">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Pain intensity</w:t>
            </w:r>
          </w:p>
        </w:tc>
        <w:tc>
          <w:tcPr>
            <w:tcW w:w="3216" w:type="dxa"/>
            <w:tcBorders>
              <w:top w:val="nil"/>
              <w:left w:val="nil"/>
              <w:bottom w:val="nil"/>
              <w:right w:val="nil"/>
            </w:tcBorders>
            <w:shd w:val="clear" w:color="auto" w:fill="auto"/>
            <w:vAlign w:val="center"/>
          </w:tcPr>
          <w:p w14:paraId="3105424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0.5 (primary analysis)</w:t>
            </w:r>
          </w:p>
        </w:tc>
        <w:tc>
          <w:tcPr>
            <w:tcW w:w="2995" w:type="dxa"/>
            <w:tcBorders>
              <w:top w:val="nil"/>
              <w:left w:val="nil"/>
              <w:bottom w:val="nil"/>
              <w:right w:val="nil"/>
            </w:tcBorders>
            <w:shd w:val="clear" w:color="auto" w:fill="auto"/>
            <w:vAlign w:val="center"/>
          </w:tcPr>
          <w:p w14:paraId="60B00AF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8 / 662</w:t>
            </w:r>
          </w:p>
        </w:tc>
        <w:tc>
          <w:tcPr>
            <w:tcW w:w="1907" w:type="dxa"/>
            <w:tcBorders>
              <w:top w:val="nil"/>
              <w:left w:val="nil"/>
              <w:bottom w:val="nil"/>
              <w:right w:val="nil"/>
            </w:tcBorders>
            <w:shd w:val="clear" w:color="auto" w:fill="auto"/>
            <w:vAlign w:val="center"/>
          </w:tcPr>
          <w:p w14:paraId="2407D6D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−1.06</w:t>
            </w:r>
          </w:p>
        </w:tc>
        <w:tc>
          <w:tcPr>
            <w:tcW w:w="1196" w:type="dxa"/>
            <w:tcBorders>
              <w:top w:val="nil"/>
              <w:left w:val="nil"/>
              <w:bottom w:val="nil"/>
              <w:right w:val="nil"/>
            </w:tcBorders>
            <w:shd w:val="clear" w:color="auto" w:fill="auto"/>
            <w:vAlign w:val="center"/>
          </w:tcPr>
          <w:p w14:paraId="30A33F7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−1.42 to −0.70</w:t>
            </w:r>
          </w:p>
        </w:tc>
        <w:tc>
          <w:tcPr>
            <w:tcW w:w="2270" w:type="dxa"/>
            <w:tcBorders>
              <w:top w:val="nil"/>
              <w:left w:val="nil"/>
              <w:bottom w:val="nil"/>
              <w:right w:val="nil"/>
            </w:tcBorders>
            <w:shd w:val="clear" w:color="auto" w:fill="auto"/>
            <w:vAlign w:val="center"/>
          </w:tcPr>
          <w:p w14:paraId="0F661A80">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&lt;0.001</w:t>
            </w:r>
          </w:p>
        </w:tc>
        <w:tc>
          <w:tcPr>
            <w:tcW w:w="936" w:type="dxa"/>
            <w:tcBorders>
              <w:top w:val="nil"/>
              <w:left w:val="nil"/>
              <w:bottom w:val="nil"/>
              <w:right w:val="nil"/>
            </w:tcBorders>
            <w:shd w:val="clear" w:color="auto" w:fill="auto"/>
            <w:vAlign w:val="center"/>
          </w:tcPr>
          <w:p w14:paraId="641BC91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0.0%</w:t>
            </w:r>
          </w:p>
        </w:tc>
      </w:tr>
      <w:tr w14:paraId="50FD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3AF65B1D">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Pain intensity</w:t>
            </w:r>
          </w:p>
        </w:tc>
        <w:tc>
          <w:tcPr>
            <w:tcW w:w="3216" w:type="dxa"/>
            <w:tcBorders>
              <w:top w:val="nil"/>
              <w:left w:val="nil"/>
              <w:bottom w:val="nil"/>
              <w:right w:val="nil"/>
            </w:tcBorders>
            <w:shd w:val="clear" w:color="auto" w:fill="auto"/>
            <w:vAlign w:val="center"/>
          </w:tcPr>
          <w:p w14:paraId="7C5CB426">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0.7</w:t>
            </w:r>
          </w:p>
        </w:tc>
        <w:tc>
          <w:tcPr>
            <w:tcW w:w="2995" w:type="dxa"/>
            <w:tcBorders>
              <w:top w:val="nil"/>
              <w:left w:val="nil"/>
              <w:bottom w:val="nil"/>
              <w:right w:val="nil"/>
            </w:tcBorders>
            <w:shd w:val="clear" w:color="auto" w:fill="auto"/>
            <w:vAlign w:val="center"/>
          </w:tcPr>
          <w:p w14:paraId="73ECC7D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8 / 662</w:t>
            </w:r>
          </w:p>
        </w:tc>
        <w:tc>
          <w:tcPr>
            <w:tcW w:w="1907" w:type="dxa"/>
            <w:tcBorders>
              <w:top w:val="nil"/>
              <w:left w:val="nil"/>
              <w:bottom w:val="nil"/>
              <w:right w:val="nil"/>
            </w:tcBorders>
            <w:shd w:val="clear" w:color="auto" w:fill="auto"/>
            <w:vAlign w:val="center"/>
          </w:tcPr>
          <w:p w14:paraId="466F99A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−1.14</w:t>
            </w:r>
          </w:p>
        </w:tc>
        <w:tc>
          <w:tcPr>
            <w:tcW w:w="1196" w:type="dxa"/>
            <w:tcBorders>
              <w:top w:val="nil"/>
              <w:left w:val="nil"/>
              <w:bottom w:val="nil"/>
              <w:right w:val="nil"/>
            </w:tcBorders>
            <w:shd w:val="clear" w:color="auto" w:fill="auto"/>
            <w:vAlign w:val="center"/>
          </w:tcPr>
          <w:p w14:paraId="54CB4FB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−1.52 to −0.76</w:t>
            </w:r>
          </w:p>
        </w:tc>
        <w:tc>
          <w:tcPr>
            <w:tcW w:w="2270" w:type="dxa"/>
            <w:tcBorders>
              <w:top w:val="nil"/>
              <w:left w:val="nil"/>
              <w:bottom w:val="nil"/>
              <w:right w:val="nil"/>
            </w:tcBorders>
            <w:shd w:val="clear" w:color="auto" w:fill="auto"/>
            <w:vAlign w:val="center"/>
          </w:tcPr>
          <w:p w14:paraId="6691C20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&lt;0.001</w:t>
            </w:r>
          </w:p>
        </w:tc>
        <w:tc>
          <w:tcPr>
            <w:tcW w:w="936" w:type="dxa"/>
            <w:tcBorders>
              <w:top w:val="nil"/>
              <w:left w:val="nil"/>
              <w:bottom w:val="nil"/>
              <w:right w:val="nil"/>
            </w:tcBorders>
            <w:shd w:val="clear" w:color="auto" w:fill="auto"/>
            <w:vAlign w:val="center"/>
          </w:tcPr>
          <w:p w14:paraId="0D6EC40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14.3%</w:t>
            </w:r>
          </w:p>
        </w:tc>
      </w:tr>
      <w:tr w14:paraId="5727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3C60F0E5">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Pain intensity</w:t>
            </w:r>
          </w:p>
        </w:tc>
        <w:tc>
          <w:tcPr>
            <w:tcW w:w="3216" w:type="dxa"/>
            <w:tcBorders>
              <w:top w:val="nil"/>
              <w:left w:val="nil"/>
              <w:bottom w:val="nil"/>
              <w:right w:val="nil"/>
            </w:tcBorders>
            <w:shd w:val="clear" w:color="auto" w:fill="auto"/>
            <w:vAlign w:val="center"/>
          </w:tcPr>
          <w:p w14:paraId="00EA8F78">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Excluding studies with imputed SDs of change scores</w:t>
            </w:r>
          </w:p>
        </w:tc>
        <w:tc>
          <w:tcPr>
            <w:tcW w:w="2995" w:type="dxa"/>
            <w:tcBorders>
              <w:top w:val="nil"/>
              <w:left w:val="nil"/>
              <w:bottom w:val="nil"/>
              <w:right w:val="nil"/>
            </w:tcBorders>
            <w:shd w:val="clear" w:color="auto" w:fill="auto"/>
            <w:vAlign w:val="center"/>
          </w:tcPr>
          <w:p w14:paraId="3D31D39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5 / 328</w:t>
            </w:r>
          </w:p>
        </w:tc>
        <w:tc>
          <w:tcPr>
            <w:tcW w:w="1907" w:type="dxa"/>
            <w:tcBorders>
              <w:top w:val="nil"/>
              <w:left w:val="nil"/>
              <w:bottom w:val="nil"/>
              <w:right w:val="nil"/>
            </w:tcBorders>
            <w:shd w:val="clear" w:color="auto" w:fill="auto"/>
            <w:vAlign w:val="center"/>
          </w:tcPr>
          <w:p w14:paraId="13E7E71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−0.90</w:t>
            </w:r>
          </w:p>
        </w:tc>
        <w:tc>
          <w:tcPr>
            <w:tcW w:w="1196" w:type="dxa"/>
            <w:tcBorders>
              <w:top w:val="nil"/>
              <w:left w:val="nil"/>
              <w:bottom w:val="nil"/>
              <w:right w:val="nil"/>
            </w:tcBorders>
            <w:shd w:val="clear" w:color="auto" w:fill="auto"/>
            <w:vAlign w:val="center"/>
          </w:tcPr>
          <w:p w14:paraId="0CDBE04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−1.32 to −0.48</w:t>
            </w:r>
          </w:p>
        </w:tc>
        <w:tc>
          <w:tcPr>
            <w:tcW w:w="2270" w:type="dxa"/>
            <w:tcBorders>
              <w:top w:val="nil"/>
              <w:left w:val="nil"/>
              <w:bottom w:val="nil"/>
              <w:right w:val="nil"/>
            </w:tcBorders>
            <w:shd w:val="clear" w:color="auto" w:fill="auto"/>
            <w:vAlign w:val="center"/>
          </w:tcPr>
          <w:p w14:paraId="7ED7F1F1">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0.004</w:t>
            </w:r>
          </w:p>
        </w:tc>
        <w:tc>
          <w:tcPr>
            <w:tcW w:w="936" w:type="dxa"/>
            <w:tcBorders>
              <w:top w:val="nil"/>
              <w:left w:val="nil"/>
              <w:bottom w:val="nil"/>
              <w:right w:val="nil"/>
            </w:tcBorders>
            <w:shd w:val="clear" w:color="auto" w:fill="auto"/>
            <w:vAlign w:val="center"/>
          </w:tcPr>
          <w:p w14:paraId="409790B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0.0%</w:t>
            </w:r>
          </w:p>
        </w:tc>
      </w:tr>
      <w:tr w14:paraId="5A68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5BAB96A0">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WOMAC total score</w:t>
            </w:r>
          </w:p>
        </w:tc>
        <w:tc>
          <w:tcPr>
            <w:tcW w:w="3216" w:type="dxa"/>
            <w:tcBorders>
              <w:top w:val="nil"/>
              <w:left w:val="nil"/>
              <w:bottom w:val="nil"/>
              <w:right w:val="nil"/>
            </w:tcBorders>
            <w:shd w:val="clear" w:color="auto" w:fill="auto"/>
            <w:vAlign w:val="center"/>
          </w:tcPr>
          <w:p w14:paraId="57085B43">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0.3</w:t>
            </w:r>
          </w:p>
        </w:tc>
        <w:tc>
          <w:tcPr>
            <w:tcW w:w="2995" w:type="dxa"/>
            <w:tcBorders>
              <w:top w:val="nil"/>
              <w:left w:val="nil"/>
              <w:bottom w:val="nil"/>
              <w:right w:val="nil"/>
            </w:tcBorders>
            <w:shd w:val="clear" w:color="auto" w:fill="auto"/>
            <w:vAlign w:val="center"/>
          </w:tcPr>
          <w:p w14:paraId="2902C1B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4 / 677</w:t>
            </w:r>
          </w:p>
        </w:tc>
        <w:tc>
          <w:tcPr>
            <w:tcW w:w="1907" w:type="dxa"/>
            <w:tcBorders>
              <w:top w:val="nil"/>
              <w:left w:val="nil"/>
              <w:bottom w:val="nil"/>
              <w:right w:val="nil"/>
            </w:tcBorders>
            <w:shd w:val="clear" w:color="auto" w:fill="auto"/>
            <w:vAlign w:val="center"/>
          </w:tcPr>
          <w:p w14:paraId="483D4FB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−8.02</w:t>
            </w:r>
          </w:p>
        </w:tc>
        <w:tc>
          <w:tcPr>
            <w:tcW w:w="1196" w:type="dxa"/>
            <w:tcBorders>
              <w:top w:val="nil"/>
              <w:left w:val="nil"/>
              <w:bottom w:val="nil"/>
              <w:right w:val="nil"/>
            </w:tcBorders>
            <w:shd w:val="clear" w:color="auto" w:fill="auto"/>
            <w:vAlign w:val="center"/>
          </w:tcPr>
          <w:p w14:paraId="786BF58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−19.44 to 3.39</w:t>
            </w:r>
          </w:p>
        </w:tc>
        <w:tc>
          <w:tcPr>
            <w:tcW w:w="2270" w:type="dxa"/>
            <w:tcBorders>
              <w:top w:val="nil"/>
              <w:left w:val="nil"/>
              <w:bottom w:val="nil"/>
              <w:right w:val="nil"/>
            </w:tcBorders>
            <w:shd w:val="clear" w:color="auto" w:fill="auto"/>
            <w:vAlign w:val="center"/>
          </w:tcPr>
          <w:p w14:paraId="0D92BEB7">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0.111</w:t>
            </w:r>
          </w:p>
        </w:tc>
        <w:tc>
          <w:tcPr>
            <w:tcW w:w="936" w:type="dxa"/>
            <w:tcBorders>
              <w:top w:val="nil"/>
              <w:left w:val="nil"/>
              <w:bottom w:val="nil"/>
              <w:right w:val="nil"/>
            </w:tcBorders>
            <w:shd w:val="clear" w:color="auto" w:fill="auto"/>
            <w:vAlign w:val="center"/>
          </w:tcPr>
          <w:p w14:paraId="405FA16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89.4%</w:t>
            </w:r>
          </w:p>
        </w:tc>
      </w:tr>
      <w:tr w14:paraId="582B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5BEF835F">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WOMAC total score</w:t>
            </w:r>
          </w:p>
        </w:tc>
        <w:tc>
          <w:tcPr>
            <w:tcW w:w="3216" w:type="dxa"/>
            <w:tcBorders>
              <w:top w:val="nil"/>
              <w:left w:val="nil"/>
              <w:bottom w:val="nil"/>
              <w:right w:val="nil"/>
            </w:tcBorders>
            <w:shd w:val="clear" w:color="auto" w:fill="auto"/>
            <w:vAlign w:val="center"/>
          </w:tcPr>
          <w:p w14:paraId="7861BC1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0.5 (primary analysis)</w:t>
            </w:r>
          </w:p>
        </w:tc>
        <w:tc>
          <w:tcPr>
            <w:tcW w:w="2995" w:type="dxa"/>
            <w:tcBorders>
              <w:top w:val="nil"/>
              <w:left w:val="nil"/>
              <w:bottom w:val="nil"/>
              <w:right w:val="nil"/>
            </w:tcBorders>
            <w:shd w:val="clear" w:color="auto" w:fill="auto"/>
            <w:vAlign w:val="center"/>
          </w:tcPr>
          <w:p w14:paraId="2ACA6DE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4 / 677</w:t>
            </w:r>
          </w:p>
        </w:tc>
        <w:tc>
          <w:tcPr>
            <w:tcW w:w="1907" w:type="dxa"/>
            <w:tcBorders>
              <w:top w:val="nil"/>
              <w:left w:val="nil"/>
              <w:bottom w:val="nil"/>
              <w:right w:val="nil"/>
            </w:tcBorders>
            <w:shd w:val="clear" w:color="auto" w:fill="auto"/>
            <w:vAlign w:val="center"/>
          </w:tcPr>
          <w:p w14:paraId="70E2C8E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−8.05</w:t>
            </w:r>
          </w:p>
        </w:tc>
        <w:tc>
          <w:tcPr>
            <w:tcW w:w="1196" w:type="dxa"/>
            <w:tcBorders>
              <w:top w:val="nil"/>
              <w:left w:val="nil"/>
              <w:bottom w:val="nil"/>
              <w:right w:val="nil"/>
            </w:tcBorders>
            <w:shd w:val="clear" w:color="auto" w:fill="auto"/>
            <w:vAlign w:val="center"/>
          </w:tcPr>
          <w:p w14:paraId="38CFF438">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−19.49 to 3.39</w:t>
            </w:r>
          </w:p>
        </w:tc>
        <w:tc>
          <w:tcPr>
            <w:tcW w:w="2270" w:type="dxa"/>
            <w:tcBorders>
              <w:top w:val="nil"/>
              <w:left w:val="nil"/>
              <w:bottom w:val="nil"/>
              <w:right w:val="nil"/>
            </w:tcBorders>
            <w:shd w:val="clear" w:color="auto" w:fill="auto"/>
            <w:vAlign w:val="center"/>
          </w:tcPr>
          <w:p w14:paraId="47D73F8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0.111</w:t>
            </w:r>
          </w:p>
        </w:tc>
        <w:tc>
          <w:tcPr>
            <w:tcW w:w="936" w:type="dxa"/>
            <w:tcBorders>
              <w:top w:val="nil"/>
              <w:left w:val="nil"/>
              <w:bottom w:val="nil"/>
              <w:right w:val="nil"/>
            </w:tcBorders>
            <w:shd w:val="clear" w:color="auto" w:fill="auto"/>
            <w:vAlign w:val="center"/>
          </w:tcPr>
          <w:p w14:paraId="46F36C9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90.2%</w:t>
            </w:r>
          </w:p>
        </w:tc>
      </w:tr>
      <w:tr w14:paraId="3718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0118E77B">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WOMAC total score</w:t>
            </w:r>
          </w:p>
        </w:tc>
        <w:tc>
          <w:tcPr>
            <w:tcW w:w="3216" w:type="dxa"/>
            <w:tcBorders>
              <w:top w:val="nil"/>
              <w:left w:val="nil"/>
              <w:bottom w:val="nil"/>
              <w:right w:val="nil"/>
            </w:tcBorders>
            <w:shd w:val="clear" w:color="auto" w:fill="auto"/>
            <w:vAlign w:val="center"/>
          </w:tcPr>
          <w:p w14:paraId="54234F07">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0.7</w:t>
            </w:r>
          </w:p>
        </w:tc>
        <w:tc>
          <w:tcPr>
            <w:tcW w:w="2995" w:type="dxa"/>
            <w:tcBorders>
              <w:top w:val="nil"/>
              <w:left w:val="nil"/>
              <w:bottom w:val="nil"/>
              <w:right w:val="nil"/>
            </w:tcBorders>
            <w:shd w:val="clear" w:color="auto" w:fill="auto"/>
            <w:vAlign w:val="center"/>
          </w:tcPr>
          <w:p w14:paraId="0FF5E88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4 / 677</w:t>
            </w:r>
          </w:p>
        </w:tc>
        <w:tc>
          <w:tcPr>
            <w:tcW w:w="1907" w:type="dxa"/>
            <w:tcBorders>
              <w:top w:val="nil"/>
              <w:left w:val="nil"/>
              <w:bottom w:val="nil"/>
              <w:right w:val="nil"/>
            </w:tcBorders>
            <w:shd w:val="clear" w:color="auto" w:fill="auto"/>
            <w:vAlign w:val="center"/>
          </w:tcPr>
          <w:p w14:paraId="6761C07F">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−8.08</w:t>
            </w:r>
          </w:p>
        </w:tc>
        <w:tc>
          <w:tcPr>
            <w:tcW w:w="1196" w:type="dxa"/>
            <w:tcBorders>
              <w:top w:val="nil"/>
              <w:left w:val="nil"/>
              <w:bottom w:val="nil"/>
              <w:right w:val="nil"/>
            </w:tcBorders>
            <w:shd w:val="clear" w:color="auto" w:fill="auto"/>
            <w:vAlign w:val="center"/>
          </w:tcPr>
          <w:p w14:paraId="3D528FDB">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−19.55 to 3.39</w:t>
            </w:r>
          </w:p>
        </w:tc>
        <w:tc>
          <w:tcPr>
            <w:tcW w:w="2270" w:type="dxa"/>
            <w:tcBorders>
              <w:top w:val="nil"/>
              <w:left w:val="nil"/>
              <w:bottom w:val="nil"/>
              <w:right w:val="nil"/>
            </w:tcBorders>
            <w:shd w:val="clear" w:color="auto" w:fill="auto"/>
            <w:vAlign w:val="center"/>
          </w:tcPr>
          <w:p w14:paraId="7987F8B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0.111</w:t>
            </w:r>
          </w:p>
        </w:tc>
        <w:tc>
          <w:tcPr>
            <w:tcW w:w="936" w:type="dxa"/>
            <w:tcBorders>
              <w:top w:val="nil"/>
              <w:left w:val="nil"/>
              <w:bottom w:val="nil"/>
              <w:right w:val="nil"/>
            </w:tcBorders>
            <w:shd w:val="clear" w:color="auto" w:fill="auto"/>
            <w:vAlign w:val="center"/>
          </w:tcPr>
          <w:p w14:paraId="3EAE67D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91.0%</w:t>
            </w:r>
          </w:p>
        </w:tc>
      </w:tr>
      <w:tr w14:paraId="1C67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22A1C61C">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WOMAC total score</w:t>
            </w:r>
          </w:p>
        </w:tc>
        <w:tc>
          <w:tcPr>
            <w:tcW w:w="3216" w:type="dxa"/>
            <w:tcBorders>
              <w:top w:val="nil"/>
              <w:left w:val="nil"/>
              <w:bottom w:val="nil"/>
              <w:right w:val="nil"/>
            </w:tcBorders>
            <w:shd w:val="clear" w:color="auto" w:fill="auto"/>
            <w:vAlign w:val="center"/>
          </w:tcPr>
          <w:p w14:paraId="12135574">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Excluding studies with imputed SDs of change scores</w:t>
            </w:r>
          </w:p>
        </w:tc>
        <w:tc>
          <w:tcPr>
            <w:tcW w:w="2995" w:type="dxa"/>
            <w:tcBorders>
              <w:top w:val="nil"/>
              <w:left w:val="nil"/>
              <w:bottom w:val="nil"/>
              <w:right w:val="nil"/>
            </w:tcBorders>
            <w:shd w:val="clear" w:color="auto" w:fill="auto"/>
            <w:vAlign w:val="center"/>
          </w:tcPr>
          <w:p w14:paraId="22E25490">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3 / 244</w:t>
            </w:r>
          </w:p>
        </w:tc>
        <w:tc>
          <w:tcPr>
            <w:tcW w:w="1907" w:type="dxa"/>
            <w:tcBorders>
              <w:top w:val="nil"/>
              <w:left w:val="nil"/>
              <w:bottom w:val="nil"/>
              <w:right w:val="nil"/>
            </w:tcBorders>
            <w:shd w:val="clear" w:color="auto" w:fill="auto"/>
            <w:vAlign w:val="center"/>
          </w:tcPr>
          <w:p w14:paraId="013D4FA5">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−4.50</w:t>
            </w:r>
          </w:p>
        </w:tc>
        <w:tc>
          <w:tcPr>
            <w:tcW w:w="1196" w:type="dxa"/>
            <w:tcBorders>
              <w:top w:val="nil"/>
              <w:left w:val="nil"/>
              <w:bottom w:val="nil"/>
              <w:right w:val="nil"/>
            </w:tcBorders>
            <w:shd w:val="clear" w:color="auto" w:fill="auto"/>
            <w:vAlign w:val="center"/>
          </w:tcPr>
          <w:p w14:paraId="1B634B7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−10.73 to 1.73</w:t>
            </w:r>
          </w:p>
        </w:tc>
        <w:tc>
          <w:tcPr>
            <w:tcW w:w="2270" w:type="dxa"/>
            <w:tcBorders>
              <w:top w:val="nil"/>
              <w:left w:val="nil"/>
              <w:bottom w:val="nil"/>
              <w:right w:val="nil"/>
            </w:tcBorders>
            <w:shd w:val="clear" w:color="auto" w:fill="auto"/>
            <w:vAlign w:val="center"/>
          </w:tcPr>
          <w:p w14:paraId="7E65A43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0.090</w:t>
            </w:r>
          </w:p>
        </w:tc>
        <w:tc>
          <w:tcPr>
            <w:tcW w:w="936" w:type="dxa"/>
            <w:tcBorders>
              <w:top w:val="nil"/>
              <w:left w:val="nil"/>
              <w:bottom w:val="nil"/>
              <w:right w:val="nil"/>
            </w:tcBorders>
            <w:shd w:val="clear" w:color="auto" w:fill="auto"/>
            <w:vAlign w:val="center"/>
          </w:tcPr>
          <w:p w14:paraId="06DAD45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0.0%</w:t>
            </w:r>
          </w:p>
        </w:tc>
      </w:tr>
      <w:tr w14:paraId="1C58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72A65209">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CRP/hs-CRP</w:t>
            </w:r>
          </w:p>
        </w:tc>
        <w:tc>
          <w:tcPr>
            <w:tcW w:w="3216" w:type="dxa"/>
            <w:tcBorders>
              <w:top w:val="nil"/>
              <w:left w:val="nil"/>
              <w:bottom w:val="nil"/>
              <w:right w:val="nil"/>
            </w:tcBorders>
            <w:shd w:val="clear" w:color="auto" w:fill="auto"/>
            <w:vAlign w:val="center"/>
          </w:tcPr>
          <w:p w14:paraId="0158E71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0.3</w:t>
            </w:r>
          </w:p>
        </w:tc>
        <w:tc>
          <w:tcPr>
            <w:tcW w:w="2995" w:type="dxa"/>
            <w:tcBorders>
              <w:top w:val="nil"/>
              <w:left w:val="nil"/>
              <w:bottom w:val="nil"/>
              <w:right w:val="nil"/>
            </w:tcBorders>
            <w:shd w:val="clear" w:color="auto" w:fill="auto"/>
            <w:vAlign w:val="center"/>
          </w:tcPr>
          <w:p w14:paraId="6C7C9B7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5 / 483</w:t>
            </w:r>
          </w:p>
        </w:tc>
        <w:tc>
          <w:tcPr>
            <w:tcW w:w="1907" w:type="dxa"/>
            <w:tcBorders>
              <w:top w:val="nil"/>
              <w:left w:val="nil"/>
              <w:bottom w:val="nil"/>
              <w:right w:val="nil"/>
            </w:tcBorders>
            <w:shd w:val="clear" w:color="auto" w:fill="auto"/>
            <w:vAlign w:val="center"/>
          </w:tcPr>
          <w:p w14:paraId="6FF65DF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−0.42</w:t>
            </w:r>
          </w:p>
        </w:tc>
        <w:tc>
          <w:tcPr>
            <w:tcW w:w="1196" w:type="dxa"/>
            <w:tcBorders>
              <w:top w:val="nil"/>
              <w:left w:val="nil"/>
              <w:bottom w:val="nil"/>
              <w:right w:val="nil"/>
            </w:tcBorders>
            <w:shd w:val="clear" w:color="auto" w:fill="auto"/>
            <w:vAlign w:val="center"/>
          </w:tcPr>
          <w:p w14:paraId="5AA05A47">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−1.77 to 0.94</w:t>
            </w:r>
          </w:p>
        </w:tc>
        <w:tc>
          <w:tcPr>
            <w:tcW w:w="2270" w:type="dxa"/>
            <w:tcBorders>
              <w:top w:val="nil"/>
              <w:left w:val="nil"/>
              <w:bottom w:val="nil"/>
              <w:right w:val="nil"/>
            </w:tcBorders>
            <w:shd w:val="clear" w:color="auto" w:fill="auto"/>
            <w:vAlign w:val="center"/>
          </w:tcPr>
          <w:p w14:paraId="373A7191">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0.440</w:t>
            </w:r>
          </w:p>
        </w:tc>
        <w:tc>
          <w:tcPr>
            <w:tcW w:w="936" w:type="dxa"/>
            <w:tcBorders>
              <w:top w:val="nil"/>
              <w:left w:val="nil"/>
              <w:bottom w:val="nil"/>
              <w:right w:val="nil"/>
            </w:tcBorders>
            <w:shd w:val="clear" w:color="auto" w:fill="auto"/>
            <w:vAlign w:val="center"/>
          </w:tcPr>
          <w:p w14:paraId="6D871BA2">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95.9%</w:t>
            </w:r>
          </w:p>
        </w:tc>
      </w:tr>
      <w:tr w14:paraId="2672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62097A96">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CRP/hs-CRP</w:t>
            </w:r>
          </w:p>
        </w:tc>
        <w:tc>
          <w:tcPr>
            <w:tcW w:w="3216" w:type="dxa"/>
            <w:tcBorders>
              <w:top w:val="nil"/>
              <w:left w:val="nil"/>
              <w:bottom w:val="nil"/>
              <w:right w:val="nil"/>
            </w:tcBorders>
            <w:shd w:val="clear" w:color="auto" w:fill="auto"/>
            <w:vAlign w:val="center"/>
          </w:tcPr>
          <w:p w14:paraId="5BA08E6F">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0.5 (primary analysis)</w:t>
            </w:r>
          </w:p>
        </w:tc>
        <w:tc>
          <w:tcPr>
            <w:tcW w:w="2995" w:type="dxa"/>
            <w:tcBorders>
              <w:top w:val="nil"/>
              <w:left w:val="nil"/>
              <w:bottom w:val="nil"/>
              <w:right w:val="nil"/>
            </w:tcBorders>
            <w:shd w:val="clear" w:color="auto" w:fill="auto"/>
            <w:vAlign w:val="center"/>
          </w:tcPr>
          <w:p w14:paraId="13F52134">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5 / 483</w:t>
            </w:r>
          </w:p>
        </w:tc>
        <w:tc>
          <w:tcPr>
            <w:tcW w:w="1907" w:type="dxa"/>
            <w:tcBorders>
              <w:top w:val="nil"/>
              <w:left w:val="nil"/>
              <w:bottom w:val="nil"/>
              <w:right w:val="nil"/>
            </w:tcBorders>
            <w:shd w:val="clear" w:color="auto" w:fill="auto"/>
            <w:vAlign w:val="center"/>
          </w:tcPr>
          <w:p w14:paraId="56ABF6F7">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−0.42</w:t>
            </w:r>
          </w:p>
        </w:tc>
        <w:tc>
          <w:tcPr>
            <w:tcW w:w="1196" w:type="dxa"/>
            <w:tcBorders>
              <w:top w:val="nil"/>
              <w:left w:val="nil"/>
              <w:bottom w:val="nil"/>
              <w:right w:val="nil"/>
            </w:tcBorders>
            <w:shd w:val="clear" w:color="auto" w:fill="auto"/>
            <w:vAlign w:val="center"/>
          </w:tcPr>
          <w:p w14:paraId="4263FB96">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−1.77 to 0.94</w:t>
            </w:r>
          </w:p>
        </w:tc>
        <w:tc>
          <w:tcPr>
            <w:tcW w:w="2270" w:type="dxa"/>
            <w:tcBorders>
              <w:top w:val="nil"/>
              <w:left w:val="nil"/>
              <w:bottom w:val="nil"/>
              <w:right w:val="nil"/>
            </w:tcBorders>
            <w:shd w:val="clear" w:color="auto" w:fill="auto"/>
            <w:vAlign w:val="center"/>
          </w:tcPr>
          <w:p w14:paraId="0401ADFE">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0.439</w:t>
            </w:r>
          </w:p>
        </w:tc>
        <w:tc>
          <w:tcPr>
            <w:tcW w:w="936" w:type="dxa"/>
            <w:tcBorders>
              <w:top w:val="nil"/>
              <w:left w:val="nil"/>
              <w:bottom w:val="nil"/>
              <w:right w:val="nil"/>
            </w:tcBorders>
            <w:shd w:val="clear" w:color="auto" w:fill="auto"/>
            <w:vAlign w:val="center"/>
          </w:tcPr>
          <w:p w14:paraId="3B8E937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96.9%</w:t>
            </w:r>
          </w:p>
        </w:tc>
      </w:tr>
      <w:tr w14:paraId="742A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nil"/>
              <w:right w:val="nil"/>
            </w:tcBorders>
            <w:shd w:val="clear" w:color="auto" w:fill="auto"/>
            <w:vAlign w:val="center"/>
          </w:tcPr>
          <w:p w14:paraId="0141B0F8">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CRP/hs-CRP</w:t>
            </w:r>
          </w:p>
        </w:tc>
        <w:tc>
          <w:tcPr>
            <w:tcW w:w="3216" w:type="dxa"/>
            <w:tcBorders>
              <w:top w:val="nil"/>
              <w:left w:val="nil"/>
              <w:bottom w:val="nil"/>
              <w:right w:val="nil"/>
            </w:tcBorders>
            <w:shd w:val="clear" w:color="auto" w:fill="auto"/>
            <w:vAlign w:val="center"/>
          </w:tcPr>
          <w:p w14:paraId="4DBA7D01">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Assumed correlation coefficient, r = 0.7</w:t>
            </w:r>
          </w:p>
        </w:tc>
        <w:tc>
          <w:tcPr>
            <w:tcW w:w="2995" w:type="dxa"/>
            <w:tcBorders>
              <w:top w:val="nil"/>
              <w:left w:val="nil"/>
              <w:bottom w:val="nil"/>
              <w:right w:val="nil"/>
            </w:tcBorders>
            <w:shd w:val="clear" w:color="auto" w:fill="auto"/>
            <w:vAlign w:val="center"/>
          </w:tcPr>
          <w:p w14:paraId="768F2003">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5 / 483</w:t>
            </w:r>
          </w:p>
        </w:tc>
        <w:tc>
          <w:tcPr>
            <w:tcW w:w="1907" w:type="dxa"/>
            <w:tcBorders>
              <w:top w:val="nil"/>
              <w:left w:val="nil"/>
              <w:bottom w:val="nil"/>
              <w:right w:val="nil"/>
            </w:tcBorders>
            <w:shd w:val="clear" w:color="auto" w:fill="auto"/>
            <w:vAlign w:val="center"/>
          </w:tcPr>
          <w:p w14:paraId="5DCEAB3D">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−0.42</w:t>
            </w:r>
          </w:p>
        </w:tc>
        <w:tc>
          <w:tcPr>
            <w:tcW w:w="1196" w:type="dxa"/>
            <w:tcBorders>
              <w:top w:val="nil"/>
              <w:left w:val="nil"/>
              <w:bottom w:val="nil"/>
              <w:right w:val="nil"/>
            </w:tcBorders>
            <w:shd w:val="clear" w:color="auto" w:fill="auto"/>
            <w:vAlign w:val="center"/>
          </w:tcPr>
          <w:p w14:paraId="72DA042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−1.77 to 0.93</w:t>
            </w:r>
          </w:p>
        </w:tc>
        <w:tc>
          <w:tcPr>
            <w:tcW w:w="2270" w:type="dxa"/>
            <w:tcBorders>
              <w:top w:val="nil"/>
              <w:left w:val="nil"/>
              <w:bottom w:val="nil"/>
              <w:right w:val="nil"/>
            </w:tcBorders>
            <w:shd w:val="clear" w:color="auto" w:fill="auto"/>
            <w:vAlign w:val="center"/>
          </w:tcPr>
          <w:p w14:paraId="260501BB">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0.438</w:t>
            </w:r>
          </w:p>
        </w:tc>
        <w:tc>
          <w:tcPr>
            <w:tcW w:w="936" w:type="dxa"/>
            <w:tcBorders>
              <w:top w:val="nil"/>
              <w:left w:val="nil"/>
              <w:bottom w:val="nil"/>
              <w:right w:val="nil"/>
            </w:tcBorders>
            <w:shd w:val="clear" w:color="auto" w:fill="auto"/>
            <w:vAlign w:val="center"/>
          </w:tcPr>
          <w:p w14:paraId="77814FF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98.0%</w:t>
            </w:r>
          </w:p>
        </w:tc>
      </w:tr>
      <w:tr w14:paraId="6493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56" w:type="dxa"/>
            <w:tcBorders>
              <w:top w:val="nil"/>
              <w:left w:val="nil"/>
              <w:bottom w:val="single" w:color="auto" w:sz="12" w:space="0"/>
              <w:right w:val="nil"/>
            </w:tcBorders>
            <w:shd w:val="clear" w:color="auto" w:fill="auto"/>
            <w:vAlign w:val="center"/>
          </w:tcPr>
          <w:p w14:paraId="4F97B42E">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CRP/hs-CRP</w:t>
            </w:r>
          </w:p>
        </w:tc>
        <w:tc>
          <w:tcPr>
            <w:tcW w:w="3216" w:type="dxa"/>
            <w:tcBorders>
              <w:top w:val="nil"/>
              <w:left w:val="nil"/>
              <w:bottom w:val="single" w:color="auto" w:sz="12" w:space="0"/>
              <w:right w:val="nil"/>
            </w:tcBorders>
            <w:shd w:val="clear" w:color="auto" w:fill="auto"/>
            <w:vAlign w:val="center"/>
          </w:tcPr>
          <w:p w14:paraId="7E9E81BC">
            <w:pPr>
              <w:keepNext w:val="0"/>
              <w:keepLines w:val="0"/>
              <w:widowControl/>
              <w:suppressLineNumbers w:val="0"/>
              <w:snapToGrid w:val="0"/>
              <w:ind w:left="0" w:leftChars="0" w:right="0" w:rightChars="0" w:firstLine="0" w:firstLineChars="0"/>
              <w:jc w:val="left"/>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Excluding studies with imputed SDs of change scores</w:t>
            </w:r>
          </w:p>
        </w:tc>
        <w:tc>
          <w:tcPr>
            <w:tcW w:w="2995" w:type="dxa"/>
            <w:tcBorders>
              <w:top w:val="nil"/>
              <w:left w:val="nil"/>
              <w:bottom w:val="single" w:color="auto" w:sz="12" w:space="0"/>
              <w:right w:val="nil"/>
            </w:tcBorders>
            <w:shd w:val="clear" w:color="auto" w:fill="auto"/>
            <w:vAlign w:val="center"/>
          </w:tcPr>
          <w:p w14:paraId="2CBC94CA">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3 / 244</w:t>
            </w:r>
          </w:p>
        </w:tc>
        <w:tc>
          <w:tcPr>
            <w:tcW w:w="1907" w:type="dxa"/>
            <w:tcBorders>
              <w:top w:val="nil"/>
              <w:left w:val="nil"/>
              <w:bottom w:val="single" w:color="auto" w:sz="12" w:space="0"/>
              <w:right w:val="nil"/>
            </w:tcBorders>
            <w:shd w:val="clear" w:color="auto" w:fill="auto"/>
            <w:vAlign w:val="center"/>
          </w:tcPr>
          <w:p w14:paraId="5E4B80F1">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MD = −0.20</w:t>
            </w:r>
          </w:p>
        </w:tc>
        <w:tc>
          <w:tcPr>
            <w:tcW w:w="1196" w:type="dxa"/>
            <w:tcBorders>
              <w:top w:val="nil"/>
              <w:left w:val="nil"/>
              <w:bottom w:val="single" w:color="auto" w:sz="12" w:space="0"/>
              <w:right w:val="nil"/>
            </w:tcBorders>
            <w:shd w:val="clear" w:color="auto" w:fill="auto"/>
            <w:vAlign w:val="center"/>
          </w:tcPr>
          <w:p w14:paraId="528829D9">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−4.45 to 4.05</w:t>
            </w:r>
          </w:p>
        </w:tc>
        <w:tc>
          <w:tcPr>
            <w:tcW w:w="2270" w:type="dxa"/>
            <w:tcBorders>
              <w:top w:val="nil"/>
              <w:left w:val="nil"/>
              <w:bottom w:val="single" w:color="auto" w:sz="12" w:space="0"/>
              <w:right w:val="nil"/>
            </w:tcBorders>
            <w:shd w:val="clear" w:color="auto" w:fill="auto"/>
            <w:vAlign w:val="center"/>
          </w:tcPr>
          <w:p w14:paraId="6E77E79B">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0.858</w:t>
            </w:r>
          </w:p>
        </w:tc>
        <w:tc>
          <w:tcPr>
            <w:tcW w:w="936" w:type="dxa"/>
            <w:tcBorders>
              <w:top w:val="nil"/>
              <w:left w:val="nil"/>
              <w:bottom w:val="single" w:color="auto" w:sz="12" w:space="0"/>
              <w:right w:val="nil"/>
            </w:tcBorders>
            <w:shd w:val="clear" w:color="auto" w:fill="auto"/>
            <w:vAlign w:val="center"/>
          </w:tcPr>
          <w:p w14:paraId="38F4DA8C">
            <w:pPr>
              <w:keepNext w:val="0"/>
              <w:keepLines w:val="0"/>
              <w:widowControl/>
              <w:suppressLineNumbers w:val="0"/>
              <w:snapToGrid w:val="0"/>
              <w:ind w:left="0" w:leftChars="0" w:right="0" w:rightChars="0" w:firstLine="0" w:firstLineChars="0"/>
              <w:jc w:val="center"/>
              <w:rPr>
                <w:rFonts w:hint="default" w:ascii="Times New Roman" w:hAnsi="Times New Roman" w:eastAsia="宋体" w:cs="Times New Roman"/>
                <w:kern w:val="2"/>
                <w:sz w:val="20"/>
                <w:szCs w:val="20"/>
                <w:lang w:val="en-US" w:eastAsia="zh-CN" w:bidi="ar-SA"/>
              </w:rPr>
            </w:pPr>
            <w:r>
              <w:rPr>
                <w:rFonts w:hint="default" w:ascii="Times New Roman" w:hAnsi="Times New Roman" w:eastAsia="宋体" w:cs="Times New Roman"/>
                <w:kern w:val="0"/>
                <w:sz w:val="20"/>
                <w:szCs w:val="20"/>
                <w:lang w:val="en-US" w:eastAsia="zh-CN" w:bidi="ar"/>
              </w:rPr>
              <w:t>88.3%</w:t>
            </w:r>
          </w:p>
        </w:tc>
      </w:tr>
    </w:tbl>
    <w:p w14:paraId="07DE46D7">
      <w:pPr>
        <w:widowControl/>
        <w:rPr>
          <w:rFonts w:hint="default" w:ascii="Times New Roman" w:hAnsi="Times New Roman" w:eastAsia="宋体" w:cs="Times New Roman"/>
          <w:b w:val="0"/>
          <w:bCs w:val="0"/>
          <w:sz w:val="18"/>
          <w:szCs w:val="18"/>
          <w:lang w:val="en-US" w:eastAsia="zh-CN"/>
        </w:rPr>
      </w:pPr>
      <w:r>
        <w:rPr>
          <w:rFonts w:hint="default" w:ascii="Times New Roman" w:hAnsi="Times New Roman" w:eastAsia="宋体" w:cs="Times New Roman"/>
          <w:b/>
          <w:bCs/>
          <w:sz w:val="18"/>
          <w:szCs w:val="18"/>
          <w:lang w:val="en-US" w:eastAsia="zh-CN"/>
        </w:rPr>
        <w:t>Note:</w:t>
      </w:r>
      <w:r>
        <w:rPr>
          <w:rFonts w:hint="default" w:ascii="Times New Roman" w:hAnsi="Times New Roman" w:eastAsia="宋体" w:cs="Times New Roman"/>
          <w:b w:val="0"/>
          <w:bCs w:val="0"/>
          <w:sz w:val="18"/>
          <w:szCs w:val="18"/>
          <w:lang w:val="en-US" w:eastAsia="zh-CN"/>
        </w:rPr>
        <w:t xml:space="preserve"> The assumed correlation coefficient was varied only for studies in which the standard deviation of the change score was estimated from baseline and follow-up standard deviations. Studies that directly reported change-score standard deviations or baseline-adjusted between-group effects remained unchanged. All analyses used a random-effects model with restricted maximum likelihood estimation and the Hartung–Knapp adjustment.</w:t>
      </w:r>
    </w:p>
    <w:p w14:paraId="2D6FACCB">
      <w:pPr>
        <w:widowControl/>
        <w:rPr>
          <w:rFonts w:hint="eastAsia" w:ascii="Times New Roman" w:hAnsi="Times New Roman" w:eastAsia="宋体" w:cs="Times New Roman"/>
          <w:b/>
          <w:bCs/>
          <w:sz w:val="24"/>
          <w:lang w:val="en-US" w:eastAsia="zh-CN"/>
        </w:rPr>
        <w:sectPr>
          <w:pgSz w:w="16838" w:h="11906" w:orient="landscape"/>
          <w:pgMar w:top="1800" w:right="1440" w:bottom="1800" w:left="1440" w:header="851" w:footer="992" w:gutter="0"/>
          <w:cols w:space="425" w:num="1"/>
          <w:docGrid w:type="lines" w:linePitch="312" w:charSpace="0"/>
        </w:sectPr>
      </w:pPr>
      <w:r>
        <w:rPr>
          <w:rFonts w:hint="default" w:ascii="Times New Roman" w:hAnsi="Times New Roman" w:eastAsia="宋体" w:cs="Times New Roman"/>
          <w:b/>
          <w:bCs/>
          <w:sz w:val="18"/>
          <w:szCs w:val="18"/>
          <w:lang w:val="en-US" w:eastAsia="zh-CN"/>
        </w:rPr>
        <w:t>Abbreviations:</w:t>
      </w:r>
      <w:r>
        <w:rPr>
          <w:rFonts w:hint="default" w:ascii="Times New Roman" w:hAnsi="Times New Roman" w:eastAsia="宋体" w:cs="Times New Roman"/>
          <w:b w:val="0"/>
          <w:bCs w:val="0"/>
          <w:sz w:val="18"/>
          <w:szCs w:val="18"/>
          <w:lang w:val="en-US" w:eastAsia="zh-CN"/>
        </w:rPr>
        <w:t xml:space="preserve"> CI, confidence interval; CRP, C-reactive protein; hs-CRP, high-sensitivity C-reactive protein; MD, mean difference; SD, standard deviation; WOMAC, Western Ontario and McMaster Universities Osteoarthritis Index.</w:t>
      </w:r>
    </w:p>
    <w:p w14:paraId="508F8246">
      <w:pPr>
        <w:jc w:val="both"/>
        <w:rPr>
          <w:rFonts w:ascii="Times New Roman" w:hAnsi="Times New Roman" w:cs="Times New Roman"/>
        </w:rPr>
      </w:pPr>
      <w:r>
        <w:rPr>
          <w:rFonts w:ascii="Times New Roman" w:hAnsi="Times New Roman" w:cs="Times New Roman"/>
        </w:rPr>
        <w:drawing>
          <wp:inline distT="0" distB="0" distL="114300" distR="114300">
            <wp:extent cx="5271135" cy="3904615"/>
            <wp:effectExtent l="9525" t="9525" r="15240" b="10160"/>
            <wp:docPr id="5" name="图片 5" descr="Figure4_secondary_clinical_SCALE_CORRECTED_FINAL_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4_secondary_clinical_SCALE_CORRECTED_FINAL_Arial"/>
                    <pic:cNvPicPr>
                      <a:picLocks noChangeAspect="1"/>
                    </pic:cNvPicPr>
                  </pic:nvPicPr>
                  <pic:blipFill>
                    <a:blip r:embed="rId4"/>
                    <a:stretch>
                      <a:fillRect/>
                    </a:stretch>
                  </pic:blipFill>
                  <pic:spPr>
                    <a:xfrm>
                      <a:off x="0" y="0"/>
                      <a:ext cx="5271135" cy="3904615"/>
                    </a:xfrm>
                    <a:prstGeom prst="rect">
                      <a:avLst/>
                    </a:prstGeom>
                    <a:ln>
                      <a:solidFill>
                        <a:schemeClr val="tx1"/>
                      </a:solidFill>
                    </a:ln>
                  </pic:spPr>
                </pic:pic>
              </a:graphicData>
            </a:graphic>
          </wp:inline>
        </w:drawing>
      </w:r>
    </w:p>
    <w:p w14:paraId="2C859BD6">
      <w:pPr>
        <w:rPr>
          <w:rFonts w:ascii="Times New Roman" w:hAnsi="Times New Roman" w:cs="Times New Roman"/>
        </w:rPr>
      </w:pPr>
      <w:r>
        <w:rPr>
          <w:rFonts w:ascii="Times New Roman" w:hAnsi="Times New Roman" w:cs="Times New Roman"/>
          <w:b/>
          <w:bCs/>
        </w:rPr>
        <w:t>Supplementary Fig.</w:t>
      </w:r>
      <w:r>
        <w:rPr>
          <w:rFonts w:hint="eastAsia" w:ascii="Times New Roman" w:hAnsi="Times New Roman" w:cs="Times New Roman"/>
          <w:b/>
          <w:bCs/>
        </w:rPr>
        <w:t xml:space="preserve"> </w:t>
      </w:r>
      <w:r>
        <w:rPr>
          <w:rFonts w:ascii="Times New Roman" w:hAnsi="Times New Roman" w:cs="Times New Roman"/>
          <w:b/>
          <w:bCs/>
        </w:rPr>
        <w:t>1</w:t>
      </w:r>
      <w:r>
        <w:rPr>
          <w:rFonts w:ascii="Times New Roman" w:hAnsi="Times New Roman" w:cs="Times New Roman"/>
        </w:rPr>
        <w:t xml:space="preserve"> Forest plots for WOMAC subscales. A, WOMAC pain; B, WOMAC physical function; C, WOMAC stiffness.</w:t>
      </w:r>
    </w:p>
    <w:p w14:paraId="1CB82381">
      <w:pPr>
        <w:jc w:val="center"/>
        <w:rPr>
          <w:rFonts w:ascii="Times New Roman" w:hAnsi="Times New Roman" w:cs="Times New Roman"/>
        </w:rPr>
      </w:pPr>
      <w:r>
        <w:rPr>
          <w:rFonts w:ascii="Times New Roman" w:hAnsi="Times New Roman" w:cs="Times New Roman"/>
        </w:rPr>
        <w:drawing>
          <wp:inline distT="0" distB="0" distL="114300" distR="114300">
            <wp:extent cx="5271135" cy="3045460"/>
            <wp:effectExtent l="9525" t="9525" r="15240" b="18415"/>
            <wp:docPr id="9" name="图片 9" descr="Supplementary_Figure_2_ROM_OKS_change_score_Karim2025_FINAL_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upplementary_Figure_2_ROM_OKS_change_score_Karim2025_FINAL_Arial"/>
                    <pic:cNvPicPr>
                      <a:picLocks noChangeAspect="1"/>
                    </pic:cNvPicPr>
                  </pic:nvPicPr>
                  <pic:blipFill>
                    <a:blip r:embed="rId5"/>
                    <a:stretch>
                      <a:fillRect/>
                    </a:stretch>
                  </pic:blipFill>
                  <pic:spPr>
                    <a:xfrm>
                      <a:off x="0" y="0"/>
                      <a:ext cx="5271135" cy="3045460"/>
                    </a:xfrm>
                    <a:prstGeom prst="rect">
                      <a:avLst/>
                    </a:prstGeom>
                    <a:ln>
                      <a:solidFill>
                        <a:schemeClr val="tx1"/>
                      </a:solidFill>
                    </a:ln>
                  </pic:spPr>
                </pic:pic>
              </a:graphicData>
            </a:graphic>
          </wp:inline>
        </w:drawing>
      </w:r>
    </w:p>
    <w:p w14:paraId="5F36DFA2">
      <w:pPr>
        <w:jc w:val="left"/>
        <w:rPr>
          <w:rFonts w:ascii="Times New Roman" w:hAnsi="Times New Roman" w:eastAsia="宋体" w:cs="Times New Roman"/>
          <w:szCs w:val="21"/>
        </w:rPr>
      </w:pPr>
      <w:r>
        <w:rPr>
          <w:rFonts w:ascii="Times New Roman" w:hAnsi="Times New Roman" w:eastAsia="宋体" w:cs="Times New Roman"/>
          <w:b/>
          <w:bCs/>
          <w:szCs w:val="21"/>
        </w:rPr>
        <w:t>Supplementary Fig. 2</w:t>
      </w:r>
      <w:r>
        <w:rPr>
          <w:rFonts w:ascii="Times New Roman" w:hAnsi="Times New Roman" w:eastAsia="宋体" w:cs="Times New Roman"/>
          <w:szCs w:val="21"/>
        </w:rPr>
        <w:t xml:space="preserve"> Forest plots for functional outcomes. A, range of motion; B, Oxford Knee Score.</w:t>
      </w:r>
    </w:p>
    <w:p w14:paraId="572E2689">
      <w:pPr>
        <w:jc w:val="center"/>
        <w:rPr>
          <w:rFonts w:ascii="Times New Roman" w:hAnsi="Times New Roman" w:eastAsia="宋体" w:cs="Times New Roman"/>
          <w:sz w:val="24"/>
        </w:rPr>
      </w:pPr>
      <w:r>
        <w:rPr>
          <w:rFonts w:hint="eastAsia" w:ascii="Times New Roman" w:hAnsi="Times New Roman" w:eastAsia="宋体" w:cs="Times New Roman"/>
          <w:sz w:val="24"/>
        </w:rPr>
        <w:drawing>
          <wp:inline distT="0" distB="0" distL="114300" distR="114300">
            <wp:extent cx="5271135" cy="3045460"/>
            <wp:effectExtent l="9525" t="9525" r="15240" b="18415"/>
            <wp:docPr id="8" name="图片 8" descr="Supplementary_Figure_3_Zonulin_8-isoprostanes_change_score_Karim2025_FINAL_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_Figure_3_Zonulin_8-isoprostanes_change_score_Karim2025_FINAL_Arial"/>
                    <pic:cNvPicPr>
                      <a:picLocks noChangeAspect="1"/>
                    </pic:cNvPicPr>
                  </pic:nvPicPr>
                  <pic:blipFill>
                    <a:blip r:embed="rId6"/>
                    <a:stretch>
                      <a:fillRect/>
                    </a:stretch>
                  </pic:blipFill>
                  <pic:spPr>
                    <a:xfrm>
                      <a:off x="0" y="0"/>
                      <a:ext cx="5271135" cy="3045460"/>
                    </a:xfrm>
                    <a:prstGeom prst="rect">
                      <a:avLst/>
                    </a:prstGeom>
                    <a:ln>
                      <a:solidFill>
                        <a:schemeClr val="tx1"/>
                      </a:solidFill>
                    </a:ln>
                  </pic:spPr>
                </pic:pic>
              </a:graphicData>
            </a:graphic>
          </wp:inline>
        </w:drawing>
      </w:r>
    </w:p>
    <w:p w14:paraId="4DEAF7B1">
      <w:pPr>
        <w:jc w:val="left"/>
        <w:rPr>
          <w:rFonts w:hint="eastAsia" w:ascii="Times New Roman" w:hAnsi="Times New Roman" w:eastAsia="宋体" w:cs="Times New Roman"/>
          <w:szCs w:val="21"/>
        </w:rPr>
      </w:pPr>
      <w:r>
        <w:rPr>
          <w:rFonts w:ascii="Times New Roman" w:hAnsi="Times New Roman" w:eastAsia="宋体" w:cs="Times New Roman"/>
          <w:b/>
          <w:bCs/>
          <w:szCs w:val="21"/>
        </w:rPr>
        <w:t>Supplementary Fig. 3</w:t>
      </w:r>
      <w:r>
        <w:rPr>
          <w:rFonts w:ascii="Times New Roman" w:hAnsi="Times New Roman" w:eastAsia="宋体" w:cs="Times New Roman"/>
          <w:szCs w:val="21"/>
        </w:rPr>
        <w:t xml:space="preserve"> Forest plots for intestinal barrier and oxidative stress markers. A, zonulin; B,</w:t>
      </w:r>
      <w:r>
        <w:rPr>
          <w:rFonts w:hint="eastAsia" w:ascii="Times New Roman" w:hAnsi="Times New Roman" w:eastAsia="宋体" w:cs="Times New Roman"/>
          <w:szCs w:val="21"/>
          <w:lang w:val="en-US" w:eastAsia="zh-CN"/>
        </w:rPr>
        <w:t xml:space="preserve"> </w:t>
      </w:r>
      <w:r>
        <w:rPr>
          <w:rFonts w:ascii="Times New Roman" w:hAnsi="Times New Roman" w:eastAsia="宋体" w:cs="Times New Roman"/>
          <w:szCs w:val="21"/>
        </w:rPr>
        <w:t>8-isoprostanes</w:t>
      </w:r>
      <w:r>
        <w:rPr>
          <w:rFonts w:hint="eastAsia" w:ascii="Times New Roman" w:hAnsi="Times New Roman" w:eastAsia="宋体" w:cs="Times New Roman"/>
          <w:szCs w:val="21"/>
        </w:rPr>
        <w:t>.</w:t>
      </w:r>
    </w:p>
    <w:p w14:paraId="4A2D1DC3">
      <w:pPr>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114300" distR="114300">
            <wp:extent cx="5271135" cy="5387975"/>
            <wp:effectExtent l="9525" t="9525" r="15240" b="12700"/>
            <wp:docPr id="10" name="图片 10" descr="Supplementary_Figure_4_extended_change_score_sensitivity_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mentary_Figure_4_extended_change_score_sensitivity_Arial"/>
                    <pic:cNvPicPr>
                      <a:picLocks noChangeAspect="1"/>
                    </pic:cNvPicPr>
                  </pic:nvPicPr>
                  <pic:blipFill>
                    <a:blip r:embed="rId7"/>
                    <a:stretch>
                      <a:fillRect/>
                    </a:stretch>
                  </pic:blipFill>
                  <pic:spPr>
                    <a:xfrm>
                      <a:off x="0" y="0"/>
                      <a:ext cx="5271135" cy="5387975"/>
                    </a:xfrm>
                    <a:prstGeom prst="rect">
                      <a:avLst/>
                    </a:prstGeom>
                    <a:ln>
                      <a:solidFill>
                        <a:schemeClr val="tx1"/>
                      </a:solidFill>
                    </a:ln>
                  </pic:spPr>
                </pic:pic>
              </a:graphicData>
            </a:graphic>
          </wp:inline>
        </w:drawing>
      </w:r>
    </w:p>
    <w:p w14:paraId="3FDBA139">
      <w:pPr>
        <w:rPr>
          <w:rFonts w:ascii="Times New Roman" w:hAnsi="Times New Roman" w:eastAsia="宋体" w:cs="Times New Roman"/>
          <w:szCs w:val="21"/>
        </w:rPr>
      </w:pPr>
      <w:r>
        <w:rPr>
          <w:rFonts w:ascii="Times New Roman" w:hAnsi="Times New Roman" w:eastAsia="宋体" w:cs="Times New Roman"/>
          <w:b/>
          <w:bCs/>
          <w:szCs w:val="21"/>
        </w:rPr>
        <w:t xml:space="preserve">Supplementary Fig. 4 </w:t>
      </w:r>
      <w:r>
        <w:rPr>
          <w:rFonts w:ascii="Times New Roman" w:hAnsi="Times New Roman" w:eastAsia="宋体" w:cs="Times New Roman"/>
          <w:szCs w:val="21"/>
        </w:rPr>
        <w:t>Expanded change-score sensitivity analyses incorporating additional change-score data derived from supplementary materials or digital plot extraction. A, pain intensity; B, WOMAC total score; C, CRP/hs-CRP.</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rlito">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52A"/>
    <w:rsid w:val="002D481A"/>
    <w:rsid w:val="003A7177"/>
    <w:rsid w:val="003B4D1E"/>
    <w:rsid w:val="00685956"/>
    <w:rsid w:val="00804679"/>
    <w:rsid w:val="008A0ACE"/>
    <w:rsid w:val="008D3EE6"/>
    <w:rsid w:val="00A24D94"/>
    <w:rsid w:val="00D0152A"/>
    <w:rsid w:val="00E31DEA"/>
    <w:rsid w:val="0168700A"/>
    <w:rsid w:val="02B01361"/>
    <w:rsid w:val="0323298E"/>
    <w:rsid w:val="04390A47"/>
    <w:rsid w:val="06F611A7"/>
    <w:rsid w:val="0797489E"/>
    <w:rsid w:val="0AB45F3E"/>
    <w:rsid w:val="0B027E3F"/>
    <w:rsid w:val="0CD12600"/>
    <w:rsid w:val="0D523741"/>
    <w:rsid w:val="0E0C529F"/>
    <w:rsid w:val="10D67DFA"/>
    <w:rsid w:val="10FC5772"/>
    <w:rsid w:val="113A21A1"/>
    <w:rsid w:val="11CE35B2"/>
    <w:rsid w:val="128D6FC9"/>
    <w:rsid w:val="137912FC"/>
    <w:rsid w:val="14A64372"/>
    <w:rsid w:val="163C5149"/>
    <w:rsid w:val="163D1003"/>
    <w:rsid w:val="16421E79"/>
    <w:rsid w:val="180B23B7"/>
    <w:rsid w:val="194C05EE"/>
    <w:rsid w:val="1C37035F"/>
    <w:rsid w:val="1C511068"/>
    <w:rsid w:val="1CA27B15"/>
    <w:rsid w:val="1E1E31CB"/>
    <w:rsid w:val="1E983E2C"/>
    <w:rsid w:val="215A451A"/>
    <w:rsid w:val="21D50045"/>
    <w:rsid w:val="21DA565B"/>
    <w:rsid w:val="220426D8"/>
    <w:rsid w:val="244D480A"/>
    <w:rsid w:val="258778A8"/>
    <w:rsid w:val="260C02FD"/>
    <w:rsid w:val="26377520"/>
    <w:rsid w:val="265359DC"/>
    <w:rsid w:val="26F112A2"/>
    <w:rsid w:val="27716A62"/>
    <w:rsid w:val="278247CB"/>
    <w:rsid w:val="283C0E1E"/>
    <w:rsid w:val="29AA0009"/>
    <w:rsid w:val="2A0D0CC4"/>
    <w:rsid w:val="2AD92680"/>
    <w:rsid w:val="2C236D5A"/>
    <w:rsid w:val="2E25000C"/>
    <w:rsid w:val="2F071F2C"/>
    <w:rsid w:val="2FB95579"/>
    <w:rsid w:val="306727B0"/>
    <w:rsid w:val="336B25B7"/>
    <w:rsid w:val="35064C8D"/>
    <w:rsid w:val="360A255B"/>
    <w:rsid w:val="37B96C8F"/>
    <w:rsid w:val="3870030F"/>
    <w:rsid w:val="39D92970"/>
    <w:rsid w:val="3BEE647B"/>
    <w:rsid w:val="3FC65745"/>
    <w:rsid w:val="42C6415E"/>
    <w:rsid w:val="46677F98"/>
    <w:rsid w:val="470D1EAB"/>
    <w:rsid w:val="485B7825"/>
    <w:rsid w:val="48E62DA8"/>
    <w:rsid w:val="48E72288"/>
    <w:rsid w:val="48F84495"/>
    <w:rsid w:val="4AEE5B50"/>
    <w:rsid w:val="4BE34F89"/>
    <w:rsid w:val="4D1F46E6"/>
    <w:rsid w:val="4E3E7D9F"/>
    <w:rsid w:val="4E571C5E"/>
    <w:rsid w:val="515229D0"/>
    <w:rsid w:val="51AB479B"/>
    <w:rsid w:val="52326C6A"/>
    <w:rsid w:val="541505F1"/>
    <w:rsid w:val="56B532A8"/>
    <w:rsid w:val="586631C9"/>
    <w:rsid w:val="589F014C"/>
    <w:rsid w:val="58EF1411"/>
    <w:rsid w:val="5BC546AB"/>
    <w:rsid w:val="5C3B496D"/>
    <w:rsid w:val="5DE27796"/>
    <w:rsid w:val="5E5403CF"/>
    <w:rsid w:val="61E842EF"/>
    <w:rsid w:val="66A7157D"/>
    <w:rsid w:val="66B75538"/>
    <w:rsid w:val="67CF0043"/>
    <w:rsid w:val="6C3A079D"/>
    <w:rsid w:val="6C6C46CF"/>
    <w:rsid w:val="6D5B09CB"/>
    <w:rsid w:val="6E235FB0"/>
    <w:rsid w:val="73410663"/>
    <w:rsid w:val="73E57241"/>
    <w:rsid w:val="75CA7AAF"/>
    <w:rsid w:val="78697BAD"/>
    <w:rsid w:val="792574FE"/>
    <w:rsid w:val="7BFC781D"/>
    <w:rsid w:val="7CE54755"/>
    <w:rsid w:val="7D020E63"/>
    <w:rsid w:val="7DC872A3"/>
    <w:rsid w:val="7E651245"/>
    <w:rsid w:val="7FC7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3"/>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TML Code"/>
    <w:basedOn w:val="7"/>
    <w:uiPriority w:val="0"/>
    <w:rPr>
      <w:rFonts w:ascii="Courier New" w:hAnsi="Courier New"/>
      <w:sz w:val="20"/>
    </w:rPr>
  </w:style>
  <w:style w:type="paragraph" w:customStyle="1" w:styleId="10">
    <w:name w:val="题注1"/>
    <w:basedOn w:val="1"/>
    <w:qFormat/>
    <w:uiPriority w:val="0"/>
    <w:pPr>
      <w:spacing w:after="120"/>
      <w:jc w:val="left"/>
    </w:pPr>
    <w:rPr>
      <w:rFonts w:ascii="Times New Roman" w:hAnsi="Times New Roman" w:eastAsia="仿宋" w:cs="Times New Roman"/>
      <w:bCs/>
      <w:sz w:val="24"/>
    </w:rPr>
  </w:style>
  <w:style w:type="character" w:customStyle="1" w:styleId="11">
    <w:name w:val="font41"/>
    <w:basedOn w:val="7"/>
    <w:qFormat/>
    <w:uiPriority w:val="0"/>
    <w:rPr>
      <w:rFonts w:hint="eastAsia" w:ascii="宋体" w:hAnsi="宋体" w:eastAsia="宋体" w:cs="宋体"/>
      <w:color w:val="000000"/>
      <w:sz w:val="22"/>
      <w:szCs w:val="22"/>
      <w:u w:val="none"/>
    </w:rPr>
  </w:style>
  <w:style w:type="character" w:customStyle="1" w:styleId="12">
    <w:name w:val="font01"/>
    <w:basedOn w:val="7"/>
    <w:qFormat/>
    <w:uiPriority w:val="0"/>
    <w:rPr>
      <w:rFonts w:hint="default" w:ascii="Carlito" w:hAnsi="Carlito" w:eastAsia="Carlito" w:cs="Carlito"/>
      <w:color w:val="000000"/>
      <w:sz w:val="22"/>
      <w:szCs w:val="22"/>
      <w:u w:val="none"/>
    </w:rPr>
  </w:style>
  <w:style w:type="character" w:customStyle="1" w:styleId="13">
    <w:name w:val="页眉 字符"/>
    <w:basedOn w:val="7"/>
    <w:link w:val="3"/>
    <w:qFormat/>
    <w:uiPriority w:val="0"/>
    <w:rPr>
      <w:rFonts w:asciiTheme="minorHAnsi" w:hAnsiTheme="minorHAnsi" w:eastAsiaTheme="minorEastAsia" w:cstheme="minorBidi"/>
      <w:kern w:val="2"/>
      <w:sz w:val="18"/>
      <w:szCs w:val="18"/>
    </w:rPr>
  </w:style>
  <w:style w:type="character" w:customStyle="1" w:styleId="14">
    <w:name w:val="页脚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1862</Words>
  <Characters>10500</Characters>
  <Lines>63</Lines>
  <Paragraphs>17</Paragraphs>
  <TotalTime>3</TotalTime>
  <ScaleCrop>false</ScaleCrop>
  <LinksUpToDate>false</LinksUpToDate>
  <CharactersWithSpaces>11973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2026-06-13T14:37:00Z</dcterms:created>
  <dc:creator>Admin</dc:creator>
  <cp:lastModifiedBy>always</cp:lastModifiedBy>
  <dcterms:modified xsi:type="dcterms:W3CDTF">2026-07-29T15:57:00Z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904C33C7A49D458B8067E898DC930B7F_12</vt:lpwstr>
  </property>
  <property fmtid="{D5CDD505-2E9C-101B-9397-08002B2CF9AE}" pid="4" name="KSOTemplateDocerSaveRecord">
    <vt:lpwstr>eyJoZGlkIjoiNWU3NWE0N2E0ZDJkYzBmOGViZDY1NThjY2Y4NDk3MzgiLCJ1c2VySWQiOiI3MDgwNjMxNDgifQ==</vt:lpwstr>
  </property>
</Properties>
</file>