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A39C8" w14:textId="77777777" w:rsidR="001C2B6A" w:rsidRPr="00646F04" w:rsidRDefault="00000000">
      <w:pPr>
        <w:pStyle w:val="1"/>
        <w:rPr>
          <w:color w:val="000000" w:themeColor="text1"/>
        </w:rPr>
      </w:pPr>
      <w:bookmarkStart w:id="0" w:name="supplementary-data-appendices-1-and-2"/>
      <w:r w:rsidRPr="00646F04">
        <w:rPr>
          <w:rFonts w:ascii="Arial" w:eastAsia="Source Han Serif SC" w:hAnsi="Arial" w:cs="Arial"/>
          <w:color w:val="000000" w:themeColor="text1"/>
        </w:rPr>
        <w:t>Additional file 2. Supplementary material</w:t>
      </w:r>
    </w:p>
    <w:p w14:paraId="50779EF2" w14:textId="77777777" w:rsidR="001C2B6A" w:rsidRPr="00646F04" w:rsidRDefault="00000000">
      <w:pPr>
        <w:pStyle w:val="2"/>
        <w:rPr>
          <w:color w:val="000000" w:themeColor="text1"/>
        </w:rPr>
      </w:pPr>
      <w:bookmarkStart w:id="1" w:name="Xeea6d44ce43ed96a644284cb9737a5de0775b7d"/>
      <w:r w:rsidRPr="00646F04">
        <w:rPr>
          <w:rFonts w:ascii="Arial" w:eastAsia="Source Han Serif SC" w:hAnsi="Arial" w:cs="Arial"/>
          <w:color w:val="000000" w:themeColor="text1"/>
        </w:rPr>
        <w:t>Hypertension care-cascade states, multimorbidity and functional outcomes in China and the United States: parallel longitudinal cohort analyses</w:t>
      </w:r>
    </w:p>
    <w:p w14:paraId="18199C55" w14:textId="77777777" w:rsidR="001C2B6A" w:rsidRPr="00646F04" w:rsidRDefault="00000000">
      <w:pPr>
        <w:pStyle w:val="2"/>
        <w:rPr>
          <w:color w:val="000000" w:themeColor="text1"/>
        </w:rPr>
      </w:pPr>
      <w:bookmarkStart w:id="2" w:name="contents"/>
      <w:bookmarkEnd w:id="1"/>
      <w:r w:rsidRPr="00646F04">
        <w:rPr>
          <w:rFonts w:ascii="Arial" w:eastAsia="Source Han Serif SC" w:hAnsi="Arial" w:cs="Arial"/>
          <w:color w:val="000000" w:themeColor="text1"/>
        </w:rPr>
        <w:t>Contents</w:t>
      </w:r>
    </w:p>
    <w:p w14:paraId="298F2A5E" w14:textId="77777777" w:rsidR="001C2B6A" w:rsidRPr="00646F04" w:rsidRDefault="00000000">
      <w:pPr>
        <w:pStyle w:val="Compact"/>
        <w:numPr>
          <w:ilvl w:val="0"/>
          <w:numId w:val="2"/>
        </w:numPr>
        <w:rPr>
          <w:color w:val="000000" w:themeColor="text1"/>
        </w:rPr>
      </w:pPr>
      <w:r w:rsidRPr="00646F04">
        <w:rPr>
          <w:rFonts w:eastAsia="Source Han Serif SC"/>
          <w:color w:val="000000" w:themeColor="text1"/>
        </w:rPr>
        <w:t>Appendix 1. Detailed methods</w:t>
      </w:r>
    </w:p>
    <w:p w14:paraId="7459288B"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A1. Study design, cohorts and analytic time windows</w:t>
      </w:r>
    </w:p>
    <w:p w14:paraId="1B7558E1"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A2. Exposure: hypertension care-cascade states</w:t>
      </w:r>
    </w:p>
    <w:p w14:paraId="7FDF774B"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A3. Outcomes and risk-set construction</w:t>
      </w:r>
    </w:p>
    <w:p w14:paraId="3AF063FE"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A4. Functional reserve and disease-function mismatch</w:t>
      </w:r>
    </w:p>
    <w:p w14:paraId="3338E8E8"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A5. Common SBP/DBP support and overlap weighting</w:t>
      </w:r>
    </w:p>
    <w:p w14:paraId="294BD9C2"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A6. Endpoint-specific exact-four-year IPCW</w:t>
      </w:r>
    </w:p>
    <w:p w14:paraId="5DEDBA45"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A7. Longitudinal realised-pattern IPCW with re-entry</w:t>
      </w:r>
    </w:p>
    <w:p w14:paraId="040FDE42"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A8. Exact-four-year association models and standardisation</w:t>
      </w:r>
    </w:p>
    <w:p w14:paraId="6FCE40BF"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A9. Discrete-time full-wave models</w:t>
      </w:r>
    </w:p>
    <w:p w14:paraId="5696D71F"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A10. Disease-function multistate analysis</w:t>
      </w:r>
    </w:p>
    <w:p w14:paraId="73C7A44A"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A11. Cross-cohort transportability diagnostics and interpretation criteria</w:t>
      </w:r>
    </w:p>
    <w:p w14:paraId="4CF69787" w14:textId="77777777" w:rsidR="001C2B6A" w:rsidRPr="00646F04" w:rsidRDefault="00000000">
      <w:pPr>
        <w:pStyle w:val="Compact"/>
        <w:numPr>
          <w:ilvl w:val="1"/>
          <w:numId w:val="3"/>
        </w:numPr>
        <w:rPr>
          <w:color w:val="000000" w:themeColor="text1"/>
        </w:rPr>
      </w:pPr>
      <w:r w:rsidRPr="00646F04">
        <w:rPr>
          <w:rFonts w:eastAsia="Source Han Serif SC"/>
          <w:color w:val="000000" w:themeColor="text1"/>
        </w:rPr>
        <w:t>A12. Secondary analyses, multiplicity and model stability</w:t>
      </w:r>
    </w:p>
    <w:p w14:paraId="2B1FFE92" w14:textId="77777777" w:rsidR="001C2B6A" w:rsidRPr="00646F04" w:rsidRDefault="00000000">
      <w:pPr>
        <w:pStyle w:val="Compact"/>
        <w:numPr>
          <w:ilvl w:val="0"/>
          <w:numId w:val="2"/>
        </w:numPr>
        <w:rPr>
          <w:color w:val="000000" w:themeColor="text1"/>
        </w:rPr>
      </w:pPr>
      <w:r w:rsidRPr="00646F04">
        <w:rPr>
          <w:rFonts w:eastAsia="Source Han Serif SC"/>
          <w:color w:val="000000" w:themeColor="text1"/>
        </w:rPr>
        <w:lastRenderedPageBreak/>
        <w:t>Appendix 2. Supplementary results, tables and figures</w:t>
      </w:r>
    </w:p>
    <w:p w14:paraId="0575E96E"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B1. Cohort flow, endpoint denominators and off-target samples</w:t>
      </w:r>
    </w:p>
    <w:p w14:paraId="1788D1E4"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B2. CHARLS death and exit ascertainment and variable coverage</w:t>
      </w:r>
    </w:p>
    <w:p w14:paraId="76E8E2C1"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B3. Baseline cascade distribution, disease burden and function</w:t>
      </w:r>
    </w:p>
    <w:p w14:paraId="5F4FF887"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B4. Four-year outcome burden</w:t>
      </w:r>
    </w:p>
    <w:p w14:paraId="19FE3AF9"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B5. Common BP support, balance and IPCW diagnostics</w:t>
      </w:r>
    </w:p>
    <w:p w14:paraId="49291376"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B6. Exact-four-year associations</w:t>
      </w:r>
    </w:p>
    <w:p w14:paraId="47DC67C3"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B7. Full-wave discrete-time associations and time-scale dependence</w:t>
      </w:r>
    </w:p>
    <w:p w14:paraId="6D859222"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B8. Multistate disease-function transitions</w:t>
      </w:r>
    </w:p>
    <w:p w14:paraId="38440A94"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B9. Internal validation of disease-function mismatch</w:t>
      </w:r>
    </w:p>
    <w:p w14:paraId="25569CB8"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B10. Exploratory disease-specific and network analyses</w:t>
      </w:r>
    </w:p>
    <w:p w14:paraId="06C7073A"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B11. Sensitivity analyses, independent software verification and interpretive assessment</w:t>
      </w:r>
    </w:p>
    <w:p w14:paraId="1C6D0162"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Tables S1-S9</w:t>
      </w:r>
    </w:p>
    <w:p w14:paraId="1CDAC0C1" w14:textId="77777777" w:rsidR="001C2B6A" w:rsidRPr="00646F04" w:rsidRDefault="00000000">
      <w:pPr>
        <w:pStyle w:val="Compact"/>
        <w:numPr>
          <w:ilvl w:val="1"/>
          <w:numId w:val="4"/>
        </w:numPr>
        <w:rPr>
          <w:color w:val="000000" w:themeColor="text1"/>
        </w:rPr>
      </w:pPr>
      <w:r w:rsidRPr="00646F04">
        <w:rPr>
          <w:rFonts w:eastAsia="Source Han Serif SC"/>
          <w:color w:val="000000" w:themeColor="text1"/>
        </w:rPr>
        <w:t>Figures S1-S2</w:t>
      </w:r>
    </w:p>
    <w:p w14:paraId="0F216FC7" w14:textId="77777777" w:rsidR="001C2B6A" w:rsidRPr="00646F04" w:rsidRDefault="00000000">
      <w:pPr>
        <w:pStyle w:val="1"/>
        <w:rPr>
          <w:color w:val="000000" w:themeColor="text1"/>
        </w:rPr>
      </w:pPr>
      <w:bookmarkStart w:id="3" w:name="appendix-1.-detailed-methods"/>
      <w:bookmarkEnd w:id="0"/>
      <w:bookmarkEnd w:id="2"/>
      <w:r w:rsidRPr="00646F04">
        <w:rPr>
          <w:rFonts w:ascii="Arial" w:eastAsia="Source Han Serif SC" w:hAnsi="Arial" w:cs="Arial"/>
          <w:color w:val="000000" w:themeColor="text1"/>
        </w:rPr>
        <w:lastRenderedPageBreak/>
        <w:t>Appendix 1. Detailed methods</w:t>
      </w:r>
    </w:p>
    <w:p w14:paraId="10C9D999" w14:textId="77777777" w:rsidR="001C2B6A" w:rsidRPr="00646F04" w:rsidRDefault="00000000">
      <w:pPr>
        <w:pStyle w:val="2"/>
        <w:rPr>
          <w:color w:val="000000" w:themeColor="text1"/>
        </w:rPr>
      </w:pPr>
      <w:bookmarkStart w:id="4" w:name="X9aab7958c6f009eaf8c8194759e1d647321a127"/>
      <w:r w:rsidRPr="00646F04">
        <w:rPr>
          <w:rFonts w:ascii="Arial" w:eastAsia="Source Han Serif SC" w:hAnsi="Arial" w:cs="Arial"/>
          <w:color w:val="000000" w:themeColor="text1"/>
        </w:rPr>
        <w:t>A1. Study design, cohorts and analytic time windows</w:t>
      </w:r>
    </w:p>
    <w:p w14:paraId="2AAD6DD1" w14:textId="77777777" w:rsidR="001C2B6A" w:rsidRPr="00646F04" w:rsidRDefault="00000000">
      <w:pPr>
        <w:pStyle w:val="FirstParagraph"/>
        <w:rPr>
          <w:color w:val="000000" w:themeColor="text1"/>
        </w:rPr>
      </w:pPr>
      <w:r w:rsidRPr="00646F04">
        <w:rPr>
          <w:rFonts w:eastAsia="Source Han Serif SC"/>
          <w:color w:val="000000" w:themeColor="text1"/>
        </w:rPr>
        <w:t>We used a parallel two-cohort design. Analytic samples, models and standardised absolute effects were constructed separately in the Health and Retirement Study (HRS) and the China Health and Retirement Longitudinal Study (CHARLS). Individual records were never pooled across cohorts. HRS baseline was the first eligible physical-measure assessment in 2010 or 2012. CHARLS baseline was the 2011 assessment. Exact-four-year analyses used the target interview closest to four years after baseline. Full-wave models for non-fatal outcomes used adjacent observed interview intervals ending by 2018. The 2018 to 2020 interval was reserved for analyses of the pandemic period and interview mode. Death follow-up extended to 2020. Incomplete death linkage in CHARLS limited mortality to a terminal competing state and a methodological audit outcome.</w:t>
      </w:r>
    </w:p>
    <w:p w14:paraId="5A5ABD58" w14:textId="77777777" w:rsidR="001C2B6A" w:rsidRPr="00646F04" w:rsidRDefault="00000000">
      <w:pPr>
        <w:pStyle w:val="a0"/>
        <w:rPr>
          <w:color w:val="000000" w:themeColor="text1"/>
        </w:rPr>
      </w:pPr>
      <w:r w:rsidRPr="00646F04">
        <w:rPr>
          <w:rFonts w:eastAsia="Source Han Serif SC"/>
          <w:color w:val="000000" w:themeColor="text1"/>
        </w:rPr>
        <w:t>The staggered HRS physical-measure half-samples were stacked according to the official design. CHARLS analyses used communities as the clustering unit. We normalised model weights within each cohort and calculated standard errors from primary sampling unit clustered sandwich variances. For every fitted model, we retained the analytic sample size, event count, effective sample size, cluster count, iterations, final step size, maximum coefficient and convergence status.</w:t>
      </w:r>
    </w:p>
    <w:p w14:paraId="661ED1AD" w14:textId="77777777" w:rsidR="001C2B6A" w:rsidRPr="00646F04" w:rsidRDefault="00000000">
      <w:pPr>
        <w:pStyle w:val="2"/>
        <w:rPr>
          <w:color w:val="000000" w:themeColor="text1"/>
        </w:rPr>
      </w:pPr>
      <w:bookmarkStart w:id="5" w:name="X4e2e26e4af0d1793581d035d5014c881f144c00"/>
      <w:bookmarkEnd w:id="4"/>
      <w:r w:rsidRPr="00646F04">
        <w:rPr>
          <w:rFonts w:ascii="Arial" w:eastAsia="Source Han Serif SC" w:hAnsi="Arial" w:cs="Arial"/>
          <w:color w:val="000000" w:themeColor="text1"/>
        </w:rPr>
        <w:t>A2. Exposure: hypertension care-cascade states</w:t>
      </w:r>
    </w:p>
    <w:p w14:paraId="475ECB97" w14:textId="77777777" w:rsidR="001C2B6A" w:rsidRPr="00646F04" w:rsidRDefault="00000000">
      <w:pPr>
        <w:pStyle w:val="FirstParagraph"/>
        <w:rPr>
          <w:color w:val="000000" w:themeColor="text1"/>
        </w:rPr>
      </w:pPr>
      <w:r w:rsidRPr="00646F04">
        <w:rPr>
          <w:rFonts w:eastAsia="Source Han Serif SC"/>
          <w:color w:val="000000" w:themeColor="text1"/>
        </w:rPr>
        <w:t>Blood pressure was the mean of the second and third valid readings. The main definition used mean systolic blood pressure (SBP) of at least 140 mmHg or mean diastolic blood pressure (DBP) of at least 90 mmHg. A threshold of 130/80 mmHg was used in a reclassification sensitivity analysis. Reported diagnosis, antihypertensive medication and blood pressure at the survey visit defined six mutually exclusive states:</w:t>
      </w:r>
    </w:p>
    <w:p w14:paraId="1AB52F5B"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t>H0:</w:t>
      </w:r>
      <w:r w:rsidRPr="00646F04">
        <w:rPr>
          <w:rFonts w:eastAsia="Source Han Serif SC"/>
          <w:color w:val="000000" w:themeColor="text1"/>
        </w:rPr>
        <w:t xml:space="preserve"> no reported diagnosis, no antihypertensive medication and measured BP below the threshold</w:t>
      </w:r>
    </w:p>
    <w:p w14:paraId="33E6852F"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lastRenderedPageBreak/>
        <w:t>H1:</w:t>
      </w:r>
      <w:r w:rsidRPr="00646F04">
        <w:rPr>
          <w:rFonts w:eastAsia="Source Han Serif SC"/>
          <w:color w:val="000000" w:themeColor="text1"/>
        </w:rPr>
        <w:t xml:space="preserve"> no reported diagnosis, no medication and measured BP at or above the threshold</w:t>
      </w:r>
    </w:p>
    <w:p w14:paraId="2D902EB9"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t>H2:</w:t>
      </w:r>
      <w:r w:rsidRPr="00646F04">
        <w:rPr>
          <w:rFonts w:eastAsia="Source Han Serif SC"/>
          <w:color w:val="000000" w:themeColor="text1"/>
        </w:rPr>
        <w:t xml:space="preserve"> reported diagnosis, no medication and measured BP at or above the threshold</w:t>
      </w:r>
    </w:p>
    <w:p w14:paraId="0F5D3019"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t>H3:</w:t>
      </w:r>
      <w:r w:rsidRPr="00646F04">
        <w:rPr>
          <w:rFonts w:eastAsia="Source Han Serif SC"/>
          <w:color w:val="000000" w:themeColor="text1"/>
        </w:rPr>
        <w:t xml:space="preserve"> antihypertensive medication and measured BP at or above the threshold</w:t>
      </w:r>
    </w:p>
    <w:p w14:paraId="050AEE1A"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t>H4:</w:t>
      </w:r>
      <w:r w:rsidRPr="00646F04">
        <w:rPr>
          <w:rFonts w:eastAsia="Source Han Serif SC"/>
          <w:color w:val="000000" w:themeColor="text1"/>
        </w:rPr>
        <w:t xml:space="preserve"> antihypertensive medication and measured BP below the threshold</w:t>
      </w:r>
    </w:p>
    <w:p w14:paraId="0F5D05B5" w14:textId="77777777" w:rsidR="001C2B6A" w:rsidRPr="00646F04" w:rsidRDefault="00000000">
      <w:pPr>
        <w:pStyle w:val="Compact"/>
        <w:numPr>
          <w:ilvl w:val="0"/>
          <w:numId w:val="5"/>
        </w:numPr>
        <w:rPr>
          <w:color w:val="000000" w:themeColor="text1"/>
        </w:rPr>
      </w:pPr>
      <w:r w:rsidRPr="00646F04">
        <w:rPr>
          <w:rFonts w:eastAsia="Source Han Serif SC"/>
          <w:b/>
          <w:bCs/>
          <w:color w:val="000000" w:themeColor="text1"/>
        </w:rPr>
        <w:t>H5:</w:t>
      </w:r>
      <w:r w:rsidRPr="00646F04">
        <w:rPr>
          <w:rFonts w:eastAsia="Source Han Serif SC"/>
          <w:color w:val="000000" w:themeColor="text1"/>
        </w:rPr>
        <w:t xml:space="preserve"> reported diagnosis, no medication and measured BP below the threshold</w:t>
      </w:r>
    </w:p>
    <w:p w14:paraId="7EB0B54F" w14:textId="77777777" w:rsidR="001C2B6A" w:rsidRPr="00646F04" w:rsidRDefault="00000000">
      <w:pPr>
        <w:pStyle w:val="FirstParagraph"/>
        <w:rPr>
          <w:color w:val="000000" w:themeColor="text1"/>
        </w:rPr>
      </w:pPr>
      <w:r w:rsidRPr="00646F04">
        <w:rPr>
          <w:rFonts w:eastAsia="Source Han Serif SC"/>
          <w:color w:val="000000" w:themeColor="text1"/>
        </w:rPr>
        <w:t>H1 versus H3 was the primary comparison within a similar range of measured blood pressure. H1 versus H2 was the secondary comparison in that range. Both comparisons were restricted to common SBP/DBP support and used overlap weighting. H1 versus H0 provided a normotensive reference, and H3 versus H4 provided the conventional measured-control reference. These two comparisons did not use overlap weighting. H5 had mixed clinical interpretations and was retained for a complete cascade description and supplementary analyses.</w:t>
      </w:r>
    </w:p>
    <w:p w14:paraId="5C289F9E" w14:textId="77777777" w:rsidR="001C2B6A" w:rsidRPr="00646F04" w:rsidRDefault="00000000">
      <w:pPr>
        <w:pStyle w:val="2"/>
        <w:rPr>
          <w:color w:val="000000" w:themeColor="text1"/>
        </w:rPr>
      </w:pPr>
      <w:bookmarkStart w:id="6" w:name="a3.-outcomes-and-risk-set-construction"/>
      <w:bookmarkEnd w:id="5"/>
      <w:r w:rsidRPr="00646F04">
        <w:rPr>
          <w:rFonts w:ascii="Arial" w:eastAsia="Source Han Serif SC" w:hAnsi="Arial" w:cs="Arial"/>
          <w:color w:val="000000" w:themeColor="text1"/>
        </w:rPr>
        <w:t>A3. Outcomes and risk-set construction</w:t>
      </w:r>
    </w:p>
    <w:p w14:paraId="1D805D6C" w14:textId="77777777" w:rsidR="001C2B6A" w:rsidRPr="00646F04" w:rsidRDefault="00000000">
      <w:pPr>
        <w:pStyle w:val="FirstParagraph"/>
        <w:rPr>
          <w:color w:val="000000" w:themeColor="text1"/>
        </w:rPr>
      </w:pPr>
      <w:r w:rsidRPr="00646F04">
        <w:rPr>
          <w:rFonts w:eastAsia="Source Han Serif SC"/>
          <w:color w:val="000000" w:themeColor="text1"/>
        </w:rPr>
        <w:t>The non-hypertension disease set comprised diabetes, cancer, chronic lung disease, heart disease, stroke, psychiatric disease and arthritis. Hypertension was excluded from the disease count to prevent mathematical overlap between exposure and outcome. Once reported, disease history was retained when constructing cumulative history. An exact-four-year incident outcome still required the original disease items at the target wave. Values carried forward after a missed interview did not qualify as an observed target-wave outcome.</w:t>
      </w:r>
    </w:p>
    <w:p w14:paraId="608CB6B9" w14:textId="77777777" w:rsidR="001C2B6A" w:rsidRPr="00646F04" w:rsidRDefault="00000000">
      <w:pPr>
        <w:pStyle w:val="a0"/>
        <w:rPr>
          <w:color w:val="000000" w:themeColor="text1"/>
        </w:rPr>
      </w:pPr>
      <w:r w:rsidRPr="00646F04">
        <w:rPr>
          <w:rFonts w:eastAsia="Source Han Serif SC"/>
          <w:color w:val="000000" w:themeColor="text1"/>
        </w:rPr>
        <w:t xml:space="preserve">Prespecified outcomes were any newly reported non-hypertension disease, the number of newly reported diseases, incident activities of daily living (ADL) disability, incident instrumental activities of daily living (IADL) disability and disease-function multistate transitions. The ADL and IADL risk sets contained participants who </w:t>
      </w:r>
      <w:r w:rsidRPr="00646F04">
        <w:rPr>
          <w:rFonts w:eastAsia="Source Han Serif SC"/>
          <w:color w:val="000000" w:themeColor="text1"/>
        </w:rPr>
        <w:lastRenderedPageBreak/>
        <w:t>were intact for the relevant function at baseline. Linked deaths were terminal competing events and were excluded from ordinary non-response denominators. We constructed a separate risk set and observation model for each outcome.</w:t>
      </w:r>
    </w:p>
    <w:p w14:paraId="114AC3C8" w14:textId="77777777" w:rsidR="001C2B6A" w:rsidRPr="00646F04" w:rsidRDefault="00000000">
      <w:pPr>
        <w:pStyle w:val="2"/>
        <w:rPr>
          <w:color w:val="000000" w:themeColor="text1"/>
        </w:rPr>
      </w:pPr>
      <w:bookmarkStart w:id="7" w:name="Xc43ff4b004f0a62d2130396e99446bcf0879825"/>
      <w:bookmarkEnd w:id="6"/>
      <w:r w:rsidRPr="00646F04">
        <w:rPr>
          <w:rFonts w:ascii="Arial" w:eastAsia="Source Han Serif SC" w:hAnsi="Arial" w:cs="Arial"/>
          <w:color w:val="000000" w:themeColor="text1"/>
        </w:rPr>
        <w:t>A4. Functional reserve and disease-function mismatch</w:t>
      </w:r>
    </w:p>
    <w:p w14:paraId="7C458AB2" w14:textId="77777777" w:rsidR="001C2B6A" w:rsidRPr="00646F04" w:rsidRDefault="00000000">
      <w:pPr>
        <w:pStyle w:val="FirstParagraph"/>
        <w:rPr>
          <w:color w:val="000000" w:themeColor="text1"/>
        </w:rPr>
      </w:pPr>
      <w:r w:rsidRPr="00646F04">
        <w:rPr>
          <w:rFonts w:eastAsia="Source Han Serif SC"/>
          <w:color w:val="000000" w:themeColor="text1"/>
        </w:rPr>
        <w:t>Functional reserve combined episodic memory, grip strength, the severity of mobility limitation and six common symptoms from the Center for Epidemiologic Studies Depression scale. Components were standardised against the survey-weighted baseline distribution within each cohort. Mobility limitation and depressive symptoms were reverse scored, and grip strength was standardised within sex. ADL and IADL were excluded because they were subsequent outcomes. Functional reserve was defined when at least three of the four components were available:</w:t>
      </w:r>
    </w:p>
    <w:p w14:paraId="12E6D3F7"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m:t>F</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it</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1</m:t>
              </m:r>
            </m:num>
            <m:den>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it</m:t>
                  </m:r>
                </m:sub>
              </m:sSub>
            </m:den>
          </m:f>
          <m:nary>
            <m:naryPr>
              <m:chr m:val="∑"/>
              <m:limLoc m:val="undOvr"/>
              <m:ctrlPr>
                <w:rPr>
                  <w:rFonts w:ascii="Cambria Math" w:hAnsi="Cambria Math"/>
                  <w:color w:val="000000" w:themeColor="text1"/>
                </w:rPr>
              </m:ctrlPr>
            </m:naryPr>
            <m:sub>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1</m:t>
              </m:r>
            </m:sub>
            <m:sup>
              <m:r>
                <w:rPr>
                  <w:rFonts w:ascii="Cambria Math" w:hAnsi="Cambria Math"/>
                  <w:color w:val="000000" w:themeColor="text1"/>
                </w:rPr>
                <m:t>4</m:t>
              </m:r>
            </m:sup>
            <m:e>
              <m:sSubSup>
                <m:sSubSupPr>
                  <m:ctrlPr>
                    <w:rPr>
                      <w:rFonts w:ascii="Cambria Math" w:hAnsi="Cambria Math"/>
                      <w:color w:val="000000" w:themeColor="text1"/>
                    </w:rPr>
                  </m:ctrlPr>
                </m:sSubSupPr>
                <m:e>
                  <m:r>
                    <w:rPr>
                      <w:rFonts w:ascii="Cambria Math" w:hAnsi="Cambria Math"/>
                      <w:color w:val="000000" w:themeColor="text1"/>
                    </w:rPr>
                    <m:t>Z</m:t>
                  </m:r>
                </m:e>
                <m:sub>
                  <m:r>
                    <w:rPr>
                      <w:rFonts w:ascii="Cambria Math" w:hAnsi="Cambria Math"/>
                      <w:color w:val="000000" w:themeColor="text1"/>
                    </w:rPr>
                    <m:t>kit</m:t>
                  </m:r>
                </m:sub>
                <m:sup>
                  <m:r>
                    <m:rPr>
                      <m:sty m:val="p"/>
                    </m:rPr>
                    <w:rPr>
                      <w:rFonts w:ascii="Cambria Math" w:hAnsi="Cambria Math"/>
                      <w:color w:val="000000" w:themeColor="text1"/>
                    </w:rPr>
                    <m:t>*</m:t>
                  </m:r>
                </m:sup>
              </m:sSubSup>
            </m:e>
          </m:nary>
          <m:r>
            <m:rPr>
              <m:sty m:val="p"/>
            </m:rPr>
            <w:rPr>
              <w:rFonts w:ascii="Cambria Math" w:hAnsi="Cambria Math"/>
              <w:color w:val="000000" w:themeColor="text1"/>
            </w:rPr>
            <m:t>,</m:t>
          </m:r>
          <m:r>
            <w:rPr>
              <w:rFonts w:ascii="Cambria Math" w:hAnsi="Cambria Math"/>
              <w:color w:val="000000" w:themeColor="text1"/>
            </w:rPr>
            <m:t>  </m:t>
          </m:r>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it</m:t>
              </m:r>
            </m:sub>
          </m:sSub>
          <m:r>
            <m:rPr>
              <m:sty m:val="p"/>
            </m:rPr>
            <w:rPr>
              <w:rFonts w:ascii="Cambria Math" w:hAnsi="Cambria Math"/>
              <w:color w:val="000000" w:themeColor="text1"/>
            </w:rPr>
            <m:t>≥</m:t>
          </m:r>
          <m:r>
            <w:rPr>
              <w:rFonts w:ascii="Cambria Math" w:hAnsi="Cambria Math"/>
              <w:color w:val="000000" w:themeColor="text1"/>
            </w:rPr>
            <m:t>3</m:t>
          </m:r>
          <m:r>
            <m:rPr>
              <m:sty m:val="p"/>
            </m:rPr>
            <w:rPr>
              <w:rFonts w:ascii="Cambria Math" w:hAnsi="Cambria Math"/>
              <w:color w:val="000000" w:themeColor="text1"/>
            </w:rPr>
            <m:t>.</m:t>
          </m:r>
        </m:oMath>
      </m:oMathPara>
    </w:p>
    <w:p w14:paraId="3C5E639A" w14:textId="77777777" w:rsidR="001C2B6A" w:rsidRPr="00646F04" w:rsidRDefault="00000000">
      <w:pPr>
        <w:pStyle w:val="FirstParagraph"/>
        <w:rPr>
          <w:color w:val="000000" w:themeColor="text1"/>
        </w:rPr>
      </w:pPr>
      <w:r w:rsidRPr="00646F04">
        <w:rPr>
          <w:rFonts w:eastAsia="Source Han Serif SC"/>
          <w:color w:val="000000" w:themeColor="text1"/>
        </w:rPr>
        <w:t>Higher values indicated better functional reserve.</w:t>
      </w:r>
    </w:p>
    <w:p w14:paraId="0C1FDF9E" w14:textId="77777777" w:rsidR="001C2B6A" w:rsidRPr="00646F04" w:rsidRDefault="00000000">
      <w:pPr>
        <w:pStyle w:val="a0"/>
        <w:rPr>
          <w:color w:val="000000" w:themeColor="text1"/>
        </w:rPr>
      </w:pPr>
      <w:r w:rsidRPr="00646F04">
        <w:rPr>
          <w:rFonts w:eastAsia="Source Han Serif SC"/>
          <w:color w:val="000000" w:themeColor="text1"/>
        </w:rPr>
        <w:t>Disease-function mismatch (DFM) was constructed within each cohort using 10-fold cross-validation. In each training fold, survey-weighted ridge regression predicted baseline functional reserve from age, age squared, sex, education, body mass index, non-hypertension disease count and disease count squared:</w:t>
      </w:r>
    </w:p>
    <w:p w14:paraId="3DD26D9E" w14:textId="77777777" w:rsidR="001C2B6A" w:rsidRPr="00646F04" w:rsidRDefault="00000000">
      <w:pPr>
        <w:pStyle w:val="a0"/>
        <w:rPr>
          <w:color w:val="000000" w:themeColor="text1"/>
        </w:rPr>
      </w:pPr>
      <m:oMathPara>
        <m:oMathParaPr>
          <m:jc m:val="center"/>
        </m:oMathParaPr>
        <m:oMath>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FR</m:t>
                  </m:r>
                </m:e>
              </m:acc>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f</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m:t>
              </m:r>
            </m:sub>
          </m:sSub>
          <m:r>
            <m:rPr>
              <m:sty m:val="p"/>
            </m:rPr>
            <w:rPr>
              <w:rFonts w:ascii="Cambria Math" w:hAnsi="Cambria Math"/>
              <w:color w:val="000000" w:themeColor="text1"/>
            </w:rPr>
            <m:t>=</m:t>
          </m:r>
          <m:r>
            <w:rPr>
              <w:rFonts w:ascii="Cambria Math" w:hAnsi="Cambria Math"/>
              <w:color w:val="000000" w:themeColor="text1"/>
            </w:rPr>
            <m:t>f</m:t>
          </m:r>
          <m:r>
            <m:rPr>
              <m:sty m:val="p"/>
            </m:rPr>
            <w:rPr>
              <w:rFonts w:ascii="Cambria Math" w:hAnsi="Cambria Math"/>
              <w:color w:val="000000" w:themeColor="text1"/>
            </w:rPr>
            <m:t>{</m:t>
          </m:r>
          <m:r>
            <w:rPr>
              <w:rFonts w:ascii="Cambria Math" w:hAnsi="Cambria Math"/>
              <w:color w:val="000000" w:themeColor="text1"/>
            </w:rPr>
            <m:t>ag</m:t>
          </m:r>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ag</m:t>
          </m:r>
          <m:sSubSup>
            <m:sSubSupPr>
              <m:ctrlPr>
                <w:rPr>
                  <w:rFonts w:ascii="Cambria Math" w:hAnsi="Cambria Math"/>
                  <w:color w:val="000000" w:themeColor="text1"/>
                </w:rPr>
              </m:ctrlPr>
            </m:sSubSupPr>
            <m:e>
              <m:r>
                <w:rPr>
                  <w:rFonts w:ascii="Cambria Math" w:hAnsi="Cambria Math"/>
                  <w:color w:val="000000" w:themeColor="text1"/>
                </w:rPr>
                <m:t>e</m:t>
              </m:r>
            </m:e>
            <m:sub>
              <m:r>
                <w:rPr>
                  <w:rFonts w:ascii="Cambria Math" w:hAnsi="Cambria Math"/>
                  <w:color w:val="000000" w:themeColor="text1"/>
                </w:rPr>
                <m:t>i</m:t>
              </m:r>
            </m:sub>
            <m:sup>
              <m:r>
                <w:rPr>
                  <w:rFonts w:ascii="Cambria Math" w:hAnsi="Cambria Math"/>
                  <w:color w:val="000000" w:themeColor="text1"/>
                </w:rPr>
                <m:t>2</m:t>
              </m:r>
            </m:sup>
          </m:sSubSup>
          <m:r>
            <m:rPr>
              <m:sty m:val="p"/>
            </m:rPr>
            <w:rPr>
              <w:rFonts w:ascii="Cambria Math" w:hAnsi="Cambria Math"/>
              <w:color w:val="000000" w:themeColor="text1"/>
            </w:rPr>
            <m:t>,</m:t>
          </m:r>
          <m:r>
            <w:rPr>
              <w:rFonts w:ascii="Cambria Math" w:hAnsi="Cambria Math"/>
              <w:color w:val="000000" w:themeColor="text1"/>
            </w:rPr>
            <m:t>se</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educatio</m:t>
          </m:r>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BM</m:t>
          </m:r>
          <m:sSub>
            <m:sSubPr>
              <m:ctrlPr>
                <w:rPr>
                  <w:rFonts w:ascii="Cambria Math" w:hAnsi="Cambria Math"/>
                  <w:color w:val="000000" w:themeColor="text1"/>
                </w:rPr>
              </m:ctrlPr>
            </m:sSubPr>
            <m:e>
              <m:r>
                <w:rPr>
                  <w:rFonts w:ascii="Cambria Math" w:hAnsi="Cambria Math"/>
                  <w:color w:val="000000" w:themeColor="text1"/>
                </w:rPr>
                <m:t>I</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D</m:t>
              </m:r>
            </m:e>
            <m:sub>
              <m:r>
                <w:rPr>
                  <w:rFonts w:ascii="Cambria Math" w:hAnsi="Cambria Math"/>
                  <w:color w:val="000000" w:themeColor="text1"/>
                </w:rPr>
                <m:t>i</m:t>
              </m:r>
            </m:sub>
            <m:sup>
              <m:r>
                <w:rPr>
                  <w:rFonts w:ascii="Cambria Math" w:hAnsi="Cambria Math"/>
                  <w:color w:val="000000" w:themeColor="text1"/>
                </w:rPr>
                <m:t>2</m:t>
              </m:r>
            </m:sup>
          </m:sSubSup>
          <m:r>
            <m:rPr>
              <m:sty m:val="p"/>
            </m:rPr>
            <w:rPr>
              <w:rFonts w:ascii="Cambria Math" w:hAnsi="Cambria Math"/>
              <w:color w:val="000000" w:themeColor="text1"/>
            </w:rPr>
            <m:t>}.</m:t>
          </m:r>
        </m:oMath>
      </m:oMathPara>
    </w:p>
    <w:p w14:paraId="4CC4093C" w14:textId="77777777" w:rsidR="001C2B6A" w:rsidRPr="00646F04" w:rsidRDefault="00000000">
      <w:pPr>
        <w:pStyle w:val="FirstParagraph"/>
        <w:rPr>
          <w:color w:val="000000" w:themeColor="text1"/>
        </w:rPr>
      </w:pPr>
      <w:r w:rsidRPr="00646F04">
        <w:rPr>
          <w:rFonts w:eastAsia="Source Han Serif SC"/>
          <w:color w:val="000000" w:themeColor="text1"/>
        </w:rPr>
        <w:t>Every participant received an out-of-fold prediction from a training set that excluded that participant. Residuals were standardised using the survey-weighted distribution within cohort:</w:t>
      </w:r>
    </w:p>
    <w:p w14:paraId="17A31D8A"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w:lastRenderedPageBreak/>
            <m:t>DF</m:t>
          </m:r>
          <m:sSub>
            <m:sSubPr>
              <m:ctrlPr>
                <w:rPr>
                  <w:rFonts w:ascii="Cambria Math" w:hAnsi="Cambria Math"/>
                  <w:color w:val="000000" w:themeColor="text1"/>
                </w:rPr>
              </m:ctrlPr>
            </m:sSubPr>
            <m:e>
              <m:r>
                <w:rPr>
                  <w:rFonts w:ascii="Cambria Math" w:hAnsi="Cambria Math"/>
                  <w:color w:val="000000" w:themeColor="text1"/>
                </w:rPr>
                <m:t>M</m:t>
              </m:r>
            </m:e>
            <m:sub>
              <m:r>
                <w:rPr>
                  <w:rFonts w:ascii="Cambria Math" w:hAnsi="Cambria Math"/>
                  <w:color w:val="000000" w:themeColor="text1"/>
                </w:rPr>
                <m:t>i</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m:t>
              </m:r>
              <m:r>
                <w:rPr>
                  <w:rFonts w:ascii="Cambria Math" w:hAnsi="Cambria Math"/>
                  <w:color w:val="000000" w:themeColor="text1"/>
                </w:rPr>
                <m:t>F</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acc>
                    <m:accPr>
                      <m:ctrlPr>
                        <w:rPr>
                          <w:rFonts w:ascii="Cambria Math" w:hAnsi="Cambria Math"/>
                          <w:color w:val="000000" w:themeColor="text1"/>
                        </w:rPr>
                      </m:ctrlPr>
                    </m:accPr>
                    <m:e>
                      <m:r>
                        <w:rPr>
                          <w:rFonts w:ascii="Cambria Math" w:hAnsi="Cambria Math"/>
                          <w:color w:val="000000" w:themeColor="text1"/>
                        </w:rPr>
                        <m:t>FR</m:t>
                      </m:r>
                    </m:e>
                  </m:acc>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f</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m:t>
                  </m:r>
                </m:sub>
              </m:sSub>
              <m:r>
                <m:rPr>
                  <m:sty m:val="p"/>
                </m:rPr>
                <w:rPr>
                  <w:rFonts w:ascii="Cambria Math" w:hAnsi="Cambria Math"/>
                  <w:color w:val="000000" w:themeColor="text1"/>
                </w:rPr>
                <m:t>}-</m:t>
              </m:r>
              <m:sSub>
                <m:sSubPr>
                  <m:ctrlPr>
                    <w:rPr>
                      <w:rFonts w:ascii="Cambria Math" w:hAnsi="Cambria Math"/>
                      <w:color w:val="000000" w:themeColor="text1"/>
                    </w:rPr>
                  </m:ctrlPr>
                </m:sSubPr>
                <m:e>
                  <m:bar>
                    <m:barPr>
                      <m:pos m:val="top"/>
                      <m:ctrlPr>
                        <w:rPr>
                          <w:rFonts w:ascii="Cambria Math" w:hAnsi="Cambria Math"/>
                          <w:color w:val="000000" w:themeColor="text1"/>
                        </w:rPr>
                      </m:ctrlPr>
                    </m:barPr>
                    <m:e>
                      <m:r>
                        <w:rPr>
                          <w:rFonts w:ascii="Cambria Math" w:hAnsi="Cambria Math"/>
                          <w:color w:val="000000" w:themeColor="text1"/>
                        </w:rPr>
                        <m:t>r</m:t>
                      </m:r>
                    </m:e>
                  </m:bar>
                </m:e>
                <m:sub>
                  <m:r>
                    <w:rPr>
                      <w:rFonts w:ascii="Cambria Math" w:hAnsi="Cambria Math"/>
                      <w:color w:val="000000" w:themeColor="text1"/>
                    </w:rPr>
                    <m:t>w</m:t>
                  </m:r>
                </m:sub>
              </m:sSub>
            </m:num>
            <m:den>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w</m:t>
                  </m:r>
                </m:sub>
              </m:sSub>
              <m:r>
                <m:rPr>
                  <m:sty m:val="p"/>
                </m:rPr>
                <w:rPr>
                  <w:rFonts w:ascii="Cambria Math" w:hAnsi="Cambria Math"/>
                  <w:color w:val="000000" w:themeColor="text1"/>
                </w:rPr>
                <m:t>(</m:t>
              </m:r>
              <m:r>
                <w:rPr>
                  <w:rFonts w:ascii="Cambria Math" w:hAnsi="Cambria Math"/>
                  <w:color w:val="000000" w:themeColor="text1"/>
                </w:rPr>
                <m:t>r</m:t>
              </m:r>
              <m:r>
                <m:rPr>
                  <m:sty m:val="p"/>
                </m:rPr>
                <w:rPr>
                  <w:rFonts w:ascii="Cambria Math" w:hAnsi="Cambria Math"/>
                  <w:color w:val="000000" w:themeColor="text1"/>
                </w:rPr>
                <m:t>)</m:t>
              </m:r>
            </m:den>
          </m:f>
          <m:r>
            <m:rPr>
              <m:sty m:val="p"/>
            </m:rPr>
            <w:rPr>
              <w:rFonts w:ascii="Cambria Math" w:hAnsi="Cambria Math"/>
              <w:color w:val="000000" w:themeColor="text1"/>
            </w:rPr>
            <m:t>.</m:t>
          </m:r>
        </m:oMath>
      </m:oMathPara>
    </w:p>
    <w:p w14:paraId="67B0E955" w14:textId="77777777" w:rsidR="001C2B6A" w:rsidRPr="00646F04" w:rsidRDefault="00000000">
      <w:pPr>
        <w:pStyle w:val="FirstParagraph"/>
        <w:rPr>
          <w:color w:val="000000" w:themeColor="text1"/>
        </w:rPr>
      </w:pPr>
      <w:r w:rsidRPr="00646F04">
        <w:rPr>
          <w:rFonts w:eastAsia="Source Han Serif SC"/>
          <w:color w:val="000000" w:themeColor="text1"/>
        </w:rPr>
        <w:t>Values above 1 defined the resilient research phenotype, values below -1 defined the vulnerable phenotype, and intermediate values defined the expected phenotype. DFM was an internally constructed and internally evaluated research phenotype. It had no external clinical calibration and was not labelled as allostatic load. Secondary analyses estimated associations per 1 standard deviation higher DFM, changes in weighted area under the curve (AUC) and Brier score after adding DFM, and outcome gradients within care-cascade states.</w:t>
      </w:r>
    </w:p>
    <w:p w14:paraId="08F4568C" w14:textId="77777777" w:rsidR="001C2B6A" w:rsidRPr="00646F04" w:rsidRDefault="00000000">
      <w:pPr>
        <w:pStyle w:val="2"/>
        <w:rPr>
          <w:color w:val="000000" w:themeColor="text1"/>
        </w:rPr>
      </w:pPr>
      <w:bookmarkStart w:id="8" w:name="X1f3a5d29ce261670630941616a91bfcd9caacda"/>
      <w:bookmarkEnd w:id="7"/>
      <w:r w:rsidRPr="00646F04">
        <w:rPr>
          <w:rFonts w:ascii="Arial" w:eastAsia="Source Han Serif SC" w:hAnsi="Arial" w:cs="Arial"/>
          <w:color w:val="000000" w:themeColor="text1"/>
        </w:rPr>
        <w:t>A5. Common SBP/DBP support and overlap weighting</w:t>
      </w:r>
    </w:p>
    <w:p w14:paraId="20A8E538" w14:textId="77777777" w:rsidR="001C2B6A" w:rsidRPr="00646F04" w:rsidRDefault="00000000">
      <w:pPr>
        <w:pStyle w:val="FirstParagraph"/>
        <w:rPr>
          <w:color w:val="000000" w:themeColor="text1"/>
        </w:rPr>
      </w:pPr>
      <w:r w:rsidRPr="00646F04">
        <w:rPr>
          <w:rFonts w:eastAsia="Source Han Serif SC"/>
          <w:color w:val="000000" w:themeColor="text1"/>
        </w:rPr>
        <w:t>To improve comparability of current blood pressure severity across H1, H2 and H3, we calculated the fifth to 95th percentile rectangles for SBP and DBP in the six cohort by state cells. Their intersection defined the prespecified common support region. It ranged from 141.0 to 177.2 mmHg for SBP and from 78.4 to 102.0 mmHg for DBP. Participants outside this region were classified as off-target for the common-support estimand. They were excluded before follow-up modelling and were not counted as attrition.</w:t>
      </w:r>
    </w:p>
    <w:p w14:paraId="0A6E5D34" w14:textId="77777777" w:rsidR="001C2B6A" w:rsidRPr="00646F04" w:rsidRDefault="00000000">
      <w:pPr>
        <w:pStyle w:val="a0"/>
        <w:rPr>
          <w:color w:val="000000" w:themeColor="text1"/>
        </w:rPr>
      </w:pPr>
      <w:r w:rsidRPr="00646F04">
        <w:rPr>
          <w:rFonts w:eastAsia="Source Han Serif SC"/>
          <w:color w:val="000000" w:themeColor="text1"/>
        </w:rPr>
        <w:t>For each cohort and each H1 versus H2 or H3 comparison, we estimated:</w:t>
      </w:r>
    </w:p>
    <w:p w14:paraId="46FA4EC9" w14:textId="77777777" w:rsidR="001C2B6A" w:rsidRPr="00646F04" w:rsidRDefault="00000000">
      <w:pPr>
        <w:pStyle w:val="a0"/>
        <w:rPr>
          <w:color w:val="000000" w:themeColor="text1"/>
        </w:rPr>
      </w:pPr>
      <m:oMathPara>
        <m:oMathParaPr>
          <m:jc m:val="center"/>
        </m:oMathParaPr>
        <m:oMath>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P</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oMath>
      </m:oMathPara>
    </w:p>
    <w:p w14:paraId="0BAD4605" w14:textId="77777777" w:rsidR="001C2B6A" w:rsidRPr="00646F04" w:rsidRDefault="00000000">
      <w:pPr>
        <w:pStyle w:val="FirstParagraph"/>
        <w:rPr>
          <w:color w:val="000000" w:themeColor="text1"/>
        </w:rPr>
      </w:pPr>
      <w:r w:rsidRPr="00646F04">
        <w:rPr>
          <w:rFonts w:eastAsia="Source Han Serif SC"/>
          <w:color w:val="000000" w:themeColor="text1"/>
        </w:rPr>
        <w:t xml:space="preserve">where </w:t>
      </w:r>
      <m:oMath>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oMath>
      <w:r w:rsidRPr="00646F04">
        <w:rPr>
          <w:rFonts w:eastAsia="Source Han Serif SC"/>
          <w:color w:val="000000" w:themeColor="text1"/>
        </w:rPr>
        <w:t xml:space="preserve"> denoted H1 and </w:t>
      </w:r>
      <m:oMath>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0</m:t>
        </m:r>
      </m:oMath>
      <w:r w:rsidRPr="00646F04">
        <w:rPr>
          <w:rFonts w:eastAsia="Source Han Serif SC"/>
          <w:color w:val="000000" w:themeColor="text1"/>
        </w:rPr>
        <w:t xml:space="preserve"> denoted the comparison state. The propensity model included SBP, DBP, pulse pressure, age, sex, education, wealth, body mass index, smoking, physical activity, six common depressive symptoms, baseline non-hypertension disease count and functional reserve. Overlap weights were:</w:t>
      </w:r>
    </w:p>
    <w:p w14:paraId="1163EEDB" w14:textId="77777777" w:rsidR="001C2B6A" w:rsidRPr="00646F04" w:rsidRDefault="00000000">
      <w:pPr>
        <w:pStyle w:val="a0"/>
        <w:rPr>
          <w:color w:val="000000" w:themeColor="text1"/>
        </w:rPr>
      </w:pPr>
      <m:oMathPara>
        <m:oMathParaPr>
          <m:jc m:val="center"/>
        </m:oMathParaPr>
        <m:oMath>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OW</m:t>
              </m:r>
            </m:sup>
          </m:sSubSup>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d>
            <m:dPr>
              <m:begChr m:val="{"/>
              <m:endChr m:val=""/>
              <m:ctrlPr>
                <w:rPr>
                  <w:rFonts w:ascii="Cambria Math" w:hAnsi="Cambria Math"/>
                  <w:color w:val="000000" w:themeColor="text1"/>
                </w:rPr>
              </m:ctrlPr>
            </m:dPr>
            <m:e>
              <m:m>
                <m:mPr>
                  <m:plcHide m:val="1"/>
                  <m:mcs>
                    <m:mc>
                      <m:mcPr>
                        <m:count m:val="2"/>
                        <m:mcJc m:val="left"/>
                      </m:mcPr>
                    </m:mc>
                  </m:mcs>
                  <m:ctrlPr>
                    <w:rPr>
                      <w:rFonts w:ascii="Cambria Math" w:hAnsi="Cambria Math"/>
                      <w:color w:val="000000" w:themeColor="text1"/>
                    </w:rPr>
                  </m:ctrlPr>
                </m:mPr>
                <m:mr>
                  <m:e>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e>
                  <m:e>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e>
                </m:mr>
                <m:mr>
                  <m:e>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r>
                      <m:rPr>
                        <m:sty m:val="p"/>
                      </m:rPr>
                      <w:rPr>
                        <w:rFonts w:ascii="Cambria Math" w:hAnsi="Cambria Math"/>
                        <w:color w:val="000000" w:themeColor="text1"/>
                      </w:rPr>
                      <m:t>,</m:t>
                    </m:r>
                  </m:e>
                  <m:e>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e>
                </m:mr>
              </m:m>
            </m:e>
          </m:d>
        </m:oMath>
      </m:oMathPara>
    </w:p>
    <w:p w14:paraId="41CF1483" w14:textId="77777777" w:rsidR="001C2B6A" w:rsidRPr="00646F04" w:rsidRDefault="00000000">
      <w:pPr>
        <w:pStyle w:val="FirstParagraph"/>
        <w:rPr>
          <w:color w:val="000000" w:themeColor="text1"/>
        </w:rPr>
      </w:pPr>
      <w:r w:rsidRPr="00646F04">
        <w:rPr>
          <w:rFonts w:eastAsia="Source Han Serif SC"/>
          <w:color w:val="000000" w:themeColor="text1"/>
        </w:rPr>
        <w:lastRenderedPageBreak/>
        <w:t>Balance was evaluated using absolute standardised mean differences (SMDs). The prespecified criterion required all absolute SMDs to be no greater than 0.10 and an effective sample size of at least 100 in each group. Near-exact balance in measured covariate means is an expected property of overlap weighting with a linear propensity model. Unmeasured disease duration, diagnostic opportunity and healthcare access could remain imbalanced.</w:t>
      </w:r>
    </w:p>
    <w:p w14:paraId="4052ADF9" w14:textId="77777777" w:rsidR="001C2B6A" w:rsidRPr="00646F04" w:rsidRDefault="00000000">
      <w:pPr>
        <w:pStyle w:val="2"/>
        <w:rPr>
          <w:color w:val="000000" w:themeColor="text1"/>
        </w:rPr>
      </w:pPr>
      <w:bookmarkStart w:id="9" w:name="Xf7e29cc87d31164f2c00d627eff2d140118447a"/>
      <w:bookmarkEnd w:id="8"/>
      <w:r w:rsidRPr="00646F04">
        <w:rPr>
          <w:rFonts w:ascii="Arial" w:eastAsia="Source Han Serif SC" w:hAnsi="Arial" w:cs="Arial"/>
          <w:color w:val="000000" w:themeColor="text1"/>
        </w:rPr>
        <w:t>A6. Endpoint-specific exact-four-year IPCW</w:t>
      </w:r>
    </w:p>
    <w:p w14:paraId="3EE8EEC4" w14:textId="77777777" w:rsidR="001C2B6A" w:rsidRPr="00646F04" w:rsidRDefault="00000000">
      <w:pPr>
        <w:pStyle w:val="FirstParagraph"/>
        <w:rPr>
          <w:color w:val="000000" w:themeColor="text1"/>
        </w:rPr>
      </w:pPr>
      <w:r w:rsidRPr="00646F04">
        <w:rPr>
          <w:rFonts w:eastAsia="Source Han Serif SC"/>
          <w:color w:val="000000" w:themeColor="text1"/>
        </w:rPr>
        <w:t xml:space="preserve">We fitted a separate four-year observation model for each outcome. Participants known to have died within four years were excluded from the ordinary observation model. Let </w:t>
      </w:r>
      <m:oMath>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oMath>
      <w:r w:rsidRPr="00646F04">
        <w:rPr>
          <w:rFonts w:eastAsia="Source Han Serif SC"/>
          <w:color w:val="000000" w:themeColor="text1"/>
        </w:rPr>
        <w:t xml:space="preserve"> indicate survival with an observed target outcome. The stabilised weight was:</w:t>
      </w:r>
    </w:p>
    <w:p w14:paraId="091CAFB8"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R</m:t>
              </m:r>
            </m:sup>
          </m:sSubSup>
          <m:r>
            <m:rPr>
              <m:sty m:val="p"/>
            </m:rPr>
            <w:rPr>
              <w:rFonts w:ascii="Cambria Math" w:hAnsi="Cambria Math"/>
              <w:color w:val="000000" w:themeColor="text1"/>
            </w:rPr>
            <m:t>=</m:t>
          </m:r>
          <m:f>
            <m:fPr>
              <m:ctrlPr>
                <w:rPr>
                  <w:rFonts w:ascii="Cambria Math" w:hAnsi="Cambria Math"/>
                  <w:color w:val="000000" w:themeColor="text1"/>
                </w:rPr>
              </m:ctrlPr>
            </m:fPr>
            <m:num>
              <m:acc>
                <m:accPr>
                  <m:ctrlPr>
                    <w:rPr>
                      <w:rFonts w:ascii="Cambria Math" w:hAnsi="Cambria Math"/>
                      <w:color w:val="000000" w:themeColor="text1"/>
                    </w:rPr>
                  </m:ctrlPr>
                </m:accPr>
                <m:e>
                  <m:r>
                    <w:rPr>
                      <w:rFonts w:ascii="Cambria Math" w:hAnsi="Cambria Math"/>
                      <w:color w:val="000000" w:themeColor="text1"/>
                    </w:rPr>
                    <m:t>P</m:t>
                  </m:r>
                </m:e>
              </m:acc>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num>
            <m:den>
              <m:acc>
                <m:accPr>
                  <m:ctrlPr>
                    <w:rPr>
                      <w:rFonts w:ascii="Cambria Math" w:hAnsi="Cambria Math"/>
                      <w:color w:val="000000" w:themeColor="text1"/>
                    </w:rPr>
                  </m:ctrlPr>
                </m:accPr>
                <m:e>
                  <m:r>
                    <w:rPr>
                      <w:rFonts w:ascii="Cambria Math" w:hAnsi="Cambria Math"/>
                      <w:color w:val="000000" w:themeColor="text1"/>
                    </w:rPr>
                    <m:t>P</m:t>
                  </m:r>
                </m:e>
              </m:acc>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den>
          </m:f>
          <m:r>
            <m:rPr>
              <m:sty m:val="p"/>
            </m:rPr>
            <w:rPr>
              <w:rFonts w:ascii="Cambria Math" w:hAnsi="Cambria Math"/>
              <w:color w:val="000000" w:themeColor="text1"/>
            </w:rPr>
            <m:t>.</m:t>
          </m:r>
        </m:oMath>
      </m:oMathPara>
    </w:p>
    <w:p w14:paraId="2C8DE981" w14:textId="77777777" w:rsidR="001C2B6A" w:rsidRPr="00646F04" w:rsidRDefault="00000000">
      <w:pPr>
        <w:pStyle w:val="FirstParagraph"/>
        <w:rPr>
          <w:color w:val="000000" w:themeColor="text1"/>
        </w:rPr>
      </w:pPr>
      <w:r w:rsidRPr="00646F04">
        <w:rPr>
          <w:rFonts w:eastAsia="Source Han Serif SC"/>
          <w:color w:val="000000" w:themeColor="text1"/>
        </w:rPr>
        <w:t>The denominator model included care-cascade state, demographic factors, wealth, body mass index, smoking, physical activity, six common depressive symptoms, disease burden, function, insurance, outpatient use, hospital use, proxy status and individual interview mode where available. Predicted probabilities were restricted to 0.01 to 0.99. We truncated weights at the first and 99th percentiles among participants with an observed outcome. The final exact-four-year weight was:</w:t>
      </w:r>
    </w:p>
    <w:p w14:paraId="5B43D486" w14:textId="77777777" w:rsidR="001C2B6A" w:rsidRPr="00646F04" w:rsidRDefault="00000000">
      <w:pPr>
        <w:pStyle w:val="a0"/>
        <w:rPr>
          <w:color w:val="000000" w:themeColor="text1"/>
        </w:rPr>
      </w:pPr>
      <m:oMathPara>
        <m:oMathParaPr>
          <m:jc m:val="center"/>
        </m:oMathParaPr>
        <m:oMath>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m:rPr>
                  <m:sty m:val="p"/>
                </m:rPr>
                <w:rPr>
                  <w:rFonts w:ascii="Cambria Math" w:hAnsi="Cambria Math"/>
                  <w:color w:val="000000" w:themeColor="text1"/>
                </w:rPr>
                <m:t>(</m:t>
              </m:r>
              <m:r>
                <w:rPr>
                  <w:rFonts w:ascii="Cambria Math" w:hAnsi="Cambria Math"/>
                  <w:color w:val="000000" w:themeColor="text1"/>
                </w:rPr>
                <m:t>4y</m:t>
              </m:r>
              <m:r>
                <m:rPr>
                  <m:sty m:val="p"/>
                </m:rPr>
                <w:rPr>
                  <w:rFonts w:ascii="Cambria Math" w:hAnsi="Cambria Math"/>
                  <w:color w:val="000000" w:themeColor="text1"/>
                </w:rPr>
                <m:t>)</m:t>
              </m:r>
            </m:sup>
          </m:sSubSup>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survey</m:t>
              </m:r>
            </m:sup>
          </m:sSubSup>
          <m:r>
            <m:rPr>
              <m:sty m:val="p"/>
            </m:rPr>
            <w:rPr>
              <w:rFonts w:ascii="Cambria Math" w:hAnsi="Cambria Math"/>
              <w:color w:val="000000" w:themeColor="text1"/>
            </w:rPr>
            <m:t>×</m:t>
          </m:r>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R</m:t>
              </m:r>
            </m:sup>
          </m:sSubSup>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OW</m:t>
              </m:r>
            </m:sup>
          </m:sSubSup>
          <m:r>
            <m:rPr>
              <m:nor/>
            </m:rPr>
            <w:rPr>
              <w:color w:val="000000" w:themeColor="text1"/>
            </w:rPr>
            <m:t xml:space="preserve"> for H1 versus H2 or H3</m:t>
          </m:r>
          <m:r>
            <m:rPr>
              <m:sty m:val="p"/>
            </m:rPr>
            <w:rPr>
              <w:rFonts w:ascii="Cambria Math" w:hAnsi="Cambria Math"/>
              <w:color w:val="000000" w:themeColor="text1"/>
            </w:rPr>
            <m:t>}.</m:t>
          </m:r>
        </m:oMath>
      </m:oMathPara>
    </w:p>
    <w:p w14:paraId="543D10A4" w14:textId="77777777" w:rsidR="001C2B6A" w:rsidRPr="00646F04" w:rsidRDefault="00000000">
      <w:pPr>
        <w:pStyle w:val="FirstParagraph"/>
        <w:rPr>
          <w:color w:val="000000" w:themeColor="text1"/>
        </w:rPr>
      </w:pPr>
      <w:r w:rsidRPr="00646F04">
        <w:rPr>
          <w:rFonts w:eastAsia="Source Han Serif SC"/>
          <w:color w:val="000000" w:themeColor="text1"/>
        </w:rPr>
        <w:t>After weighting, we compared the retained sample with the complete non-death baseline target population. The Love-plot data retained SMDs and effective sample sizes before and after weighting. Death remained a terminal event throughout the analysis.</w:t>
      </w:r>
    </w:p>
    <w:p w14:paraId="45B43600" w14:textId="77777777" w:rsidR="001C2B6A" w:rsidRPr="00646F04" w:rsidRDefault="00000000">
      <w:pPr>
        <w:pStyle w:val="2"/>
        <w:rPr>
          <w:color w:val="000000" w:themeColor="text1"/>
        </w:rPr>
      </w:pPr>
      <w:bookmarkStart w:id="10" w:name="Xfe4748f514dfbac6b4ebff321af7d663b3f2e99"/>
      <w:bookmarkEnd w:id="9"/>
      <w:r w:rsidRPr="00646F04">
        <w:rPr>
          <w:rFonts w:ascii="Arial" w:eastAsia="Source Han Serif SC" w:hAnsi="Arial" w:cs="Arial"/>
          <w:color w:val="000000" w:themeColor="text1"/>
        </w:rPr>
        <w:lastRenderedPageBreak/>
        <w:t>A7. Longitudinal realised-pattern IPCW with re-entry</w:t>
      </w:r>
    </w:p>
    <w:p w14:paraId="2D887059" w14:textId="77777777" w:rsidR="001C2B6A" w:rsidRPr="00646F04" w:rsidRDefault="00000000">
      <w:pPr>
        <w:pStyle w:val="FirstParagraph"/>
        <w:rPr>
          <w:color w:val="000000" w:themeColor="text1"/>
        </w:rPr>
      </w:pPr>
      <w:r w:rsidRPr="00646F04">
        <w:rPr>
          <w:rFonts w:eastAsia="Source Han Serif SC"/>
          <w:color w:val="000000" w:themeColor="text1"/>
        </w:rPr>
        <w:t xml:space="preserve">Full-wave analysis first represented the planned sequence of response, non-response and return across adjacent waves. The denominator model estimated the probability of the realised response pattern at the next wave conditional on available history. The numerator model used a more concise history containing care-cascade state, time and current interview status. For the realised response or non-response pattern </w:t>
      </w:r>
      <m:oMath>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oMath>
      <w:r w:rsidRPr="00646F04">
        <w:rPr>
          <w:rFonts w:eastAsia="Source Han Serif SC"/>
          <w:color w:val="000000" w:themeColor="text1"/>
        </w:rPr>
        <w:t>, the cumulative stabilised weight was:</w:t>
      </w:r>
    </w:p>
    <w:p w14:paraId="664AD1B5"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ij</m:t>
              </m:r>
            </m:sub>
            <m:sup>
              <m:r>
                <w:rPr>
                  <w:rFonts w:ascii="Cambria Math" w:hAnsi="Cambria Math"/>
                  <w:color w:val="000000" w:themeColor="text1"/>
                </w:rPr>
                <m:t>L</m:t>
              </m:r>
            </m:sup>
          </m:sSubSup>
          <m:r>
            <m:rPr>
              <m:sty m:val="p"/>
            </m:rPr>
            <w:rPr>
              <w:rFonts w:ascii="Cambria Math" w:hAnsi="Cambria Math"/>
              <w:color w:val="000000" w:themeColor="text1"/>
            </w:rPr>
            <m:t>=</m:t>
          </m:r>
          <m:nary>
            <m:naryPr>
              <m:chr m:val="∏"/>
              <m:limLoc m:val="undOvr"/>
              <m:supHide m:val="1"/>
              <m:ctrlPr>
                <w:rPr>
                  <w:rFonts w:ascii="Cambria Math" w:hAnsi="Cambria Math"/>
                  <w:color w:val="000000" w:themeColor="text1"/>
                </w:rPr>
              </m:ctrlPr>
            </m:naryPr>
            <m:sub>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j</m:t>
              </m:r>
            </m:sub>
            <m:sup>
              <m:r>
                <w:rPr>
                  <w:rFonts w:ascii="Cambria Math" w:hAnsi="Cambria Math"/>
                  <w:color w:val="000000" w:themeColor="text1"/>
                </w:rPr>
                <m:t>​</m:t>
              </m:r>
            </m:sup>
            <m:e>
              <m:f>
                <m:fPr>
                  <m:ctrlPr>
                    <w:rPr>
                      <w:rFonts w:ascii="Cambria Math" w:hAnsi="Cambria Math"/>
                      <w:color w:val="000000" w:themeColor="text1"/>
                    </w:rPr>
                  </m:ctrlPr>
                </m:fPr>
                <m:num>
                  <m:acc>
                    <m:accPr>
                      <m:ctrlPr>
                        <w:rPr>
                          <w:rFonts w:ascii="Cambria Math" w:hAnsi="Cambria Math"/>
                          <w:color w:val="000000" w:themeColor="text1"/>
                        </w:rPr>
                      </m:ctrlPr>
                    </m:accPr>
                    <m:e>
                      <m:r>
                        <w:rPr>
                          <w:rFonts w:ascii="Cambria Math" w:hAnsi="Cambria Math"/>
                          <w:color w:val="000000" w:themeColor="text1"/>
                        </w:rPr>
                        <m:t>P</m:t>
                      </m:r>
                    </m:e>
                  </m:acc>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1</m:t>
                      </m:r>
                    </m:sub>
                  </m:sSub>
                  <m:r>
                    <m:rPr>
                      <m:sty m:val="p"/>
                    </m:rPr>
                    <w:rPr>
                      <w:rFonts w:ascii="Cambria Math" w:hAnsi="Cambria Math"/>
                      <w:color w:val="000000" w:themeColor="text1"/>
                    </w:rPr>
                    <m:t>)</m:t>
                  </m:r>
                </m:num>
                <m:den>
                  <m:acc>
                    <m:accPr>
                      <m:ctrlPr>
                        <w:rPr>
                          <w:rFonts w:ascii="Cambria Math" w:hAnsi="Cambria Math"/>
                          <w:color w:val="000000" w:themeColor="text1"/>
                        </w:rPr>
                      </m:ctrlPr>
                    </m:accPr>
                    <m:e>
                      <m:r>
                        <w:rPr>
                          <w:rFonts w:ascii="Cambria Math" w:hAnsi="Cambria Math"/>
                          <w:color w:val="000000" w:themeColor="text1"/>
                        </w:rPr>
                        <m:t>P</m:t>
                      </m:r>
                    </m:e>
                  </m:acc>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ik</m:t>
                      </m:r>
                    </m:sub>
                  </m:sSub>
                  <m:r>
                    <m:rPr>
                      <m:sty m:val="p"/>
                    </m:rPr>
                    <w:rPr>
                      <w:rFonts w:ascii="Cambria Math" w:hAnsi="Cambria Math"/>
                      <w:color w:val="000000" w:themeColor="text1"/>
                    </w:rPr>
                    <m:t>)</m:t>
                  </m:r>
                </m:den>
              </m:f>
            </m:e>
          </m:nary>
          <m:r>
            <m:rPr>
              <m:sty m:val="p"/>
            </m:rPr>
            <w:rPr>
              <w:rFonts w:ascii="Cambria Math" w:hAnsi="Cambria Math"/>
              <w:color w:val="000000" w:themeColor="text1"/>
            </w:rPr>
            <m:t>.</m:t>
          </m:r>
        </m:oMath>
      </m:oMathPara>
    </w:p>
    <w:p w14:paraId="5F5C029D" w14:textId="77777777" w:rsidR="001C2B6A" w:rsidRPr="00646F04" w:rsidRDefault="00000000">
      <w:pPr>
        <w:pStyle w:val="FirstParagrap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ik</m:t>
            </m:r>
          </m:sub>
        </m:sSub>
      </m:oMath>
      <w:r w:rsidRPr="00646F04">
        <w:rPr>
          <w:rFonts w:eastAsia="Source Han Serif SC"/>
          <w:color w:val="000000" w:themeColor="text1"/>
        </w:rPr>
        <w:t xml:space="preserve"> included available demographic factors, body mass index, smoking, wealth, depressive symptoms, disease and function, insurance, healthcare use, physical activity, proxy status, interview mode and the previous number of missed waves. Participants who returned after temporary non-response retained the cumulative probability of their realised earlier path. Planned intervals ending in death were excluded from the ordinary response model and assigned a ratio of one. Death remained a terminal event in the realised interval file. Each actual interview or death interval was matched to the first planned-wave weight at or after its observed end date.</w:t>
      </w:r>
    </w:p>
    <w:p w14:paraId="67DD3685" w14:textId="77777777" w:rsidR="001C2B6A" w:rsidRPr="00646F04" w:rsidRDefault="00000000">
      <w:pPr>
        <w:pStyle w:val="a0"/>
        <w:rPr>
          <w:color w:val="000000" w:themeColor="text1"/>
        </w:rPr>
      </w:pPr>
      <w:r w:rsidRPr="00646F04">
        <w:rPr>
          <w:rFonts w:eastAsia="Source Han Serif SC"/>
          <w:color w:val="000000" w:themeColor="text1"/>
        </w:rPr>
        <w:t>The main analysis truncated cumulative weights at the first and 99th percentiles. Truncation at the 0.5th and 99.5th percentiles and no truncation were sensitivity analyses. The full-wave combined weight was:</w:t>
      </w:r>
    </w:p>
    <w:p w14:paraId="2C818554" w14:textId="77777777" w:rsidR="001C2B6A" w:rsidRPr="00646F04" w:rsidRDefault="00000000">
      <w:pPr>
        <w:pStyle w:val="a0"/>
        <w:rPr>
          <w:color w:val="000000" w:themeColor="text1"/>
        </w:rPr>
      </w:pPr>
      <m:oMathPara>
        <m:oMathParaPr>
          <m:jc m:val="center"/>
        </m:oMathParaPr>
        <m:oMath>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ij</m:t>
              </m:r>
            </m:sub>
            <m:sup>
              <m:r>
                <m:rPr>
                  <m:sty m:val="p"/>
                </m:rPr>
                <w:rPr>
                  <w:rFonts w:ascii="Cambria Math" w:hAnsi="Cambria Math"/>
                  <w:color w:val="000000" w:themeColor="text1"/>
                </w:rPr>
                <m:t>(</m:t>
              </m:r>
              <m:r>
                <w:rPr>
                  <w:rFonts w:ascii="Cambria Math" w:hAnsi="Cambria Math"/>
                  <w:color w:val="000000" w:themeColor="text1"/>
                </w:rPr>
                <m:t>L</m:t>
              </m:r>
              <m:r>
                <m:rPr>
                  <m:sty m:val="p"/>
                </m:rPr>
                <w:rPr>
                  <w:rFonts w:ascii="Cambria Math" w:hAnsi="Cambria Math"/>
                  <w:color w:val="000000" w:themeColor="text1"/>
                </w:rPr>
                <m:t>)</m:t>
              </m:r>
            </m:sup>
          </m:sSubSup>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ij</m:t>
              </m:r>
            </m:sub>
            <m:sup>
              <m:r>
                <w:rPr>
                  <w:rFonts w:ascii="Cambria Math" w:hAnsi="Cambria Math"/>
                  <w:color w:val="000000" w:themeColor="text1"/>
                </w:rPr>
                <m:t>survey</m:t>
              </m:r>
            </m:sup>
          </m:sSubSup>
          <m:r>
            <m:rPr>
              <m:sty m:val="p"/>
            </m:rPr>
            <w:rPr>
              <w:rFonts w:ascii="Cambria Math" w:hAnsi="Cambria Math"/>
              <w:color w:val="000000" w:themeColor="text1"/>
            </w:rPr>
            <m:t>×</m:t>
          </m:r>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ij</m:t>
              </m:r>
            </m:sub>
            <m:sup>
              <m:r>
                <w:rPr>
                  <w:rFonts w:ascii="Cambria Math" w:hAnsi="Cambria Math"/>
                  <w:color w:val="000000" w:themeColor="text1"/>
                </w:rPr>
                <m:t>L</m:t>
              </m:r>
            </m:sup>
          </m:sSubSup>
          <m:r>
            <m:rPr>
              <m:sty m:val="p"/>
            </m:rPr>
            <w:rPr>
              <w:rFonts w:ascii="Cambria Math" w:hAnsi="Cambria Math"/>
              <w:color w:val="000000" w:themeColor="text1"/>
            </w:rPr>
            <m:t>×{</m:t>
          </m:r>
          <m:sSubSup>
            <m:sSubSupPr>
              <m:ctrlPr>
                <w:rPr>
                  <w:rFonts w:ascii="Cambria Math" w:hAnsi="Cambria Math"/>
                  <w:color w:val="000000" w:themeColor="text1"/>
                </w:rPr>
              </m:ctrlPr>
            </m:sSubSupPr>
            <m:e>
              <m:r>
                <w:rPr>
                  <w:rFonts w:ascii="Cambria Math" w:hAnsi="Cambria Math"/>
                  <w:color w:val="000000" w:themeColor="text1"/>
                </w:rPr>
                <m:t>w</m:t>
              </m:r>
            </m:e>
            <m:sub>
              <m:r>
                <w:rPr>
                  <w:rFonts w:ascii="Cambria Math" w:hAnsi="Cambria Math"/>
                  <w:color w:val="000000" w:themeColor="text1"/>
                </w:rPr>
                <m:t>i</m:t>
              </m:r>
            </m:sub>
            <m:sup>
              <m:r>
                <w:rPr>
                  <w:rFonts w:ascii="Cambria Math" w:hAnsi="Cambria Math"/>
                  <w:color w:val="000000" w:themeColor="text1"/>
                </w:rPr>
                <m:t>OW</m:t>
              </m:r>
            </m:sup>
          </m:sSubSup>
          <m:r>
            <m:rPr>
              <m:nor/>
            </m:rPr>
            <w:rPr>
              <w:color w:val="000000" w:themeColor="text1"/>
            </w:rPr>
            <m:t xml:space="preserve"> for H1 versus H2 or H3</m:t>
          </m:r>
          <m:r>
            <m:rPr>
              <m:sty m:val="p"/>
            </m:rPr>
            <w:rPr>
              <w:rFonts w:ascii="Cambria Math" w:hAnsi="Cambria Math"/>
              <w:color w:val="000000" w:themeColor="text1"/>
            </w:rPr>
            <m:t>}.</m:t>
          </m:r>
        </m:oMath>
      </m:oMathPara>
    </w:p>
    <w:p w14:paraId="7FE4A866" w14:textId="77777777" w:rsidR="001C2B6A" w:rsidRPr="00646F04" w:rsidRDefault="00000000">
      <w:pPr>
        <w:pStyle w:val="2"/>
        <w:rPr>
          <w:color w:val="000000" w:themeColor="text1"/>
        </w:rPr>
      </w:pPr>
      <w:bookmarkStart w:id="11" w:name="X7bf979031952524a4112d5e42bfdee53f262e49"/>
      <w:bookmarkEnd w:id="10"/>
      <w:r w:rsidRPr="00646F04">
        <w:rPr>
          <w:rFonts w:ascii="Arial" w:eastAsia="Source Han Serif SC" w:hAnsi="Arial" w:cs="Arial"/>
          <w:color w:val="000000" w:themeColor="text1"/>
        </w:rPr>
        <w:t>A8. Exact-four-year association models and standardisation</w:t>
      </w:r>
    </w:p>
    <w:p w14:paraId="021D5CCD" w14:textId="77777777" w:rsidR="001C2B6A" w:rsidRPr="00646F04" w:rsidRDefault="00000000">
      <w:pPr>
        <w:pStyle w:val="FirstParagraph"/>
        <w:rPr>
          <w:color w:val="000000" w:themeColor="text1"/>
        </w:rPr>
      </w:pPr>
      <w:r w:rsidRPr="00646F04">
        <w:rPr>
          <w:rFonts w:eastAsia="Source Han Serif SC"/>
          <w:color w:val="000000" w:themeColor="text1"/>
        </w:rPr>
        <w:t>Weighted logistic regression was used for binary four-year outcomes:</w:t>
      </w:r>
    </w:p>
    <w:p w14:paraId="3B7DCECF" w14:textId="77777777" w:rsidR="001C2B6A" w:rsidRPr="00646F04" w:rsidRDefault="00000000">
      <w:pPr>
        <w:pStyle w:val="a0"/>
        <w:rPr>
          <w:color w:val="000000" w:themeColor="text1"/>
        </w:rPr>
      </w:pPr>
      <m:oMathPara>
        <m:oMathParaPr>
          <m:jc m:val="center"/>
        </m:oMathParaPr>
        <m:oMath>
          <m:r>
            <m:rPr>
              <m:sty m:val="p"/>
            </m:rPr>
            <w:rPr>
              <w:rFonts w:ascii="Cambria Math" w:hAnsi="Cambria Math"/>
              <w:color w:val="000000" w:themeColor="text1"/>
            </w:rPr>
            <w:lastRenderedPageBreak/>
            <m:t>logit{</m:t>
          </m:r>
          <m:r>
            <w:rPr>
              <w:rFonts w:ascii="Cambria Math" w:hAnsi="Cambria Math"/>
              <w:color w:val="000000" w:themeColor="text1"/>
            </w:rPr>
            <m:t>P</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Y</m:t>
              </m:r>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4</m:t>
              </m:r>
            </m:sub>
          </m:sSub>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r>
            <w:rPr>
              <w:rFonts w:ascii="Cambria Math" w:hAnsi="Cambria Math"/>
              <w:color w:val="000000" w:themeColor="text1"/>
            </w:rPr>
            <m:t>β</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p>
            <m:sSupPr>
              <m:ctrlPr>
                <w:rPr>
                  <w:rFonts w:ascii="Cambria Math" w:hAnsi="Cambria Math"/>
                  <w:color w:val="000000" w:themeColor="text1"/>
                </w:rPr>
              </m:ctrlPr>
            </m:sSupPr>
            <m:e>
              <m:r>
                <m:rPr>
                  <m:sty m:val="b"/>
                </m:rPr>
                <w:rPr>
                  <w:rFonts w:ascii="Cambria Math" w:hAnsi="Cambria Math"/>
                  <w:color w:val="000000" w:themeColor="text1"/>
                </w:rPr>
                <m:t>γ</m:t>
              </m:r>
            </m:e>
            <m:sup>
              <m:r>
                <m:rPr>
                  <m:scr m:val="sans-serif"/>
                  <m:sty m:val="p"/>
                </m:rPr>
                <w:rPr>
                  <w:rFonts w:ascii="Cambria Math" w:hAnsi="Cambria Math"/>
                  <w:color w:val="000000" w:themeColor="text1"/>
                </w:rPr>
                <m:t>T</m:t>
              </m:r>
            </m:sup>
          </m:sSup>
          <m:sSub>
            <m:sSubPr>
              <m:ctrlPr>
                <w:rPr>
                  <w:rFonts w:ascii="Cambria Math" w:hAnsi="Cambria Math"/>
                  <w:color w:val="000000" w:themeColor="text1"/>
                </w:rPr>
              </m:ctrlPr>
            </m:sSubPr>
            <m:e>
              <m:r>
                <m:rPr>
                  <m:sty m:val="b"/>
                </m:rP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oMath>
      </m:oMathPara>
    </w:p>
    <w:p w14:paraId="6473A6BA" w14:textId="77777777" w:rsidR="001C2B6A" w:rsidRPr="00646F04" w:rsidRDefault="00000000">
      <w:pPr>
        <w:pStyle w:val="FirstParagraph"/>
        <w:rPr>
          <w:color w:val="000000" w:themeColor="text1"/>
        </w:rPr>
      </w:pPr>
      <w:r w:rsidRPr="00646F04">
        <w:rPr>
          <w:rFonts w:eastAsia="Source Han Serif SC"/>
          <w:color w:val="000000" w:themeColor="text1"/>
        </w:rPr>
        <w:t>The number of newly reported diseases was fitted using robust Poisson regression:</w:t>
      </w:r>
    </w:p>
    <w:p w14:paraId="43D02202" w14:textId="77777777" w:rsidR="001C2B6A" w:rsidRPr="00646F04" w:rsidRDefault="00000000">
      <w:pPr>
        <w:pStyle w:val="a0"/>
        <w:rPr>
          <w:color w:val="000000" w:themeColor="text1"/>
        </w:rPr>
      </w:pPr>
      <m:oMathPara>
        <m:oMathParaPr>
          <m:jc m:val="center"/>
        </m:oMathParaPr>
        <m:oMath>
          <m:r>
            <m:rPr>
              <m:sty m:val="p"/>
            </m:rPr>
            <w:rPr>
              <w:rFonts w:ascii="Cambria Math" w:hAnsi="Cambria Math"/>
              <w:color w:val="000000" w:themeColor="text1"/>
            </w:rPr>
            <m:t>log</m:t>
          </m:r>
          <m:r>
            <w:rPr>
              <w:rFonts w:ascii="Cambria Math" w:hAnsi="Cambria Math"/>
              <w:color w:val="000000" w:themeColor="text1"/>
            </w:rPr>
            <m:t>E</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4</m:t>
              </m:r>
            </m:sub>
          </m:sSub>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r>
            <w:rPr>
              <w:rFonts w:ascii="Cambria Math" w:hAnsi="Cambria Math"/>
              <w:color w:val="000000" w:themeColor="text1"/>
            </w:rPr>
            <m:t>β</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p>
            <m:sSupPr>
              <m:ctrlPr>
                <w:rPr>
                  <w:rFonts w:ascii="Cambria Math" w:hAnsi="Cambria Math"/>
                  <w:color w:val="000000" w:themeColor="text1"/>
                </w:rPr>
              </m:ctrlPr>
            </m:sSupPr>
            <m:e>
              <m:r>
                <m:rPr>
                  <m:sty m:val="b"/>
                </m:rPr>
                <w:rPr>
                  <w:rFonts w:ascii="Cambria Math" w:hAnsi="Cambria Math"/>
                  <w:color w:val="000000" w:themeColor="text1"/>
                </w:rPr>
                <m:t>γ</m:t>
              </m:r>
            </m:e>
            <m:sup>
              <m:r>
                <m:rPr>
                  <m:scr m:val="sans-serif"/>
                  <m:sty m:val="p"/>
                </m:rPr>
                <w:rPr>
                  <w:rFonts w:ascii="Cambria Math" w:hAnsi="Cambria Math"/>
                  <w:color w:val="000000" w:themeColor="text1"/>
                </w:rPr>
                <m:t>T</m:t>
              </m:r>
            </m:sup>
          </m:sSup>
          <m:sSub>
            <m:sSubPr>
              <m:ctrlPr>
                <w:rPr>
                  <w:rFonts w:ascii="Cambria Math" w:hAnsi="Cambria Math"/>
                  <w:color w:val="000000" w:themeColor="text1"/>
                </w:rPr>
              </m:ctrlPr>
            </m:sSubPr>
            <m:e>
              <m:r>
                <m:rPr>
                  <m:sty m:val="b"/>
                </m:rP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oMath>
      </m:oMathPara>
    </w:p>
    <w:p w14:paraId="22B58AE8" w14:textId="77777777" w:rsidR="001C2B6A" w:rsidRPr="00646F04" w:rsidRDefault="00000000">
      <w:pPr>
        <w:pStyle w:val="FirstParagraph"/>
        <w:rPr>
          <w:color w:val="000000" w:themeColor="text1"/>
        </w:rPr>
      </w:pPr>
      <w:r w:rsidRPr="00646F04">
        <w:rPr>
          <w:rFonts w:eastAsia="Source Han Serif SC"/>
          <w:color w:val="000000" w:themeColor="text1"/>
        </w:rPr>
        <w:t>The T1 core adjustment set contained age, sex, education, body mass index, smoking, baseline non-hypertension disease count and functional reserve. The T2 contextual set added wealth quintile, six common depressive symptoms, public insurance, physical activity, outpatient use, hospital use, proxy status and individual interview mode where available. Numerical covariates were completed with the analysis-specific median and an indicator of missingness when estimable. Complete cases for the available contextual covariates formed a sensitivity analysis.</w:t>
      </w:r>
    </w:p>
    <w:p w14:paraId="299EBA81" w14:textId="77777777" w:rsidR="001C2B6A" w:rsidRPr="00646F04" w:rsidRDefault="00000000">
      <w:pPr>
        <w:pStyle w:val="a0"/>
        <w:rPr>
          <w:color w:val="000000" w:themeColor="text1"/>
        </w:rPr>
      </w:pPr>
      <w:r w:rsidRPr="00646F04">
        <w:rPr>
          <w:rFonts w:eastAsia="Source Han Serif SC"/>
          <w:color w:val="000000" w:themeColor="text1"/>
        </w:rPr>
        <w:t>Models reported odds ratios, mean ratios for disease count, 95% confidence intervals and two-sided P values. Absolute effects were obtained by weighted g-computation. We set exposure to each comparison state in turn, averaged participant-level predictions over the same weighted population and calculated standardised risk or mean, absolute difference, ratio and difference per 1,000 participants. Delta-method intervals used the cluster-robust covariance matrix. For disease count, the difference per 1,000 was the mean count difference multiplied by 1,000. It did not represent a risk difference.</w:t>
      </w:r>
    </w:p>
    <w:p w14:paraId="4965A0A2" w14:textId="77777777" w:rsidR="001C2B6A" w:rsidRPr="00646F04" w:rsidRDefault="00000000">
      <w:pPr>
        <w:pStyle w:val="2"/>
        <w:rPr>
          <w:color w:val="000000" w:themeColor="text1"/>
        </w:rPr>
      </w:pPr>
      <w:bookmarkStart w:id="12" w:name="a9.-discrete-time-full-wave-models"/>
      <w:bookmarkEnd w:id="11"/>
      <w:r w:rsidRPr="00646F04">
        <w:rPr>
          <w:rFonts w:ascii="Arial" w:eastAsia="Source Han Serif SC" w:hAnsi="Arial" w:cs="Arial"/>
          <w:color w:val="000000" w:themeColor="text1"/>
        </w:rPr>
        <w:t>A9. Discrete-time full-wave models</w:t>
      </w:r>
    </w:p>
    <w:p w14:paraId="5AD0426A" w14:textId="77777777" w:rsidR="001C2B6A" w:rsidRPr="00646F04" w:rsidRDefault="00000000">
      <w:pPr>
        <w:pStyle w:val="FirstParagraph"/>
        <w:rPr>
          <w:color w:val="000000" w:themeColor="text1"/>
        </w:rPr>
      </w:pPr>
      <w:r w:rsidRPr="00646F04">
        <w:rPr>
          <w:rFonts w:eastAsia="Source Han Serif SC"/>
          <w:color w:val="000000" w:themeColor="text1"/>
        </w:rPr>
        <w:t xml:space="preserve">For every adjacent observed interview interval </w:t>
      </w:r>
      <m:oMath>
        <m:r>
          <w:rPr>
            <w:rFonts w:ascii="Cambria Math" w:hAnsi="Cambria Math"/>
            <w:color w:val="000000" w:themeColor="text1"/>
          </w:rPr>
          <m:t>j</m:t>
        </m:r>
      </m:oMath>
      <w:r w:rsidRPr="00646F04">
        <w:rPr>
          <w:rFonts w:eastAsia="Source Han Serif SC"/>
          <w:color w:val="000000" w:themeColor="text1"/>
        </w:rPr>
        <w:t xml:space="preserve">, we constructed an outcome-specific risk set and used the actual interval length </w:t>
      </w:r>
      <m:oMath>
        <m:r>
          <m:rPr>
            <m:sty m:val="p"/>
          </m:rPr>
          <w:rPr>
            <w:rFonts w:ascii="Cambria Math" w:hAnsi="Cambria Math"/>
            <w:color w:val="000000" w:themeColor="text1"/>
          </w:rPr>
          <m:t>Δ</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ij</m:t>
            </m:r>
          </m:sub>
        </m:sSub>
      </m:oMath>
      <w:r w:rsidRPr="00646F04">
        <w:rPr>
          <w:rFonts w:eastAsia="Source Han Serif SC"/>
          <w:color w:val="000000" w:themeColor="text1"/>
        </w:rPr>
        <w:t xml:space="preserve"> as an offset:</w:t>
      </w:r>
    </w:p>
    <w:p w14:paraId="0290B501" w14:textId="77777777" w:rsidR="001C2B6A" w:rsidRPr="00646F04" w:rsidRDefault="00000000">
      <w:pPr>
        <w:pStyle w:val="a0"/>
        <w:rPr>
          <w:color w:val="000000" w:themeColor="text1"/>
        </w:rPr>
      </w:pPr>
      <m:oMathPara>
        <m:oMathParaPr>
          <m:jc m:val="center"/>
        </m:oMathParaPr>
        <m:oMath>
          <m:r>
            <m:rPr>
              <m:sty m:val="p"/>
            </m:rPr>
            <w:rPr>
              <w:rFonts w:ascii="Cambria Math" w:hAnsi="Cambria Math"/>
              <w:color w:val="000000" w:themeColor="text1"/>
            </w:rPr>
            <m:t>log{-log(</m:t>
          </m:r>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m:t>
              </m:r>
            </m:e>
            <m:sub>
              <m:r>
                <w:rPr>
                  <w:rFonts w:ascii="Cambria Math" w:hAnsi="Cambria Math"/>
                  <w:color w:val="000000" w:themeColor="text1"/>
                </w:rPr>
                <m:t>ij</m:t>
              </m:r>
            </m:sub>
          </m:sSub>
          <m:r>
            <m:rPr>
              <m:sty m:val="p"/>
            </m:rPr>
            <w:rPr>
              <w:rFonts w:ascii="Cambria Math" w:hAnsi="Cambria Math"/>
              <w:color w:val="000000" w:themeColor="text1"/>
            </w:rPr>
            <m:t>)}=log(Δ</m:t>
          </m:r>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ij</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α</m:t>
              </m:r>
            </m:e>
            <m:sub>
              <m:r>
                <w:rPr>
                  <w:rFonts w:ascii="Cambria Math" w:hAnsi="Cambria Math"/>
                  <w:color w:val="000000" w:themeColor="text1"/>
                </w:rPr>
                <m:t>j</m:t>
              </m:r>
            </m:sub>
          </m:sSub>
          <m:r>
            <m:rPr>
              <m:sty m:val="p"/>
            </m:rPr>
            <w:rPr>
              <w:rFonts w:ascii="Cambria Math" w:hAnsi="Cambria Math"/>
              <w:color w:val="000000" w:themeColor="text1"/>
            </w:rPr>
            <m:t>+</m:t>
          </m:r>
          <m:r>
            <w:rPr>
              <w:rFonts w:ascii="Cambria Math" w:hAnsi="Cambria Math"/>
              <w:color w:val="000000" w:themeColor="text1"/>
            </w:rPr>
            <m:t>β</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m:t>
          </m:r>
          <m:sSup>
            <m:sSupPr>
              <m:ctrlPr>
                <w:rPr>
                  <w:rFonts w:ascii="Cambria Math" w:hAnsi="Cambria Math"/>
                  <w:color w:val="000000" w:themeColor="text1"/>
                </w:rPr>
              </m:ctrlPr>
            </m:sSupPr>
            <m:e>
              <m:r>
                <m:rPr>
                  <m:sty m:val="b"/>
                </m:rPr>
                <w:rPr>
                  <w:rFonts w:ascii="Cambria Math" w:hAnsi="Cambria Math"/>
                  <w:color w:val="000000" w:themeColor="text1"/>
                </w:rPr>
                <m:t>γ</m:t>
              </m:r>
            </m:e>
            <m:sup>
              <m:r>
                <m:rPr>
                  <m:scr m:val="sans-serif"/>
                  <m:sty m:val="p"/>
                </m:rPr>
                <w:rPr>
                  <w:rFonts w:ascii="Cambria Math" w:hAnsi="Cambria Math"/>
                  <w:color w:val="000000" w:themeColor="text1"/>
                </w:rPr>
                <m:t>T</m:t>
              </m:r>
            </m:sup>
          </m:sSup>
          <m:sSub>
            <m:sSubPr>
              <m:ctrlPr>
                <w:rPr>
                  <w:rFonts w:ascii="Cambria Math" w:hAnsi="Cambria Math"/>
                  <w:color w:val="000000" w:themeColor="text1"/>
                </w:rPr>
              </m:ctrlPr>
            </m:sSubPr>
            <m:e>
              <m:r>
                <m:rPr>
                  <m:sty m:val="b"/>
                </m:rPr>
                <w:rPr>
                  <w:rFonts w:ascii="Cambria Math" w:hAnsi="Cambria Math"/>
                  <w:color w:val="000000" w:themeColor="text1"/>
                </w:rPr>
                <m:t>X</m:t>
              </m:r>
            </m:e>
            <m:sub>
              <m:r>
                <w:rPr>
                  <w:rFonts w:ascii="Cambria Math" w:hAnsi="Cambria Math"/>
                  <w:color w:val="000000" w:themeColor="text1"/>
                </w:rPr>
                <m:t>ij</m:t>
              </m:r>
            </m:sub>
          </m:sSub>
          <m:r>
            <m:rPr>
              <m:sty m:val="p"/>
            </m:rPr>
            <w:rPr>
              <w:rFonts w:ascii="Cambria Math" w:hAnsi="Cambria Math"/>
              <w:color w:val="000000" w:themeColor="text1"/>
            </w:rPr>
            <m:t>.</m:t>
          </m:r>
        </m:oMath>
      </m:oMathPara>
    </w:p>
    <w:p w14:paraId="047C8856" w14:textId="77777777" w:rsidR="001C2B6A" w:rsidRPr="00646F04" w:rsidRDefault="00000000">
      <w:pPr>
        <w:pStyle w:val="FirstParagrap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α</m:t>
            </m:r>
          </m:e>
          <m:sub>
            <m:r>
              <w:rPr>
                <w:rFonts w:ascii="Cambria Math" w:hAnsi="Cambria Math"/>
                <w:color w:val="000000" w:themeColor="text1"/>
              </w:rPr>
              <m:t>j</m:t>
            </m:r>
          </m:sub>
        </m:sSub>
      </m:oMath>
      <w:r w:rsidRPr="00646F04">
        <w:rPr>
          <w:rFonts w:eastAsia="Source Han Serif SC"/>
          <w:color w:val="000000" w:themeColor="text1"/>
        </w:rPr>
        <w:t xml:space="preserve"> represented the interval starting year. We reported </w:t>
      </w:r>
      <m:oMath>
        <m:r>
          <m:rPr>
            <m:sty m:val="p"/>
          </m:rPr>
          <w:rPr>
            <w:rFonts w:ascii="Cambria Math" w:hAnsi="Cambria Math"/>
            <w:color w:val="000000" w:themeColor="text1"/>
          </w:rPr>
          <m:t>exp(</m:t>
        </m:r>
        <m:r>
          <w:rPr>
            <w:rFonts w:ascii="Cambria Math" w:hAnsi="Cambria Math"/>
            <w:color w:val="000000" w:themeColor="text1"/>
          </w:rPr>
          <m:t>β</m:t>
        </m:r>
        <m:r>
          <m:rPr>
            <m:sty m:val="p"/>
          </m:rPr>
          <w:rPr>
            <w:rFonts w:ascii="Cambria Math" w:hAnsi="Cambria Math"/>
            <w:color w:val="000000" w:themeColor="text1"/>
          </w:rPr>
          <m:t>)</m:t>
        </m:r>
      </m:oMath>
      <w:r w:rsidRPr="00646F04">
        <w:rPr>
          <w:rFonts w:eastAsia="Source Han Serif SC"/>
          <w:color w:val="000000" w:themeColor="text1"/>
        </w:rPr>
        <w:t xml:space="preserve"> as a discrete-time approximate hazard ratio. Participants left the first-disease risk set after their first newly reported disease. ADL and IADL models included intervals beginning with intact status for the corresponding function. Main analyses of non-fatal outcomes included intervals ending by 2018.</w:t>
      </w:r>
    </w:p>
    <w:p w14:paraId="3886FBB9" w14:textId="77777777" w:rsidR="001C2B6A" w:rsidRPr="00646F04" w:rsidRDefault="00000000">
      <w:pPr>
        <w:pStyle w:val="a0"/>
        <w:rPr>
          <w:color w:val="000000" w:themeColor="text1"/>
        </w:rPr>
      </w:pPr>
      <w:r w:rsidRPr="00646F04">
        <w:rPr>
          <w:rFonts w:eastAsia="Source Han Serif SC"/>
          <w:color w:val="000000" w:themeColor="text1"/>
        </w:rPr>
        <w:t xml:space="preserve">For a fixed exposure state </w:t>
      </w:r>
      <m:oMath>
        <m:r>
          <w:rPr>
            <w:rFonts w:ascii="Cambria Math" w:hAnsi="Cambria Math"/>
            <w:color w:val="000000" w:themeColor="text1"/>
          </w:rPr>
          <m:t>a</m:t>
        </m:r>
      </m:oMath>
      <w:r w:rsidRPr="00646F04">
        <w:rPr>
          <w:rFonts w:eastAsia="Source Han Serif SC"/>
          <w:color w:val="000000" w:themeColor="text1"/>
        </w:rPr>
        <w:t>, model-supported cumulative risk over a participant’s observed risk intervals was:</w:t>
      </w:r>
    </w:p>
    <w:p w14:paraId="2D73C6AF"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m:t>Ris</m:t>
          </m:r>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a</m:t>
          </m:r>
          <m:r>
            <m:rPr>
              <m:sty m:val="p"/>
            </m:rPr>
            <w:rPr>
              <w:rFonts w:ascii="Cambria Math" w:hAnsi="Cambria Math"/>
              <w:color w:val="000000" w:themeColor="text1"/>
            </w:rPr>
            <m:t>)=</m:t>
          </m:r>
          <m:r>
            <w:rPr>
              <w:rFonts w:ascii="Cambria Math" w:hAnsi="Cambria Math"/>
              <w:color w:val="000000" w:themeColor="text1"/>
            </w:rPr>
            <m:t>1</m:t>
          </m:r>
          <m:r>
            <m:rPr>
              <m:sty m:val="p"/>
            </m:rPr>
            <w:rPr>
              <w:rFonts w:ascii="Cambria Math" w:hAnsi="Cambria Math"/>
              <w:color w:val="000000" w:themeColor="text1"/>
            </w:rPr>
            <m:t>-</m:t>
          </m:r>
          <m:nary>
            <m:naryPr>
              <m:chr m:val="∏"/>
              <m:limLoc m:val="undOvr"/>
              <m:supHide m:val="1"/>
              <m:ctrlPr>
                <w:rPr>
                  <w:rFonts w:ascii="Cambria Math" w:hAnsi="Cambria Math"/>
                  <w:color w:val="000000" w:themeColor="text1"/>
                </w:rPr>
              </m:ctrlPr>
            </m:naryPr>
            <m:sub>
              <m:r>
                <w:rPr>
                  <w:rFonts w:ascii="Cambria Math" w:hAnsi="Cambria Math"/>
                  <w:color w:val="000000" w:themeColor="text1"/>
                </w:rPr>
                <m:t>j</m:t>
              </m:r>
            </m:sub>
            <m:sup>
              <m:r>
                <w:rPr>
                  <w:rFonts w:ascii="Cambria Math" w:hAnsi="Cambria Math"/>
                  <w:color w:val="000000" w:themeColor="text1"/>
                </w:rPr>
                <m:t>​</m:t>
              </m:r>
            </m:sup>
            <m:e>
              <m:r>
                <m:rPr>
                  <m:sty m:val="p"/>
                </m:rPr>
                <w:rPr>
                  <w:rFonts w:ascii="Cambria Math" w:hAnsi="Cambria Math"/>
                  <w:color w:val="000000" w:themeColor="text1"/>
                </w:rPr>
                <m:t>(</m:t>
              </m:r>
            </m:e>
          </m:nary>
          <m:r>
            <w:rPr>
              <w:rFonts w:ascii="Cambria Math" w:hAnsi="Cambria Math"/>
              <w:color w:val="000000" w:themeColor="text1"/>
            </w:rPr>
            <m:t>1</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m:t>
              </m:r>
            </m:e>
            <m:sub>
              <m:r>
                <w:rPr>
                  <w:rFonts w:ascii="Cambria Math" w:hAnsi="Cambria Math"/>
                  <w:color w:val="000000" w:themeColor="text1"/>
                </w:rPr>
                <m:t>ij</m:t>
              </m:r>
            </m:sub>
          </m:sSub>
          <m:r>
            <m:rPr>
              <m:sty m:val="p"/>
            </m:rPr>
            <w:rPr>
              <w:rFonts w:ascii="Cambria Math" w:hAnsi="Cambria Math"/>
              <w:color w:val="000000" w:themeColor="text1"/>
            </w:rPr>
            <m:t>(</m:t>
          </m:r>
          <m:r>
            <w:rPr>
              <w:rFonts w:ascii="Cambria Math" w:hAnsi="Cambria Math"/>
              <w:color w:val="000000" w:themeColor="text1"/>
            </w:rPr>
            <m:t>a</m:t>
          </m:r>
          <m:r>
            <m:rPr>
              <m:sty m:val="p"/>
            </m:rPr>
            <w:rPr>
              <w:rFonts w:ascii="Cambria Math" w:hAnsi="Cambria Math"/>
              <w:color w:val="000000" w:themeColor="text1"/>
            </w:rPr>
            <m:t>)).</m:t>
          </m:r>
        </m:oMath>
      </m:oMathPara>
    </w:p>
    <w:p w14:paraId="4D99F400" w14:textId="77777777" w:rsidR="001C2B6A" w:rsidRPr="00646F04" w:rsidRDefault="00000000">
      <w:pPr>
        <w:pStyle w:val="FirstParagraph"/>
        <w:rPr>
          <w:color w:val="000000" w:themeColor="text1"/>
        </w:rPr>
      </w:pPr>
      <w:r w:rsidRPr="00646F04">
        <w:rPr>
          <w:rFonts w:eastAsia="Source Han Serif SC"/>
          <w:color w:val="000000" w:themeColor="text1"/>
        </w:rPr>
        <w:t>We standardised these risks using each participant’s combined weight from the first analytic interval. This produced cohort-specific cumulative risks, risk differences, risk ratios and delta-method intervals. The estimand represented cumulative risk over the observed interview schedule under the fitted model. It was separate from an equally spaced Kaplan-Meier risk or a randomised treatment risk.</w:t>
      </w:r>
    </w:p>
    <w:p w14:paraId="26328855" w14:textId="77777777" w:rsidR="001C2B6A" w:rsidRPr="00646F04" w:rsidRDefault="00000000">
      <w:pPr>
        <w:pStyle w:val="2"/>
        <w:rPr>
          <w:color w:val="000000" w:themeColor="text1"/>
        </w:rPr>
      </w:pPr>
      <w:bookmarkStart w:id="13" w:name="X5abed2a01178ea07b4ba879f7f7ba0f13e618a3"/>
      <w:bookmarkEnd w:id="12"/>
      <w:r w:rsidRPr="00646F04">
        <w:rPr>
          <w:rFonts w:ascii="Arial" w:eastAsia="Source Han Serif SC" w:hAnsi="Arial" w:cs="Arial"/>
          <w:color w:val="000000" w:themeColor="text1"/>
        </w:rPr>
        <w:t>A10. Disease-function multistate analysis</w:t>
      </w:r>
    </w:p>
    <w:p w14:paraId="7BA4E0AB" w14:textId="77777777" w:rsidR="001C2B6A" w:rsidRPr="00646F04" w:rsidRDefault="00000000">
      <w:pPr>
        <w:pStyle w:val="FirstParagraph"/>
        <w:rPr>
          <w:color w:val="000000" w:themeColor="text1"/>
        </w:rPr>
      </w:pPr>
      <w:r w:rsidRPr="00646F04">
        <w:rPr>
          <w:rFonts w:eastAsia="Source Han Serif SC"/>
          <w:color w:val="000000" w:themeColor="text1"/>
        </w:rPr>
        <w:t>The joint states were S0, zero or one non-hypertension disease with intact ADL and IADL, S1, at least two diseases with intact function, S2, IADL disability with intact ADL, S3, ADL disability, and S4, ascertained death. Prespecified adjusted transitions were:</w:t>
      </w:r>
    </w:p>
    <w:p w14:paraId="7F4BFE5F" w14:textId="77777777" w:rsidR="001C2B6A" w:rsidRPr="00646F04" w:rsidRDefault="00000000">
      <w:pPr>
        <w:pStyle w:val="Compact"/>
        <w:numPr>
          <w:ilvl w:val="0"/>
          <w:numId w:val="6"/>
        </w:numPr>
        <w:rPr>
          <w:color w:val="000000" w:themeColor="text1"/>
        </w:rPr>
      </w:pPr>
      <w:r w:rsidRPr="00646F04">
        <w:rPr>
          <w:rFonts w:eastAsia="Source Han Serif SC"/>
          <w:color w:val="000000" w:themeColor="text1"/>
        </w:rPr>
        <w:t>S0 to S1</w:t>
      </w:r>
    </w:p>
    <w:p w14:paraId="216A8544" w14:textId="77777777" w:rsidR="001C2B6A" w:rsidRPr="00646F04" w:rsidRDefault="00000000">
      <w:pPr>
        <w:pStyle w:val="Compact"/>
        <w:numPr>
          <w:ilvl w:val="0"/>
          <w:numId w:val="6"/>
        </w:numPr>
        <w:rPr>
          <w:color w:val="000000" w:themeColor="text1"/>
        </w:rPr>
      </w:pPr>
      <w:r w:rsidRPr="00646F04">
        <w:rPr>
          <w:rFonts w:eastAsia="Source Han Serif SC"/>
          <w:color w:val="000000" w:themeColor="text1"/>
        </w:rPr>
        <w:t>S0 or S1 to S2</w:t>
      </w:r>
    </w:p>
    <w:p w14:paraId="0E8733D5" w14:textId="77777777" w:rsidR="001C2B6A" w:rsidRPr="00646F04" w:rsidRDefault="00000000">
      <w:pPr>
        <w:pStyle w:val="Compact"/>
        <w:numPr>
          <w:ilvl w:val="0"/>
          <w:numId w:val="6"/>
        </w:numPr>
        <w:rPr>
          <w:color w:val="000000" w:themeColor="text1"/>
        </w:rPr>
      </w:pPr>
      <w:r w:rsidRPr="00646F04">
        <w:rPr>
          <w:rFonts w:eastAsia="Source Han Serif SC"/>
          <w:color w:val="000000" w:themeColor="text1"/>
        </w:rPr>
        <w:t>S0, S1 or S2 to S3</w:t>
      </w:r>
    </w:p>
    <w:p w14:paraId="73DC39B5" w14:textId="77777777" w:rsidR="001C2B6A" w:rsidRPr="00646F04" w:rsidRDefault="00000000">
      <w:pPr>
        <w:pStyle w:val="Compact"/>
        <w:numPr>
          <w:ilvl w:val="0"/>
          <w:numId w:val="6"/>
        </w:numPr>
        <w:rPr>
          <w:color w:val="000000" w:themeColor="text1"/>
        </w:rPr>
      </w:pPr>
      <w:r w:rsidRPr="00646F04">
        <w:rPr>
          <w:rFonts w:eastAsia="Source Han Serif SC"/>
          <w:color w:val="000000" w:themeColor="text1"/>
        </w:rPr>
        <w:t>Any living state to S4</w:t>
      </w:r>
    </w:p>
    <w:p w14:paraId="629ED1F5" w14:textId="77777777" w:rsidR="001C2B6A" w:rsidRPr="00646F04" w:rsidRDefault="00000000">
      <w:pPr>
        <w:pStyle w:val="FirstParagraph"/>
        <w:rPr>
          <w:color w:val="000000" w:themeColor="text1"/>
        </w:rPr>
      </w:pPr>
      <w:r w:rsidRPr="00646F04">
        <w:rPr>
          <w:rFonts w:eastAsia="Source Han Serif SC"/>
          <w:color w:val="000000" w:themeColor="text1"/>
        </w:rPr>
        <w:lastRenderedPageBreak/>
        <w:t>Each transition was fitted in its origin-state risk set using a T2 cause-specific complementary log-log model. Competing transitions were coded as non-events in the relevant cause-specific model, and participants left the risk set after leaving the origin state. Non-fatal transitions ended in 2018. Death transitions could extend to 2020. When a transition had fewer than 30 events, we retained only survey weight multiplied by cumulative IPCW descriptive probabilities and marked the transition as sparse. S4 was an absorbing state. CHARLS mortality transitions referred only to ascertained deaths because death linkage was incomplete.</w:t>
      </w:r>
    </w:p>
    <w:p w14:paraId="01E991EE" w14:textId="77777777" w:rsidR="001C2B6A" w:rsidRPr="00646F04" w:rsidRDefault="00000000">
      <w:pPr>
        <w:pStyle w:val="2"/>
        <w:rPr>
          <w:color w:val="000000" w:themeColor="text1"/>
        </w:rPr>
      </w:pPr>
      <w:bookmarkStart w:id="14" w:name="X4fe883e73bd9cc2d3f200dcb9d786a0902156d9"/>
      <w:bookmarkEnd w:id="13"/>
      <w:r w:rsidRPr="00646F04">
        <w:rPr>
          <w:rFonts w:ascii="Arial" w:eastAsia="Source Han Serif SC" w:hAnsi="Arial" w:cs="Arial"/>
          <w:color w:val="000000" w:themeColor="text1"/>
        </w:rPr>
        <w:t>A11. Cross-cohort transportability diagnostics and interpretation criteria</w:t>
      </w:r>
    </w:p>
    <w:p w14:paraId="788FF67A" w14:textId="77777777" w:rsidR="001C2B6A" w:rsidRPr="00646F04" w:rsidRDefault="00000000">
      <w:pPr>
        <w:pStyle w:val="FirstParagraph"/>
        <w:rPr>
          <w:color w:val="000000" w:themeColor="text1"/>
        </w:rPr>
      </w:pPr>
      <w:r w:rsidRPr="00646F04">
        <w:rPr>
          <w:rFonts w:eastAsia="Source Han Serif SC"/>
          <w:color w:val="000000" w:themeColor="text1"/>
        </w:rPr>
        <w:t>All models were fitted separately by cohort. For a matched endpoint and comparison, the cohort coefficient difference was:</w:t>
      </w:r>
    </w:p>
    <w:p w14:paraId="45EFAE2B" w14:textId="77777777" w:rsidR="001C2B6A" w:rsidRPr="00646F04" w:rsidRDefault="00000000">
      <w:pPr>
        <w:pStyle w:val="a0"/>
        <w:rPr>
          <w:color w:val="000000" w:themeColor="text1"/>
        </w:rPr>
      </w:pPr>
      <m:oMathPara>
        <m:oMathParaPr>
          <m:jc m:val="center"/>
        </m:oMathParaPr>
        <m:oMath>
          <m:r>
            <m:rPr>
              <m:sty m:val="p"/>
            </m:rPr>
            <w:rPr>
              <w:rFonts w:ascii="Cambria Math" w:hAnsi="Cambria Math"/>
              <w:color w:val="000000" w:themeColor="text1"/>
            </w:rPr>
            <m:t>Δ</m:t>
          </m:r>
          <m:r>
            <w:rPr>
              <w:rFonts w:ascii="Cambria Math" w:hAnsi="Cambria Math"/>
              <w:color w:val="000000" w:themeColor="text1"/>
            </w:rPr>
            <m:t>β</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CHARLS</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HRS</m:t>
              </m:r>
            </m:sub>
          </m:sSub>
          <m:r>
            <m:rPr>
              <m:sty m:val="p"/>
            </m:rPr>
            <w:rPr>
              <w:rFonts w:ascii="Cambria Math" w:hAnsi="Cambria Math"/>
              <w:color w:val="000000" w:themeColor="text1"/>
            </w:rPr>
            <m:t>,</m:t>
          </m:r>
          <m:r>
            <w:rPr>
              <w:rFonts w:ascii="Cambria Math" w:hAnsi="Cambria Math"/>
              <w:color w:val="000000" w:themeColor="text1"/>
            </w:rPr>
            <m:t>  SE</m:t>
          </m:r>
          <m:r>
            <m:rPr>
              <m:sty m:val="p"/>
            </m:rPr>
            <w:rPr>
              <w:rFonts w:ascii="Cambria Math" w:hAnsi="Cambria Math"/>
              <w:color w:val="000000" w:themeColor="text1"/>
            </w:rPr>
            <m:t>(Δ</m:t>
          </m:r>
          <m:r>
            <w:rPr>
              <w:rFonts w:ascii="Cambria Math" w:hAnsi="Cambria Math"/>
              <w:color w:val="000000" w:themeColor="text1"/>
            </w:rPr>
            <m:t>β</m:t>
          </m:r>
          <m:r>
            <m:rPr>
              <m:sty m:val="p"/>
            </m:rPr>
            <w:rPr>
              <w:rFonts w:ascii="Cambria Math" w:hAnsi="Cambria Math"/>
              <w:color w:val="000000" w:themeColor="text1"/>
            </w:rPr>
            <m:t>)=</m:t>
          </m:r>
          <m:rad>
            <m:radPr>
              <m:degHide m:val="1"/>
              <m:ctrlPr>
                <w:rPr>
                  <w:rFonts w:ascii="Cambria Math" w:hAnsi="Cambria Math"/>
                  <w:color w:val="000000" w:themeColor="text1"/>
                </w:rPr>
              </m:ctrlPr>
            </m:radPr>
            <m:deg/>
            <m:e>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E</m:t>
                  </m:r>
                </m:e>
                <m:sub>
                  <m:r>
                    <w:rPr>
                      <w:rFonts w:ascii="Cambria Math" w:hAnsi="Cambria Math"/>
                      <w:color w:val="000000" w:themeColor="text1"/>
                    </w:rPr>
                    <m:t>C</m:t>
                  </m:r>
                </m:sub>
                <m:sup>
                  <m:r>
                    <w:rPr>
                      <w:rFonts w:ascii="Cambria Math" w:hAnsi="Cambria Math"/>
                      <w:color w:val="000000" w:themeColor="text1"/>
                    </w:rPr>
                    <m:t>2</m:t>
                  </m:r>
                </m:sup>
              </m:sSubSup>
              <m:r>
                <m:rPr>
                  <m:sty m:val="p"/>
                </m:rPr>
                <w:rPr>
                  <w:rFonts w:ascii="Cambria Math" w:hAnsi="Cambria Math"/>
                  <w:color w:val="000000" w:themeColor="text1"/>
                </w:rPr>
                <m:t>+</m:t>
              </m:r>
              <m:r>
                <w:rPr>
                  <w:rFonts w:ascii="Cambria Math" w:hAnsi="Cambria Math"/>
                  <w:color w:val="000000" w:themeColor="text1"/>
                </w:rPr>
                <m:t>S</m:t>
              </m:r>
              <m:sSubSup>
                <m:sSubSupPr>
                  <m:ctrlPr>
                    <w:rPr>
                      <w:rFonts w:ascii="Cambria Math" w:hAnsi="Cambria Math"/>
                      <w:color w:val="000000" w:themeColor="text1"/>
                    </w:rPr>
                  </m:ctrlPr>
                </m:sSubSupPr>
                <m:e>
                  <m:r>
                    <w:rPr>
                      <w:rFonts w:ascii="Cambria Math" w:hAnsi="Cambria Math"/>
                      <w:color w:val="000000" w:themeColor="text1"/>
                    </w:rPr>
                    <m:t>E</m:t>
                  </m:r>
                </m:e>
                <m:sub>
                  <m:r>
                    <w:rPr>
                      <w:rFonts w:ascii="Cambria Math" w:hAnsi="Cambria Math"/>
                      <w:color w:val="000000" w:themeColor="text1"/>
                    </w:rPr>
                    <m:t>H</m:t>
                  </m:r>
                </m:sub>
                <m:sup>
                  <m:r>
                    <w:rPr>
                      <w:rFonts w:ascii="Cambria Math" w:hAnsi="Cambria Math"/>
                      <w:color w:val="000000" w:themeColor="text1"/>
                    </w:rPr>
                    <m:t>2</m:t>
                  </m:r>
                </m:sup>
              </m:sSubSup>
            </m:e>
          </m:rad>
          <m:r>
            <m:rPr>
              <m:sty m:val="p"/>
            </m:rPr>
            <w:rPr>
              <w:rFonts w:ascii="Cambria Math" w:hAnsi="Cambria Math"/>
              <w:color w:val="000000" w:themeColor="text1"/>
            </w:rPr>
            <m:t>.</m:t>
          </m:r>
        </m:oMath>
      </m:oMathPara>
    </w:p>
    <w:p w14:paraId="16F97E2B" w14:textId="77777777" w:rsidR="001C2B6A" w:rsidRPr="00646F04" w:rsidRDefault="00000000">
      <w:pPr>
        <w:pStyle w:val="FirstParagraph"/>
        <w:rPr>
          <w:color w:val="000000" w:themeColor="text1"/>
        </w:rPr>
      </w:pPr>
      <w:r w:rsidRPr="00646F04">
        <w:rPr>
          <w:rFonts w:eastAsia="Source Han Serif SC"/>
          <w:color w:val="000000" w:themeColor="text1"/>
        </w:rPr>
        <w:t xml:space="preserve">The two-sided P value for the cohort difference was derived from </w:t>
      </w:r>
      <m:oMath>
        <m:r>
          <m:rPr>
            <m:sty m:val="p"/>
          </m:rPr>
          <w:rPr>
            <w:rFonts w:ascii="Cambria Math" w:hAnsi="Cambria Math"/>
            <w:color w:val="000000" w:themeColor="text1"/>
          </w:rPr>
          <m:t>Δ</m:t>
        </m:r>
        <m:r>
          <w:rPr>
            <w:rFonts w:ascii="Cambria Math" w:hAnsi="Cambria Math"/>
            <w:color w:val="000000" w:themeColor="text1"/>
          </w:rPr>
          <m:t>β</m:t>
        </m:r>
        <m:r>
          <m:rPr>
            <m:sty m:val="p"/>
          </m:rPr>
          <w:rPr>
            <w:rFonts w:ascii="Cambria Math" w:hAnsi="Cambria Math"/>
            <w:color w:val="000000" w:themeColor="text1"/>
          </w:rPr>
          <m:t>/</m:t>
        </m:r>
        <m:r>
          <w:rPr>
            <w:rFonts w:ascii="Cambria Math" w:hAnsi="Cambria Math"/>
            <w:color w:val="000000" w:themeColor="text1"/>
          </w:rPr>
          <m:t>SE</m:t>
        </m:r>
        <m:r>
          <m:rPr>
            <m:sty m:val="p"/>
          </m:rPr>
          <w:rPr>
            <w:rFonts w:ascii="Cambria Math" w:hAnsi="Cambria Math"/>
            <w:color w:val="000000" w:themeColor="text1"/>
          </w:rPr>
          <m:t>(Δ</m:t>
        </m:r>
        <m:r>
          <w:rPr>
            <w:rFonts w:ascii="Cambria Math" w:hAnsi="Cambria Math"/>
            <w:color w:val="000000" w:themeColor="text1"/>
          </w:rPr>
          <m:t>β</m:t>
        </m:r>
        <m:r>
          <m:rPr>
            <m:sty m:val="p"/>
          </m:rPr>
          <w:rPr>
            <w:rFonts w:ascii="Cambria Math" w:hAnsi="Cambria Math"/>
            <w:color w:val="000000" w:themeColor="text1"/>
          </w:rPr>
          <m:t>)</m:t>
        </m:r>
      </m:oMath>
      <w:r w:rsidRPr="00646F04">
        <w:rPr>
          <w:rFonts w:eastAsia="Source Han Serif SC"/>
          <w:color w:val="000000" w:themeColor="text1"/>
        </w:rPr>
        <w:t xml:space="preserve">. The descriptive two-cohort Cochran statistic and </w:t>
      </w:r>
      <m:oMath>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oMath>
      <w:r w:rsidRPr="00646F04">
        <w:rPr>
          <w:rFonts w:eastAsia="Source Han Serif SC"/>
          <w:color w:val="000000" w:themeColor="text1"/>
        </w:rPr>
        <w:t xml:space="preserve"> were:</w:t>
      </w:r>
    </w:p>
    <w:p w14:paraId="7C69E33A" w14:textId="77777777" w:rsidR="001C2B6A" w:rsidRPr="00646F04" w:rsidRDefault="00000000">
      <w:pPr>
        <w:pStyle w:val="a0"/>
        <w:rPr>
          <w:color w:val="000000" w:themeColor="text1"/>
        </w:rPr>
      </w:pPr>
      <m:oMathPara>
        <m:oMathParaPr>
          <m:jc m:val="center"/>
        </m:oMathParaPr>
        <m:oMath>
          <m:r>
            <w:rPr>
              <w:rFonts w:ascii="Cambria Math" w:hAnsi="Cambria Math"/>
              <w:color w:val="000000" w:themeColor="text1"/>
            </w:rPr>
            <m:t>Q</m:t>
          </m:r>
          <m:r>
            <m:rPr>
              <m:sty m:val="p"/>
            </m:rPr>
            <w:rPr>
              <w:rFonts w:ascii="Cambria Math" w:hAnsi="Cambria Math"/>
              <w:color w:val="000000" w:themeColor="text1"/>
            </w:rPr>
            <m:t>=</m:t>
          </m:r>
          <m:sSup>
            <m:sSupPr>
              <m:ctrlPr>
                <w:rPr>
                  <w:rFonts w:ascii="Cambria Math" w:hAnsi="Cambria Math"/>
                  <w:color w:val="000000" w:themeColor="text1"/>
                </w:rPr>
              </m:ctrlPr>
            </m:sSupPr>
            <m:e>
              <m:d>
                <m:dPr>
                  <m:begChr m:val="{"/>
                  <m:endChr m:val="}"/>
                  <m:ctrlPr>
                    <w:rPr>
                      <w:rFonts w:ascii="Cambria Math" w:hAnsi="Cambria Math"/>
                      <w:color w:val="000000" w:themeColor="text1"/>
                    </w:rPr>
                  </m:ctrlPr>
                </m:dPr>
                <m:e>
                  <m:f>
                    <m:fPr>
                      <m:ctrlPr>
                        <w:rPr>
                          <w:rFonts w:ascii="Cambria Math" w:hAnsi="Cambria Math"/>
                          <w:color w:val="000000" w:themeColor="text1"/>
                        </w:rPr>
                      </m:ctrlPr>
                    </m:fPr>
                    <m:num>
                      <m:r>
                        <m:rPr>
                          <m:sty m:val="p"/>
                        </m:rPr>
                        <w:rPr>
                          <w:rFonts w:ascii="Cambria Math" w:hAnsi="Cambria Math"/>
                          <w:color w:val="000000" w:themeColor="text1"/>
                        </w:rPr>
                        <m:t>Δ</m:t>
                      </m:r>
                      <m:r>
                        <w:rPr>
                          <w:rFonts w:ascii="Cambria Math" w:hAnsi="Cambria Math"/>
                          <w:color w:val="000000" w:themeColor="text1"/>
                        </w:rPr>
                        <m:t>β</m:t>
                      </m:r>
                    </m:num>
                    <m:den>
                      <m:r>
                        <w:rPr>
                          <w:rFonts w:ascii="Cambria Math" w:hAnsi="Cambria Math"/>
                          <w:color w:val="000000" w:themeColor="text1"/>
                        </w:rPr>
                        <m:t>SE</m:t>
                      </m:r>
                      <m:r>
                        <m:rPr>
                          <m:sty m:val="p"/>
                        </m:rPr>
                        <w:rPr>
                          <w:rFonts w:ascii="Cambria Math" w:hAnsi="Cambria Math"/>
                          <w:color w:val="000000" w:themeColor="text1"/>
                        </w:rPr>
                        <m:t>(Δ</m:t>
                      </m:r>
                      <m:r>
                        <w:rPr>
                          <w:rFonts w:ascii="Cambria Math" w:hAnsi="Cambria Math"/>
                          <w:color w:val="000000" w:themeColor="text1"/>
                        </w:rPr>
                        <m:t>β</m:t>
                      </m:r>
                      <m:r>
                        <m:rPr>
                          <m:sty m:val="p"/>
                        </m:rPr>
                        <w:rPr>
                          <w:rFonts w:ascii="Cambria Math" w:hAnsi="Cambria Math"/>
                          <w:color w:val="000000" w:themeColor="text1"/>
                        </w:rPr>
                        <m:t>)</m:t>
                      </m:r>
                    </m:den>
                  </m:f>
                </m:e>
              </m:d>
            </m:e>
            <m:sup>
              <m:r>
                <w:rPr>
                  <w:rFonts w:ascii="Cambria Math" w:hAnsi="Cambria Math"/>
                  <w:color w:val="000000" w:themeColor="text1"/>
                </w:rPr>
                <m:t>2</m:t>
              </m:r>
            </m:sup>
          </m:sSup>
          <m:r>
            <m:rPr>
              <m:sty m:val="p"/>
            </m:rPr>
            <w:rPr>
              <w:rFonts w:ascii="Cambria Math" w:hAnsi="Cambria Math"/>
              <w:color w:val="000000" w:themeColor="text1"/>
            </w:rPr>
            <m:t>,</m:t>
          </m:r>
          <m:r>
            <w:rPr>
              <w:rFonts w:ascii="Cambria Math" w:hAnsi="Cambria Math"/>
              <w:color w:val="000000" w:themeColor="text1"/>
            </w:rPr>
            <m:t>  </m:t>
          </m:r>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r>
            <m:rPr>
              <m:sty m:val="p"/>
            </m:rPr>
            <w:rPr>
              <w:rFonts w:ascii="Cambria Math" w:hAnsi="Cambria Math"/>
              <w:color w:val="000000" w:themeColor="text1"/>
            </w:rPr>
            <m:t>=max</m:t>
          </m:r>
          <m:d>
            <m:dPr>
              <m:ctrlPr>
                <w:rPr>
                  <w:rFonts w:ascii="Cambria Math" w:hAnsi="Cambria Math"/>
                  <w:color w:val="000000" w:themeColor="text1"/>
                </w:rPr>
              </m:ctrlPr>
            </m:dPr>
            <m:e>
              <m:r>
                <w:rPr>
                  <w:rFonts w:ascii="Cambria Math" w:hAnsi="Cambria Math"/>
                  <w:color w:val="000000" w:themeColor="text1"/>
                </w:rPr>
                <m:t>0</m:t>
              </m:r>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Q</m:t>
                  </m:r>
                  <m:r>
                    <m:rPr>
                      <m:sty m:val="p"/>
                    </m:rPr>
                    <w:rPr>
                      <w:rFonts w:ascii="Cambria Math" w:hAnsi="Cambria Math"/>
                      <w:color w:val="000000" w:themeColor="text1"/>
                    </w:rPr>
                    <m:t>-</m:t>
                  </m:r>
                  <m:r>
                    <w:rPr>
                      <w:rFonts w:ascii="Cambria Math" w:hAnsi="Cambria Math"/>
                      <w:color w:val="000000" w:themeColor="text1"/>
                    </w:rPr>
                    <m:t>1</m:t>
                  </m:r>
                </m:num>
                <m:den>
                  <m:r>
                    <w:rPr>
                      <w:rFonts w:ascii="Cambria Math" w:hAnsi="Cambria Math"/>
                      <w:color w:val="000000" w:themeColor="text1"/>
                    </w:rPr>
                    <m:t>Q</m:t>
                  </m:r>
                </m:den>
              </m:f>
            </m:e>
          </m:d>
          <m:r>
            <m:rPr>
              <m:sty m:val="p"/>
            </m:rPr>
            <w:rPr>
              <w:rFonts w:ascii="Cambria Math" w:hAnsi="Cambria Math"/>
              <w:color w:val="000000" w:themeColor="text1"/>
            </w:rPr>
            <m:t>×</m:t>
          </m:r>
          <m:r>
            <w:rPr>
              <w:rFonts w:ascii="Cambria Math" w:hAnsi="Cambria Math"/>
              <w:color w:val="000000" w:themeColor="text1"/>
            </w:rPr>
            <m:t>100</m:t>
          </m:r>
          <m:r>
            <m:rPr>
              <m:sty m:val="p"/>
            </m:rPr>
            <w:rPr>
              <w:rFonts w:ascii="Cambria Math" w:hAnsi="Cambria Math"/>
              <w:color w:val="000000" w:themeColor="text1"/>
            </w:rPr>
            <m:t>%.</m:t>
          </m:r>
        </m:oMath>
      </m:oMathPara>
    </w:p>
    <w:p w14:paraId="053F1D56" w14:textId="77777777" w:rsidR="001C2B6A" w:rsidRPr="00646F04" w:rsidRDefault="00000000">
      <w:pPr>
        <w:pStyle w:val="FirstParagraph"/>
        <w:rPr>
          <w:color w:val="000000" w:themeColor="text1"/>
        </w:rPr>
      </w:pPr>
      <w:r w:rsidRPr="00646F04">
        <w:rPr>
          <w:rFonts w:eastAsia="Source Han Serif SC"/>
          <w:color w:val="000000" w:themeColor="text1"/>
        </w:rPr>
        <w:t xml:space="preserve">We also calculated the difference between cohort-specific standardised absolute effects and its confidence interval. With only two cohorts, </w:t>
      </w:r>
      <m:oMath>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oMath>
      <w:r w:rsidRPr="00646F04">
        <w:rPr>
          <w:rFonts w:eastAsia="Source Han Serif SC"/>
          <w:color w:val="000000" w:themeColor="text1"/>
        </w:rPr>
        <w:t xml:space="preserve"> was descriptive and could not establish national heterogeneity.</w:t>
      </w:r>
    </w:p>
    <w:p w14:paraId="61552A0E" w14:textId="77777777" w:rsidR="001C2B6A" w:rsidRPr="00646F04" w:rsidRDefault="00000000">
      <w:pPr>
        <w:pStyle w:val="a0"/>
        <w:rPr>
          <w:color w:val="000000" w:themeColor="text1"/>
        </w:rPr>
      </w:pPr>
      <w:r w:rsidRPr="00646F04">
        <w:rPr>
          <w:rFonts w:eastAsia="Source Han Serif SC"/>
          <w:color w:val="000000" w:themeColor="text1"/>
        </w:rPr>
        <w:t xml:space="preserve">Prespecified criteria for a common-mechanism interpretation were limited to H1 versus H2 or H3. They required the same direction in both cohorts, </w:t>
      </w:r>
      <m:oMath>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r>
          <m:rPr>
            <m:sty m:val="p"/>
          </m:rPr>
          <w:rPr>
            <w:rFonts w:ascii="Cambria Math" w:hAnsi="Cambria Math"/>
            <w:color w:val="000000" w:themeColor="text1"/>
          </w:rPr>
          <m:t>≤</m:t>
        </m:r>
        <m:r>
          <w:rPr>
            <w:rFonts w:ascii="Cambria Math" w:hAnsi="Cambria Math"/>
            <w:color w:val="000000" w:themeColor="text1"/>
          </w:rPr>
          <m:t>50</m:t>
        </m:r>
        <m:r>
          <m:rPr>
            <m:sty m:val="p"/>
          </m:rPr>
          <w:rPr>
            <w:rFonts w:ascii="Cambria Math" w:hAnsi="Cambria Math"/>
            <w:color w:val="000000" w:themeColor="text1"/>
          </w:rPr>
          <m:t>%</m:t>
        </m:r>
      </m:oMath>
      <w:r w:rsidRPr="00646F04">
        <w:rPr>
          <w:rFonts w:eastAsia="Source Han Serif SC"/>
          <w:color w:val="000000" w:themeColor="text1"/>
        </w:rPr>
        <w:t>, a cohort-difference P value above 0.10, an absolute-effect difference no greater than 3 percentage points, intervals supporting the same non-zero direction, agreement between T1 and T2, agreement across three routine sensitivity analyses and agreement with the full-wave direction.</w:t>
      </w:r>
    </w:p>
    <w:p w14:paraId="1B3B55AC" w14:textId="77777777" w:rsidR="001C2B6A" w:rsidRPr="00646F04" w:rsidRDefault="00000000">
      <w:pPr>
        <w:pStyle w:val="a0"/>
        <w:rPr>
          <w:color w:val="000000" w:themeColor="text1"/>
        </w:rPr>
      </w:pPr>
      <w:r w:rsidRPr="00646F04">
        <w:rPr>
          <w:rFonts w:eastAsia="Source Han Serif SC"/>
          <w:color w:val="000000" w:themeColor="text1"/>
        </w:rPr>
        <w:lastRenderedPageBreak/>
        <w:t xml:space="preserve">Prespecified criteria for stable heterogeneity required a cohort-difference P value below 0.05, </w:t>
      </w:r>
      <m:oMath>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r>
          <m:rPr>
            <m:sty m:val="p"/>
          </m:rPr>
          <w:rPr>
            <w:rFonts w:ascii="Cambria Math" w:hAnsi="Cambria Math"/>
            <w:color w:val="000000" w:themeColor="text1"/>
          </w:rPr>
          <m:t>≥</m:t>
        </m:r>
        <m:r>
          <w:rPr>
            <w:rFonts w:ascii="Cambria Math" w:hAnsi="Cambria Math"/>
            <w:color w:val="000000" w:themeColor="text1"/>
          </w:rPr>
          <m:t>75</m:t>
        </m:r>
        <m:r>
          <m:rPr>
            <m:sty m:val="p"/>
          </m:rPr>
          <w:rPr>
            <w:rFonts w:ascii="Cambria Math" w:hAnsi="Cambria Math"/>
            <w:color w:val="000000" w:themeColor="text1"/>
          </w:rPr>
          <m:t>%</m:t>
        </m:r>
      </m:oMath>
      <w:r w:rsidRPr="00646F04">
        <w:rPr>
          <w:rFonts w:eastAsia="Source Han Serif SC"/>
          <w:color w:val="000000" w:themeColor="text1"/>
        </w:rPr>
        <w:t>, an absolute-effect difference of at least 5 percentage points with an interval excluding zero, and stability across core and contextual adjustment, routine sensitivities and IPCW truncation. The strict interpretation criterion also required the same endpoint and comparison to meet these conditions in both exact-four-year and full-wave analyses.</w:t>
      </w:r>
    </w:p>
    <w:p w14:paraId="4E526141" w14:textId="77777777" w:rsidR="001C2B6A" w:rsidRPr="00646F04" w:rsidRDefault="00000000">
      <w:pPr>
        <w:pStyle w:val="a0"/>
        <w:rPr>
          <w:color w:val="000000" w:themeColor="text1"/>
        </w:rPr>
      </w:pPr>
      <w:r w:rsidRPr="00646F04">
        <w:rPr>
          <w:rFonts w:eastAsia="Source Han Serif SC"/>
          <w:color w:val="000000" w:themeColor="text1"/>
        </w:rPr>
        <w:t>These were conservative rules for interpreting cross-cohort patterns. They did not constitute new biological tests. Failure of a criterion precluded a common-mechanism or stable national-heterogeneity claim in the title. Cohort-specific associations remained available for bounded interpretation.</w:t>
      </w:r>
    </w:p>
    <w:p w14:paraId="4969D62D" w14:textId="77777777" w:rsidR="001C2B6A" w:rsidRPr="00646F04" w:rsidRDefault="00000000">
      <w:pPr>
        <w:pStyle w:val="2"/>
        <w:rPr>
          <w:color w:val="000000" w:themeColor="text1"/>
        </w:rPr>
      </w:pPr>
      <w:bookmarkStart w:id="15" w:name="X51d0ed372dbe9ea9d45bebae6486275910c9f11"/>
      <w:bookmarkEnd w:id="14"/>
      <w:r w:rsidRPr="00646F04">
        <w:rPr>
          <w:rFonts w:ascii="Arial" w:eastAsia="Source Han Serif SC" w:hAnsi="Arial" w:cs="Arial"/>
          <w:color w:val="000000" w:themeColor="text1"/>
        </w:rPr>
        <w:t>A12. Secondary analyses, multiplicity and model stability</w:t>
      </w:r>
    </w:p>
    <w:p w14:paraId="7C4A54D6" w14:textId="77777777" w:rsidR="001C2B6A" w:rsidRPr="00646F04" w:rsidRDefault="00000000">
      <w:pPr>
        <w:pStyle w:val="FirstParagraph"/>
        <w:rPr>
          <w:color w:val="000000" w:themeColor="text1"/>
        </w:rPr>
      </w:pPr>
      <w:r w:rsidRPr="00646F04">
        <w:rPr>
          <w:rFonts w:eastAsia="Source Han Serif SC"/>
          <w:color w:val="000000" w:themeColor="text1"/>
        </w:rPr>
        <w:t>Disease-specific analyses used the Benjamini-Hochberg false-discovery rate within each cohort and comparison family. Cells with fewer than 30 outcome events were retained in audit tables but were not fitted and did not enter the false-discovery family. Interactions by age below or above 65 years and sex, DFM analyses within care-cascade states, and joint care-cascade by DFM risks were exploratory.</w:t>
      </w:r>
    </w:p>
    <w:p w14:paraId="4AA58370" w14:textId="77777777" w:rsidR="001C2B6A" w:rsidRPr="00646F04" w:rsidRDefault="00000000">
      <w:pPr>
        <w:pStyle w:val="a0"/>
        <w:rPr>
          <w:color w:val="000000" w:themeColor="text1"/>
        </w:rPr>
      </w:pPr>
      <w:r w:rsidRPr="00646F04">
        <w:rPr>
          <w:rFonts w:eastAsia="Source Han Serif SC"/>
          <w:color w:val="000000" w:themeColor="text1"/>
        </w:rPr>
        <w:t>Sensitivity analyses included reclassification at 130/80 mmHg with newly estimated support and overlap weights, omission of overlap weighting within common support, complete cases for available contextual covariates, progressive T1 and T2 adjustment, full-wave IPCW truncated at the 0.5th and 99.5th percentiles, untruncated full-wave IPCW, and extension through 2018 to 2020 for the pandemic period and interview mode. Python was the primary implementation and Stata provided independent verification of effect direction. Their specifications were similar but not identical, so numerical differences were not treated as replication error.</w:t>
      </w:r>
    </w:p>
    <w:p w14:paraId="4AB03687" w14:textId="77777777" w:rsidR="001C2B6A" w:rsidRPr="00646F04" w:rsidRDefault="00000000">
      <w:pPr>
        <w:pStyle w:val="a0"/>
        <w:rPr>
          <w:color w:val="000000" w:themeColor="text1"/>
        </w:rPr>
      </w:pPr>
      <w:r w:rsidRPr="00646F04">
        <w:rPr>
          <w:color w:val="000000" w:themeColor="text1"/>
        </w:rPr>
        <w:t>Generalised linear models used a small ridge penalty of 1e-4 to stabilise sparse missingness indicators. DFM cross-validation used a penalty of 1e-5 and left the intercept unpenalised. Inference used primary sampling unit clustered sandwich covariance evaluated near the unpenalised target. Model convergence and quality-control checks are summarised in Appendix 2.</w:t>
      </w:r>
    </w:p>
    <w:p w14:paraId="6528C6E3" w14:textId="77777777" w:rsidR="001C2B6A" w:rsidRPr="00646F04" w:rsidRDefault="00000000">
      <w:pPr>
        <w:pStyle w:val="1"/>
        <w:rPr>
          <w:color w:val="000000" w:themeColor="text1"/>
        </w:rPr>
      </w:pPr>
      <w:bookmarkStart w:id="16" w:name="X033eb49110578bdcc7e1273cb85c23d366aad74"/>
      <w:bookmarkEnd w:id="3"/>
      <w:bookmarkEnd w:id="15"/>
      <w:r w:rsidRPr="00646F04">
        <w:rPr>
          <w:rFonts w:ascii="Arial" w:eastAsia="Source Han Serif SC" w:hAnsi="Arial" w:cs="Arial"/>
          <w:color w:val="000000" w:themeColor="text1"/>
        </w:rPr>
        <w:lastRenderedPageBreak/>
        <w:t>Appendix 2. Supplementary results, tables and figures</w:t>
      </w:r>
    </w:p>
    <w:p w14:paraId="6862D73E" w14:textId="77777777" w:rsidR="001C2B6A" w:rsidRPr="00646F04" w:rsidRDefault="00000000">
      <w:pPr>
        <w:pStyle w:val="2"/>
        <w:rPr>
          <w:color w:val="000000" w:themeColor="text1"/>
        </w:rPr>
      </w:pPr>
      <w:bookmarkStart w:id="17" w:name="Xb11c545429d91d5b1643b9665d4c024cf0c37b8"/>
      <w:r w:rsidRPr="00646F04">
        <w:rPr>
          <w:rFonts w:ascii="Arial" w:eastAsia="Source Han Serif SC" w:hAnsi="Arial" w:cs="Arial"/>
          <w:color w:val="000000" w:themeColor="text1"/>
        </w:rPr>
        <w:t>B1. Cohort flow, endpoint denominators and off-target samples</w:t>
      </w:r>
    </w:p>
    <w:p w14:paraId="32E84B21" w14:textId="77777777" w:rsidR="001C2B6A" w:rsidRPr="00646F04" w:rsidRDefault="00000000">
      <w:pPr>
        <w:pStyle w:val="FirstParagraph"/>
        <w:rPr>
          <w:color w:val="000000" w:themeColor="text1"/>
        </w:rPr>
      </w:pPr>
      <w:r w:rsidRPr="00646F04">
        <w:rPr>
          <w:rFonts w:eastAsia="Source Han Serif SC"/>
          <w:color w:val="000000" w:themeColor="text1"/>
        </w:rPr>
        <w:t>Baseline care-cascade state could be classified for 26,252 participants, including 10,553 in CHARLS and 15,699 in HRS. In HRS, 316 participants had no positive longitudinal analysis weight. They remained in the source flow and were excluded from weighted estimation. All 10,553 CHARLS participants had a positive weight. The exact-four-year disease path included 8,503 CHARLS participants and 12,674 HRS participants. The corresponding ADL, IADL and functional-reserve risk sets contained 7,420, 6,912 and 8,184 participants in CHARLS and 10,941, 10,419 and 12,329 participants in HRS. Tables S2 and S4 report the sequential flow, endpoint-specific denominators and off-target restrictions.</w:t>
      </w:r>
    </w:p>
    <w:p w14:paraId="1496F028" w14:textId="77777777" w:rsidR="001C2B6A" w:rsidRPr="00646F04" w:rsidRDefault="00000000">
      <w:pPr>
        <w:pStyle w:val="a0"/>
        <w:rPr>
          <w:color w:val="000000" w:themeColor="text1"/>
        </w:rPr>
      </w:pPr>
      <w:r w:rsidRPr="00646F04">
        <w:rPr>
          <w:rFonts w:eastAsia="Source Han Serif SC"/>
          <w:color w:val="000000" w:themeColor="text1"/>
        </w:rPr>
        <w:t>H1, H2 or H3 participants outside common BP support were excluded because their current SBP/DBP values fell outside the shared target population. This was an estimand restriction and occurred before the follow-up process. Table S2 reports it separately from attrition.</w:t>
      </w:r>
    </w:p>
    <w:p w14:paraId="7D87E6B9" w14:textId="77777777" w:rsidR="001C2B6A" w:rsidRPr="00646F04" w:rsidRDefault="00000000">
      <w:pPr>
        <w:pStyle w:val="2"/>
        <w:rPr>
          <w:color w:val="000000" w:themeColor="text1"/>
        </w:rPr>
      </w:pPr>
      <w:bookmarkStart w:id="18" w:name="X3d7d790e2bec05dc244ecfa98091343543d8629"/>
      <w:bookmarkEnd w:id="17"/>
      <w:r w:rsidRPr="00646F04">
        <w:rPr>
          <w:rFonts w:ascii="Arial" w:eastAsia="Source Han Serif SC" w:hAnsi="Arial" w:cs="Arial"/>
          <w:color w:val="000000" w:themeColor="text1"/>
        </w:rPr>
        <w:t>B2. CHARLS death and exit ascertainment and variable coverage</w:t>
      </w:r>
    </w:p>
    <w:p w14:paraId="61AB5040" w14:textId="77777777" w:rsidR="001C2B6A" w:rsidRPr="00646F04" w:rsidRDefault="00000000">
      <w:pPr>
        <w:pStyle w:val="FirstParagraph"/>
        <w:rPr>
          <w:color w:val="000000" w:themeColor="text1"/>
        </w:rPr>
      </w:pPr>
      <w:r w:rsidRPr="00646F04">
        <w:rPr>
          <w:rFonts w:eastAsia="Source Han Serif SC"/>
          <w:color w:val="000000" w:themeColor="text1"/>
        </w:rPr>
        <w:t>The CHARLS follow-up rosters for 2015, 2018 and 2020 linked 9,414, 8,902 and 8,357 baseline participants, respectively. They recorded 379, 596 and 475 baseline death flags. The three sources contributed 1,450 death flags, of which 161 had an exact death date. Deaths without an exact date were located only within an interview interval and were excluded from ordinary IPCW non-response denominators. A zero death flag indicated absence of a linked death record and did not actively confirm survival.</w:t>
      </w:r>
    </w:p>
    <w:p w14:paraId="043289A3" w14:textId="77777777" w:rsidR="001C2B6A" w:rsidRPr="00646F04" w:rsidRDefault="00000000">
      <w:pPr>
        <w:pStyle w:val="a0"/>
        <w:rPr>
          <w:color w:val="000000" w:themeColor="text1"/>
        </w:rPr>
      </w:pPr>
      <w:r w:rsidRPr="00646F04">
        <w:rPr>
          <w:rFonts w:eastAsia="Source Han Serif SC"/>
          <w:color w:val="000000" w:themeColor="text1"/>
        </w:rPr>
        <w:t>Available waves incorporated wealth or income quintile, six common depressive symptoms, outpatient and inpatient use, insurance, physical activity, proxy status and interview mode. Minimum coverage across the six core contextual domains was 41.9% in CHARLS and 98.0% in HRS. Face-to-face administration in CHARLS from 2011 to 2018 was wave-level design metadata and did not provide an individual interview-mode variable. Comparable BP, wealth, grip, memory and person-</w:t>
      </w:r>
      <w:r w:rsidRPr="00646F04">
        <w:rPr>
          <w:rFonts w:eastAsia="Source Han Serif SC"/>
          <w:color w:val="000000" w:themeColor="text1"/>
        </w:rPr>
        <w:lastRenderedPageBreak/>
        <w:t>level mode information was unavailable in 2020. Table S3 reports wave-specific coverage and the death-linkage audit. The former coverage heat map was therefore represented as a table in the submission supplement.</w:t>
      </w:r>
    </w:p>
    <w:p w14:paraId="21D6D249" w14:textId="77777777" w:rsidR="001C2B6A" w:rsidRPr="00646F04" w:rsidRDefault="00000000">
      <w:pPr>
        <w:pStyle w:val="2"/>
        <w:rPr>
          <w:color w:val="000000" w:themeColor="text1"/>
        </w:rPr>
      </w:pPr>
      <w:bookmarkStart w:id="19" w:name="Xc31c685b066e4a38ea6cfeb26991a8c8be0fd41"/>
      <w:bookmarkEnd w:id="18"/>
      <w:r w:rsidRPr="00646F04">
        <w:rPr>
          <w:rFonts w:ascii="Arial" w:eastAsia="Source Han Serif SC" w:hAnsi="Arial" w:cs="Arial"/>
          <w:color w:val="000000" w:themeColor="text1"/>
        </w:rPr>
        <w:t>B3. Baseline cascade distribution, disease burden and function</w:t>
      </w:r>
    </w:p>
    <w:p w14:paraId="494E0A78" w14:textId="77777777" w:rsidR="001C2B6A" w:rsidRPr="00646F04" w:rsidRDefault="00000000">
      <w:pPr>
        <w:pStyle w:val="FirstParagraph"/>
        <w:rPr>
          <w:color w:val="000000" w:themeColor="text1"/>
        </w:rPr>
      </w:pPr>
      <w:r w:rsidRPr="00646F04">
        <w:rPr>
          <w:rFonts w:eastAsia="Source Han Serif SC"/>
          <w:color w:val="000000" w:themeColor="text1"/>
        </w:rPr>
        <w:t>The weighted H0 to H5 distribution in CHARLS was 52.19%, 17.07%, 6.18%, 12.24%, 8.77% and 3.56%. The corresponding HRS distribution was 35.64%, 9.93%, 2.60%, 17.36%, 31.60% and 2.87%. H1 was more frequent in CHARLS, while H4 was more frequent in HRS. These descriptive differences combine population, measurement and care-history factors and do not isolate a health-system effect.</w:t>
      </w:r>
    </w:p>
    <w:p w14:paraId="51F4702A" w14:textId="77777777" w:rsidR="001C2B6A" w:rsidRPr="00646F04" w:rsidRDefault="00000000">
      <w:pPr>
        <w:pStyle w:val="a0"/>
        <w:rPr>
          <w:color w:val="000000" w:themeColor="text1"/>
        </w:rPr>
      </w:pPr>
      <w:r w:rsidRPr="00646F04">
        <w:rPr>
          <w:rFonts w:eastAsia="Source Han Serif SC"/>
          <w:color w:val="000000" w:themeColor="text1"/>
        </w:rPr>
        <w:t>H3 and H4 participants were older and had more recorded disease at baseline than H0 and H1 participants in both cohorts. The weighted prevalence of any non-hypertension disease was 51.78% in CHARLS and 73.26% in HRS. Complex multimorbidity was present in 15.68% and 40.96%, respectively. Disease definitions, diagnostic opportunity and reporting can all contribute to these differences. Table S1 gives the full H0 to H5 baseline summary. Detailed care-state transitions and disease-specific prevalence and incidence are available from the corresponding author on reasonable request.</w:t>
      </w:r>
    </w:p>
    <w:p w14:paraId="297FDB8B" w14:textId="77777777" w:rsidR="001C2B6A" w:rsidRPr="00646F04" w:rsidRDefault="00000000">
      <w:pPr>
        <w:pStyle w:val="2"/>
        <w:rPr>
          <w:color w:val="000000" w:themeColor="text1"/>
        </w:rPr>
      </w:pPr>
      <w:bookmarkStart w:id="20" w:name="b4.-four-year-outcome-burden"/>
      <w:bookmarkEnd w:id="19"/>
      <w:r w:rsidRPr="00646F04">
        <w:rPr>
          <w:rFonts w:ascii="Arial" w:eastAsia="Source Han Serif SC" w:hAnsi="Arial" w:cs="Arial"/>
          <w:color w:val="000000" w:themeColor="text1"/>
        </w:rPr>
        <w:t>B4. Four-year outcome burden</w:t>
      </w:r>
    </w:p>
    <w:p w14:paraId="291626A2" w14:textId="77777777" w:rsidR="001C2B6A" w:rsidRPr="00646F04" w:rsidRDefault="00000000">
      <w:pPr>
        <w:pStyle w:val="FirstParagraph"/>
        <w:rPr>
          <w:color w:val="000000" w:themeColor="text1"/>
        </w:rPr>
      </w:pPr>
      <w:r w:rsidRPr="00646F04">
        <w:rPr>
          <w:rFonts w:eastAsia="Source Han Serif SC"/>
          <w:color w:val="000000" w:themeColor="text1"/>
        </w:rPr>
        <w:t>Among positively weighted participants with complete outcomes and no linked death, the crude weighted four-year risk of any newly reported non-hypertension disease was 27.97% in CHARLS and 26.55% in HRS. The mean number of newly reported diseases was 0.331 and 0.316. The disease burden was therefore similar at the cohort level. Four-year ADL and IADL incidence was higher in CHARLS at 17.12% and 15.74% than in HRS at 9.13% and 7.27%. Mean functional-reserve change was -0.187 standard deviations in CHARLS and -0.126 in HRS. These values describe the overall unadjusted burden. Table S4 reports denominators, crude four-year outcomes and full-wave event rates.</w:t>
      </w:r>
    </w:p>
    <w:p w14:paraId="51D4E519" w14:textId="77777777" w:rsidR="001C2B6A" w:rsidRPr="00646F04" w:rsidRDefault="00000000">
      <w:pPr>
        <w:pStyle w:val="2"/>
        <w:rPr>
          <w:color w:val="000000" w:themeColor="text1"/>
        </w:rPr>
      </w:pPr>
      <w:bookmarkStart w:id="21" w:name="X9968088d3aaa2982ddc1052a32c159bf7d678e4"/>
      <w:bookmarkEnd w:id="20"/>
      <w:r w:rsidRPr="00646F04">
        <w:rPr>
          <w:rFonts w:ascii="Arial" w:eastAsia="Source Han Serif SC" w:hAnsi="Arial" w:cs="Arial"/>
          <w:color w:val="000000" w:themeColor="text1"/>
        </w:rPr>
        <w:lastRenderedPageBreak/>
        <w:t>B5. Common BP support, balance and IPCW diagnostics</w:t>
      </w:r>
    </w:p>
    <w:p w14:paraId="6F65DE86" w14:textId="77777777" w:rsidR="001C2B6A" w:rsidRPr="00646F04" w:rsidRDefault="00000000">
      <w:pPr>
        <w:pStyle w:val="FirstParagraph"/>
        <w:rPr>
          <w:color w:val="000000" w:themeColor="text1"/>
        </w:rPr>
      </w:pPr>
      <w:r w:rsidRPr="00646F04">
        <w:rPr>
          <w:rFonts w:eastAsia="Source Han Serif SC"/>
          <w:color w:val="000000" w:themeColor="text1"/>
        </w:rPr>
        <w:t>Within the positively weighted H1, H2 and H3 samples, common support retained 1,828 of 3,436 CHARLS participants and 2,848 of 5,011 HRS participants. Across the four cohort by comparison cells, the maximum absolute SMD before overlap weighting ranged from 0.274 to 0.718. Every maximum was below 0.0002 after weighting. The smallest group effective sample size was 125.2 and exceeded the prespecified threshold of 100. Table S5 reports the support and overlap-weight diagnostics.</w:t>
      </w:r>
    </w:p>
    <w:p w14:paraId="3216B0D8" w14:textId="77777777" w:rsidR="001C2B6A" w:rsidRPr="00646F04" w:rsidRDefault="00000000">
      <w:pPr>
        <w:pStyle w:val="a0"/>
        <w:rPr>
          <w:color w:val="000000" w:themeColor="text1"/>
        </w:rPr>
      </w:pPr>
      <w:r w:rsidRPr="00646F04">
        <w:rPr>
          <w:rFonts w:eastAsia="Source Han Serif SC"/>
          <w:color w:val="000000" w:themeColor="text1"/>
        </w:rPr>
        <w:t>Outcome-specific observation probabilities in the static four-year IPCW models ranged from 0.815 to 0.870 in CHARLS and from 0.886 to 0.914 in HRS. All denominator models converged. The full-wave cumulative IPCW denominator AUC was 0.772 in CHARLS and 0.807 in HRS. The 99th percentile of the cumulative weight was 1.315 and 1.237, respectively. The raw HRS maximum reached 87.28, while truncation at the first and 99th percentiles reduced the maximum to 1.237. Alternative truncation and untruncated analyses evaluated sensitivity to extreme return patterns. They did not alter the primary weighting rule.</w:t>
      </w:r>
    </w:p>
    <w:p w14:paraId="2B8B132E" w14:textId="77777777" w:rsidR="001C2B6A" w:rsidRPr="00646F04" w:rsidRDefault="00000000">
      <w:pPr>
        <w:pStyle w:val="2"/>
        <w:rPr>
          <w:color w:val="000000" w:themeColor="text1"/>
        </w:rPr>
      </w:pPr>
      <w:bookmarkStart w:id="22" w:name="b6.-exact-four-year-associations"/>
      <w:bookmarkEnd w:id="21"/>
      <w:r w:rsidRPr="00646F04">
        <w:rPr>
          <w:rFonts w:ascii="Arial" w:eastAsia="Source Han Serif SC" w:hAnsi="Arial" w:cs="Arial"/>
          <w:color w:val="000000" w:themeColor="text1"/>
        </w:rPr>
        <w:t>B6. Exact-four-year associations</w:t>
      </w:r>
    </w:p>
    <w:p w14:paraId="116B94D8" w14:textId="77777777" w:rsidR="001C2B6A" w:rsidRPr="00646F04" w:rsidRDefault="00000000">
      <w:pPr>
        <w:pStyle w:val="FirstParagraph"/>
        <w:rPr>
          <w:color w:val="000000" w:themeColor="text1"/>
        </w:rPr>
      </w:pPr>
      <w:r w:rsidRPr="00646F04">
        <w:rPr>
          <w:rFonts w:eastAsia="Source Han Serif SC"/>
          <w:color w:val="000000" w:themeColor="text1"/>
        </w:rPr>
        <w:t>In common-support T2 models, H1 versus H3 was associated with less recorded four-year disease accumulation in CHARLS. The odds ratio for any newly reported disease was 0.662 (95% confidence interval 0.471 to 0.931). Standardised risks were 26.20% for H1 and 34.34% for H3, giving a difference of -8.14 percentage points. The mean ratio for the number of new diseases was 0.735 (0.571 to 0.946). In HRS, the estimates had the same direction and weaker magnitude. The odds ratio was 0.934 (0.740 to 1.179), the risk difference was -1.30 percentage points and the disease-count mean ratio was 0.884 (0.739 to 1.056). Exact-four-year functional outcomes showed no shared non-zero association across cohorts. In plain terms, recorded disease accumulation separated H1 from H3 more clearly in CHARLS, while four-year disability did not.</w:t>
      </w:r>
    </w:p>
    <w:p w14:paraId="6739E0BB" w14:textId="77777777" w:rsidR="001C2B6A" w:rsidRPr="00646F04" w:rsidRDefault="00000000">
      <w:pPr>
        <w:pStyle w:val="a0"/>
        <w:rPr>
          <w:color w:val="000000" w:themeColor="text1"/>
        </w:rPr>
      </w:pPr>
      <w:r w:rsidRPr="00646F04">
        <w:rPr>
          <w:rFonts w:eastAsia="Source Han Serif SC"/>
          <w:color w:val="000000" w:themeColor="text1"/>
        </w:rPr>
        <w:lastRenderedPageBreak/>
        <w:t>For H1 versus H2, the HRS ADL odds ratio was 2.252 (1.041 to 4.873), with a standardised risk difference of 5.50 percentage points. The CHARLS odds ratio was 1.063 (0.644 to 1.755). This smaller comparison did not remain stable across all time windows and sensitivity analyses. For H3 versus H4, the CHARLS ADL odds ratio was 1.584 (1.080 to 2.325), with a risk difference of 5.87 percentage points. The HRS odds ratio was 1.055 (0.856 to 1.300). Table S6 reports the relative and absolute effects for the core comparisons.</w:t>
      </w:r>
    </w:p>
    <w:p w14:paraId="326F63F7" w14:textId="77777777" w:rsidR="001C2B6A" w:rsidRPr="00646F04" w:rsidRDefault="00000000">
      <w:pPr>
        <w:pStyle w:val="2"/>
        <w:rPr>
          <w:color w:val="000000" w:themeColor="text1"/>
        </w:rPr>
      </w:pPr>
      <w:bookmarkStart w:id="23" w:name="X487c75936e9c80c4c0e01c4ca620f3121e45f63"/>
      <w:bookmarkEnd w:id="22"/>
      <w:r w:rsidRPr="00646F04">
        <w:rPr>
          <w:rFonts w:ascii="Arial" w:eastAsia="Source Han Serif SC" w:hAnsi="Arial" w:cs="Arial"/>
          <w:color w:val="000000" w:themeColor="text1"/>
        </w:rPr>
        <w:t>B7. Full-wave discrete-time associations and time-scale dependence</w:t>
      </w:r>
    </w:p>
    <w:p w14:paraId="765AC222" w14:textId="77777777" w:rsidR="001C2B6A" w:rsidRPr="00646F04" w:rsidRDefault="00000000">
      <w:pPr>
        <w:pStyle w:val="FirstParagraph"/>
        <w:rPr>
          <w:color w:val="000000" w:themeColor="text1"/>
        </w:rPr>
      </w:pPr>
      <w:r w:rsidRPr="00646F04">
        <w:rPr>
          <w:rFonts w:eastAsia="Source Han Serif SC"/>
          <w:color w:val="000000" w:themeColor="text1"/>
        </w:rPr>
        <w:t xml:space="preserve">In T2 discrete-time models ending by 2018, the direction of H1 versus H3 for first newly reported disease was consistent across cohorts and stronger in CHARLS. The hazard ratio was 0.638 (0.513 to 0.793) in CHARLS and 0.854 (0.729 to 1.001) in HRS. The cumulative risk differences were -11.79 and -4.09 percentage points. The cohort-difference P value was 0.0337, descriptive </w:t>
      </w:r>
      <m:oMath>
        <m:sSup>
          <m:sSupPr>
            <m:ctrlPr>
              <w:rPr>
                <w:rFonts w:ascii="Cambria Math" w:hAnsi="Cambria Math"/>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oMath>
      <w:r w:rsidRPr="00646F04">
        <w:rPr>
          <w:rFonts w:eastAsia="Source Han Serif SC"/>
          <w:color w:val="000000" w:themeColor="text1"/>
        </w:rPr>
        <w:t xml:space="preserve"> was 77.8%, and the difference between risk differences was -7.71 percentage points (95% confidence interval -14.67 to -0.75).</w:t>
      </w:r>
    </w:p>
    <w:p w14:paraId="12D69687" w14:textId="77777777" w:rsidR="001C2B6A" w:rsidRPr="00646F04" w:rsidRDefault="00000000">
      <w:pPr>
        <w:pStyle w:val="a0"/>
        <w:rPr>
          <w:color w:val="000000" w:themeColor="text1"/>
        </w:rPr>
      </w:pPr>
      <w:r w:rsidRPr="00646F04">
        <w:rPr>
          <w:rFonts w:eastAsia="Source Han Serif SC"/>
          <w:color w:val="000000" w:themeColor="text1"/>
        </w:rPr>
        <w:t>Functional associations diverged across cohorts. The ADL hazard ratio for H1 versus H3 was 0.747 (0.545 to 1.024) in CHARLS and 1.503 (1.154 to 1.958) in HRS. The corresponding risk differences were -6.62 and 6.54 percentage points, with a cohort-difference P value of 0.00087. The IADL hazard ratios were 0.676 (0.514 to 0.889) and 1.258 (0.902 to 1.755), and the risk differences were -8.87 and 2.92 percentage points. The cohort-difference P value was 0.00476. Exact-four-year and several routine sensitivity analyses did not reproduce the same functional pattern. These estimates therefore marked time-scale-dependent cohort differences.</w:t>
      </w:r>
    </w:p>
    <w:p w14:paraId="4D597C67" w14:textId="77777777" w:rsidR="001C2B6A" w:rsidRPr="00646F04" w:rsidRDefault="00000000">
      <w:pPr>
        <w:pStyle w:val="a0"/>
        <w:rPr>
          <w:color w:val="000000" w:themeColor="text1"/>
        </w:rPr>
      </w:pPr>
      <w:r w:rsidRPr="00646F04">
        <w:rPr>
          <w:rFonts w:eastAsia="Source Han Serif SC"/>
          <w:color w:val="000000" w:themeColor="text1"/>
        </w:rPr>
        <w:t>For H3 versus H4, the full-wave ADL association appeared mainly in CHARLS. The hazard ratio was 1.335 (1.086 to 1.641), with a risk difference of 6.69 percentage points. HRS remained close to the null at 1.060 (0.936 to 1.200). Table S6 reports the full-wave relative and standardised absolute estimates.</w:t>
      </w:r>
    </w:p>
    <w:p w14:paraId="7D066091" w14:textId="77777777" w:rsidR="001C2B6A" w:rsidRPr="00646F04" w:rsidRDefault="00000000">
      <w:pPr>
        <w:pStyle w:val="2"/>
        <w:rPr>
          <w:color w:val="000000" w:themeColor="text1"/>
        </w:rPr>
      </w:pPr>
      <w:bookmarkStart w:id="24" w:name="Xd8485c77b350e194f85c8c554b51ab73c4699d9"/>
      <w:bookmarkEnd w:id="23"/>
      <w:r w:rsidRPr="00646F04">
        <w:rPr>
          <w:rFonts w:ascii="Arial" w:eastAsia="Source Han Serif SC" w:hAnsi="Arial" w:cs="Arial"/>
          <w:color w:val="000000" w:themeColor="text1"/>
        </w:rPr>
        <w:lastRenderedPageBreak/>
        <w:t>B8. Multistate disease-function transitions</w:t>
      </w:r>
    </w:p>
    <w:p w14:paraId="78B3A31E" w14:textId="77777777" w:rsidR="001C2B6A" w:rsidRPr="00646F04" w:rsidRDefault="00000000">
      <w:pPr>
        <w:pStyle w:val="FirstParagraph"/>
        <w:rPr>
          <w:color w:val="000000" w:themeColor="text1"/>
        </w:rPr>
      </w:pPr>
      <w:r w:rsidRPr="00646F04">
        <w:rPr>
          <w:rFonts w:eastAsia="Source Han Serif SC"/>
          <w:color w:val="000000" w:themeColor="text1"/>
        </w:rPr>
        <w:t>Adjusted multistate models separated disease accumulation from progression to disability. For H1 versus H3, the hazard ratio for transition from S0 to S1 was 0.429 (0.270 to 0.680) in CHARLS and 0.977 (0.721 to 1.324) in HRS. The hazard ratio for entering S3 from a living state without ADL disability was 0.750 (0.537 to 1.046) and 1.557 (1.162 to 2.086), respectively. For H3 versus H4, the corresponding transition to ADL disability was 1.322 (1.067 to 1.639) in CHARLS and 1.048 (0.924 to 1.188) in HRS. Intervals for the death-transition comparisons included one. Incomplete CHARLS death linkage precluded a primary mortality conclusion. Table S8, Panel B reports the adjusted H1 versus H3 transitions.</w:t>
      </w:r>
    </w:p>
    <w:p w14:paraId="1E85AD43" w14:textId="77777777" w:rsidR="001C2B6A" w:rsidRPr="00646F04" w:rsidRDefault="00000000">
      <w:pPr>
        <w:pStyle w:val="a0"/>
        <w:rPr>
          <w:color w:val="000000" w:themeColor="text1"/>
        </w:rPr>
      </w:pPr>
      <w:r w:rsidRPr="00646F04">
        <w:rPr>
          <w:rFonts w:eastAsia="Source Han Serif SC"/>
          <w:color w:val="000000" w:themeColor="text1"/>
        </w:rPr>
        <w:t>Figure S2 shows descriptive survey weight multiplied by IPCW probabilities for transitions between adjacent observed waves, pooled over baseline care states. Adjusted cause-specific estimates, event counts and sparse-cell indicators are reported separately in Table S8. The heat maps contain no causal direction. Mortality cells in CHARLS represent ascertained deaths and do not estimate complete mortality follow-up.</w:t>
      </w:r>
    </w:p>
    <w:p w14:paraId="0954A475" w14:textId="77777777" w:rsidR="001C2B6A" w:rsidRPr="00646F04" w:rsidRDefault="00000000">
      <w:pPr>
        <w:pStyle w:val="2"/>
        <w:rPr>
          <w:color w:val="000000" w:themeColor="text1"/>
        </w:rPr>
      </w:pPr>
      <w:bookmarkStart w:id="25" w:name="X8f24b151878ffdd8175ca36d36d6c783726707a"/>
      <w:bookmarkEnd w:id="24"/>
      <w:r w:rsidRPr="00646F04">
        <w:rPr>
          <w:rFonts w:ascii="Arial" w:eastAsia="Source Han Serif SC" w:hAnsi="Arial" w:cs="Arial"/>
          <w:color w:val="000000" w:themeColor="text1"/>
        </w:rPr>
        <w:t>B9. Internal validation of disease-function mismatch</w:t>
      </w:r>
    </w:p>
    <w:p w14:paraId="0F35CA10" w14:textId="77777777" w:rsidR="001C2B6A" w:rsidRPr="00646F04" w:rsidRDefault="00000000">
      <w:pPr>
        <w:pStyle w:val="FirstParagraph"/>
        <w:rPr>
          <w:color w:val="000000" w:themeColor="text1"/>
        </w:rPr>
      </w:pPr>
      <w:r w:rsidRPr="00646F04">
        <w:rPr>
          <w:rFonts w:eastAsia="Source Han Serif SC"/>
          <w:color w:val="000000" w:themeColor="text1"/>
        </w:rPr>
        <w:t>Each 1 standard deviation higher DFM was associated with lower four-year disease and disability risk in both cohorts. In CHARLS, the odds ratios were 0.801 (0.709 to 0.904) for any newly reported disease, 0.533 (0.474 to 0.600) for ADL disability and 0.556 (0.497 to 0.623) for IADL disability. The corresponding HRS estimates were 0.764 (0.723 to 0.807), 0.516 (0.471 to 0.565) and 0.505 (0.458 to 0.556). Adding DFM increased the AUC by 0.048 to 0.055 for ADL and IADL models and by 0.020 to 0.024 for disease models. Brier scores improved by smaller amounts in the same direction. Table S8, Panel A reports these internal validation results.</w:t>
      </w:r>
    </w:p>
    <w:p w14:paraId="1D958C13" w14:textId="77777777" w:rsidR="001C2B6A" w:rsidRPr="00646F04" w:rsidRDefault="00000000">
      <w:pPr>
        <w:pStyle w:val="a0"/>
        <w:rPr>
          <w:color w:val="000000" w:themeColor="text1"/>
        </w:rPr>
      </w:pPr>
      <w:r w:rsidRPr="00646F04">
        <w:rPr>
          <w:rFonts w:eastAsia="Source Han Serif SC"/>
          <w:color w:val="000000" w:themeColor="text1"/>
        </w:rPr>
        <w:t>Of 42 care-state-specific DFM models, 39 met the event and non-event thresholds and converged. Thirty-eight of the 39 point estimates were below one, and 33 had a within-family false-discovery rate q value below 0.05. DFM therefore provided relatively consistent risk stratification across cohorts. Its current evidence is internal and associational. It has not been externally calibrated as a clinical score or established as a mechanism linking the hypertension cascade to disability.</w:t>
      </w:r>
    </w:p>
    <w:p w14:paraId="0D2B7A97" w14:textId="77777777" w:rsidR="001C2B6A" w:rsidRPr="00646F04" w:rsidRDefault="00000000">
      <w:pPr>
        <w:pStyle w:val="2"/>
        <w:rPr>
          <w:color w:val="000000" w:themeColor="text1"/>
        </w:rPr>
      </w:pPr>
      <w:bookmarkStart w:id="26" w:name="X3abc9c982727b9f4062a600ce46826a6d11588e"/>
      <w:bookmarkEnd w:id="25"/>
      <w:r w:rsidRPr="00646F04">
        <w:rPr>
          <w:rFonts w:ascii="Arial" w:eastAsia="Source Han Serif SC" w:hAnsi="Arial" w:cs="Arial"/>
          <w:color w:val="000000" w:themeColor="text1"/>
        </w:rPr>
        <w:lastRenderedPageBreak/>
        <w:t>B10. Exploratory disease-specific and network analyses</w:t>
      </w:r>
    </w:p>
    <w:p w14:paraId="580AA37C" w14:textId="77777777" w:rsidR="001C2B6A" w:rsidRPr="00646F04" w:rsidRDefault="00000000">
      <w:pPr>
        <w:pStyle w:val="FirstParagraph"/>
        <w:rPr>
          <w:color w:val="000000" w:themeColor="text1"/>
        </w:rPr>
      </w:pPr>
      <w:r w:rsidRPr="00646F04">
        <w:rPr>
          <w:rFonts w:eastAsia="Source Han Serif SC"/>
          <w:color w:val="000000" w:themeColor="text1"/>
        </w:rPr>
        <w:t>Forty-seven prespecified disease-specific cells met the event threshold and entered cohort by comparison false-discovery rate correction. Nine sparse cells retained audit information only. The only model with q below 0.05 was incident heart disease for CHARLS H1 versus H3, with an odds ratio of 0.376 (0.213 to 0.664) and q of 0.00381. HRS had the same direction and q of 0.0866. This decomposition depended on self-reported diagnosis and healthcare contact and remained exploratory.</w:t>
      </w:r>
    </w:p>
    <w:p w14:paraId="2B2EA177" w14:textId="77777777" w:rsidR="001C2B6A" w:rsidRPr="00646F04" w:rsidRDefault="00000000">
      <w:pPr>
        <w:pStyle w:val="a0"/>
        <w:rPr>
          <w:color w:val="000000" w:themeColor="text1"/>
        </w:rPr>
      </w:pPr>
      <w:r w:rsidRPr="00646F04">
        <w:rPr>
          <w:color w:val="000000" w:themeColor="text1"/>
        </w:rPr>
        <w:t>Figure S1 presents survey-weighted baseline phi networks for the seven diseases. Node area was scaled within each cohort to weighted prevalence, and edges were displayed when the absolute value of phi was at least 0.05. Fixed node positions aid structural comparison. Absolute node area is not comparable across panels. The network is cross-sectional, has no temporal ordering and does not encode a biological pathway or causal relation. Table S8, Panel C provides the compact network summary. Full node, edge and disease-specific model results are available from the corresponding author on reasonable request.</w:t>
      </w:r>
    </w:p>
    <w:p w14:paraId="36F52EC5" w14:textId="77777777" w:rsidR="001C2B6A" w:rsidRPr="00646F04" w:rsidRDefault="00000000">
      <w:pPr>
        <w:pStyle w:val="2"/>
        <w:rPr>
          <w:color w:val="000000" w:themeColor="text1"/>
        </w:rPr>
      </w:pPr>
      <w:bookmarkStart w:id="27" w:name="X84115444702bb0ee84c810dc12db1add938b78a"/>
      <w:bookmarkEnd w:id="26"/>
      <w:r w:rsidRPr="00646F04">
        <w:rPr>
          <w:rFonts w:ascii="Arial" w:eastAsia="Source Han Serif SC" w:hAnsi="Arial" w:cs="Arial"/>
          <w:color w:val="000000" w:themeColor="text1"/>
        </w:rPr>
        <w:t>B11. Sensitivity analyses, independent software verification and interpretive assessment</w:t>
      </w:r>
    </w:p>
    <w:p w14:paraId="770FFB8D" w14:textId="77777777" w:rsidR="001C2B6A" w:rsidRPr="00646F04" w:rsidRDefault="00000000">
      <w:pPr>
        <w:pStyle w:val="FirstParagraph"/>
        <w:rPr>
          <w:color w:val="000000" w:themeColor="text1"/>
        </w:rPr>
      </w:pPr>
      <w:r w:rsidRPr="00646F04">
        <w:rPr>
          <w:rFonts w:eastAsia="Source Han Serif SC"/>
          <w:color w:val="000000" w:themeColor="text1"/>
        </w:rPr>
        <w:t>Among 36 routine direction checks for exact-four-year H1 versus H2 or H3 analyses, 29 agreed with the main model. The seven reversals were concentrated in functional estimates close to the null with wide intervals. All 24 full-wave T2 models for H1 versus H2 or H3 retained their primary direction under 0.5th and 99.5th percentile truncation and no truncation, and all converged. All 36 sex-specific and age-specific models converged. One of 12 interaction tests had a nominal P value below 0.05, which did not establish a stable effect modifier.</w:t>
      </w:r>
    </w:p>
    <w:p w14:paraId="3B325512" w14:textId="77777777" w:rsidR="001C2B6A" w:rsidRPr="00646F04" w:rsidRDefault="00000000">
      <w:pPr>
        <w:pStyle w:val="a0"/>
        <w:rPr>
          <w:color w:val="000000" w:themeColor="text1"/>
        </w:rPr>
      </w:pPr>
      <w:r w:rsidRPr="00646F04">
        <w:rPr>
          <w:rFonts w:eastAsia="Source Han Serif SC"/>
          <w:color w:val="000000" w:themeColor="text1"/>
        </w:rPr>
        <w:t>Eleven of the 12 closest Python and Stata direction checks agreed. The single discordant result was CHARLS H1 versus H3 for ADL, and both intervals were wide and included one. Automated quality assurance comprised 95 checks, no errors and three disclosed warnings. All 64 exact-four-year main models, all 48 full-wave main models, all 96 models in the two IPCW sensitivity sets and all 32 non-sparse multistate models converged. Table S7 reports sensitivity and software-direction checks, and Table S9 reports convergence and quality assurance.</w:t>
      </w:r>
    </w:p>
    <w:p w14:paraId="14F66F54" w14:textId="77777777" w:rsidR="001C2B6A" w:rsidRPr="00646F04" w:rsidRDefault="00000000">
      <w:pPr>
        <w:pStyle w:val="a0"/>
        <w:rPr>
          <w:color w:val="000000" w:themeColor="text1"/>
        </w:rPr>
      </w:pPr>
      <w:r w:rsidRPr="00646F04">
        <w:rPr>
          <w:rFonts w:eastAsia="Source Han Serif SC"/>
          <w:color w:val="000000" w:themeColor="text1"/>
        </w:rPr>
        <w:lastRenderedPageBreak/>
        <w:t>Death and exit ascertainment and the added contextual variables met the prespecified feasibility criteria with limitations. Common support, full-wave IPCW and multistate analysis met their criteria. The strict transportability criterion was not met. No comparison met the common-mechanism rule. Three full-wave cohort-difference signals were statistically detectable, while only one met all full-wave internal stability conditions. No endpoint and comparison met the stable-heterogeneity rule in both exact-four-year and full-wave analyses. The evidence supports a result-neutral parallel-cohort title, partial transportability of the disease association and time-scale-dependent functional differences. Table S9 gives the complete interpretive assessment.</w:t>
      </w:r>
    </w:p>
    <w:p w14:paraId="4D19B08C" w14:textId="77777777" w:rsidR="001C2B6A" w:rsidRPr="00646F04" w:rsidRDefault="00000000">
      <w:pPr>
        <w:pStyle w:val="2"/>
        <w:rPr>
          <w:color w:val="000000" w:themeColor="text1"/>
        </w:rPr>
      </w:pPr>
      <w:bookmarkStart w:id="28" w:name="supplementary-tables"/>
      <w:bookmarkEnd w:id="27"/>
      <w:r w:rsidRPr="00646F04">
        <w:rPr>
          <w:rFonts w:ascii="Arial" w:eastAsia="Source Han Serif SC" w:hAnsi="Arial" w:cs="Arial"/>
          <w:color w:val="000000" w:themeColor="text1"/>
        </w:rPr>
        <w:t>Supplementary tables</w:t>
      </w:r>
    </w:p>
    <w:p w14:paraId="6D96CC30" w14:textId="77777777" w:rsidR="001C2B6A" w:rsidRPr="00646F04" w:rsidRDefault="00000000">
      <w:pPr>
        <w:pStyle w:val="2"/>
        <w:rPr>
          <w:color w:val="000000" w:themeColor="text1"/>
        </w:rPr>
      </w:pPr>
      <w:bookmarkStart w:id="29" w:name="Xcd5ccb199dc31034f1b4cda08f01e3dbb6d25cf"/>
      <w:bookmarkEnd w:id="28"/>
      <w:r w:rsidRPr="00646F04">
        <w:rPr>
          <w:rFonts w:ascii="Arial" w:eastAsia="Source Han Serif SC" w:hAnsi="Arial" w:cs="Arial"/>
          <w:color w:val="000000" w:themeColor="text1"/>
        </w:rPr>
        <w:t>Table S1. Survey-weighted baseline characteristics by hypertension care-cascade state and cohort</w:t>
      </w:r>
    </w:p>
    <w:p w14:paraId="4D244BC4" w14:textId="77777777" w:rsidR="001C2B6A" w:rsidRPr="00646F04" w:rsidRDefault="00000000">
      <w:pPr>
        <w:pStyle w:val="3"/>
        <w:rPr>
          <w:color w:val="000000" w:themeColor="text1"/>
        </w:rPr>
      </w:pPr>
      <w:bookmarkStart w:id="30" w:name="panel-a.-charls"/>
      <w:r w:rsidRPr="00646F04">
        <w:rPr>
          <w:rFonts w:ascii="Arial" w:eastAsia="Source Han Serif SC" w:hAnsi="Arial" w:cs="Arial"/>
          <w:color w:val="000000" w:themeColor="text1"/>
        </w:rPr>
        <w:t>Panel A. CHARLS</w:t>
      </w:r>
    </w:p>
    <w:tbl>
      <w:tblPr>
        <w:tblStyle w:val="Table"/>
        <w:tblW w:w="5000" w:type="pct"/>
        <w:tblLook w:val="0020" w:firstRow="1" w:lastRow="0" w:firstColumn="0" w:lastColumn="0" w:noHBand="0" w:noVBand="0"/>
      </w:tblPr>
      <w:tblGrid>
        <w:gridCol w:w="3879"/>
        <w:gridCol w:w="1610"/>
        <w:gridCol w:w="1663"/>
        <w:gridCol w:w="1663"/>
        <w:gridCol w:w="1400"/>
        <w:gridCol w:w="1663"/>
        <w:gridCol w:w="1400"/>
        <w:gridCol w:w="1400"/>
      </w:tblGrid>
      <w:tr w:rsidR="00646F04" w:rsidRPr="00646F04" w14:paraId="2F8CC1AB"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47B81A3"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Characteristic</w:t>
            </w:r>
          </w:p>
        </w:tc>
        <w:tc>
          <w:tcPr>
            <w:tcW w:w="0" w:type="auto"/>
            <w:tcBorders>
              <w:top w:val="single" w:sz="8" w:space="0" w:color="404040"/>
              <w:left w:val="nil"/>
              <w:bottom w:val="single" w:sz="5" w:space="0" w:color="707070"/>
              <w:right w:val="nil"/>
            </w:tcBorders>
            <w:shd w:val="clear" w:color="auto" w:fill="auto"/>
            <w:vAlign w:val="center"/>
          </w:tcPr>
          <w:p w14:paraId="1128FF1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Overall</w:t>
            </w:r>
          </w:p>
        </w:tc>
        <w:tc>
          <w:tcPr>
            <w:tcW w:w="0" w:type="auto"/>
            <w:tcBorders>
              <w:top w:val="single" w:sz="8" w:space="0" w:color="404040"/>
              <w:left w:val="nil"/>
              <w:bottom w:val="single" w:sz="5" w:space="0" w:color="707070"/>
              <w:right w:val="nil"/>
            </w:tcBorders>
            <w:shd w:val="clear" w:color="auto" w:fill="auto"/>
            <w:vAlign w:val="center"/>
          </w:tcPr>
          <w:p w14:paraId="6CCFDE83"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H0</w:t>
            </w:r>
          </w:p>
        </w:tc>
        <w:tc>
          <w:tcPr>
            <w:tcW w:w="0" w:type="auto"/>
            <w:tcBorders>
              <w:top w:val="single" w:sz="8" w:space="0" w:color="404040"/>
              <w:left w:val="nil"/>
              <w:bottom w:val="single" w:sz="5" w:space="0" w:color="707070"/>
              <w:right w:val="nil"/>
            </w:tcBorders>
            <w:shd w:val="clear" w:color="auto" w:fill="auto"/>
            <w:vAlign w:val="center"/>
          </w:tcPr>
          <w:p w14:paraId="7D9845C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H1</w:t>
            </w:r>
          </w:p>
        </w:tc>
        <w:tc>
          <w:tcPr>
            <w:tcW w:w="0" w:type="auto"/>
            <w:tcBorders>
              <w:top w:val="single" w:sz="8" w:space="0" w:color="404040"/>
              <w:left w:val="nil"/>
              <w:bottom w:val="single" w:sz="5" w:space="0" w:color="707070"/>
              <w:right w:val="nil"/>
            </w:tcBorders>
            <w:shd w:val="clear" w:color="auto" w:fill="auto"/>
            <w:vAlign w:val="center"/>
          </w:tcPr>
          <w:p w14:paraId="55B96BE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H2</w:t>
            </w:r>
          </w:p>
        </w:tc>
        <w:tc>
          <w:tcPr>
            <w:tcW w:w="0" w:type="auto"/>
            <w:tcBorders>
              <w:top w:val="single" w:sz="8" w:space="0" w:color="404040"/>
              <w:left w:val="nil"/>
              <w:bottom w:val="single" w:sz="5" w:space="0" w:color="707070"/>
              <w:right w:val="nil"/>
            </w:tcBorders>
            <w:shd w:val="clear" w:color="auto" w:fill="auto"/>
            <w:vAlign w:val="center"/>
          </w:tcPr>
          <w:p w14:paraId="456D9F4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H3</w:t>
            </w:r>
          </w:p>
        </w:tc>
        <w:tc>
          <w:tcPr>
            <w:tcW w:w="0" w:type="auto"/>
            <w:tcBorders>
              <w:top w:val="single" w:sz="8" w:space="0" w:color="404040"/>
              <w:left w:val="nil"/>
              <w:bottom w:val="single" w:sz="5" w:space="0" w:color="707070"/>
              <w:right w:val="nil"/>
            </w:tcBorders>
            <w:shd w:val="clear" w:color="auto" w:fill="auto"/>
            <w:vAlign w:val="center"/>
          </w:tcPr>
          <w:p w14:paraId="1984A4F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H4</w:t>
            </w:r>
          </w:p>
        </w:tc>
        <w:tc>
          <w:tcPr>
            <w:tcW w:w="0" w:type="auto"/>
            <w:tcBorders>
              <w:top w:val="single" w:sz="8" w:space="0" w:color="404040"/>
              <w:left w:val="nil"/>
              <w:bottom w:val="single" w:sz="5" w:space="0" w:color="707070"/>
              <w:right w:val="nil"/>
            </w:tcBorders>
            <w:shd w:val="clear" w:color="auto" w:fill="auto"/>
            <w:vAlign w:val="center"/>
          </w:tcPr>
          <w:p w14:paraId="10B94B5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H5</w:t>
            </w:r>
          </w:p>
        </w:tc>
      </w:tr>
      <w:tr w:rsidR="00646F04" w:rsidRPr="00646F04" w14:paraId="3C4B7E7F" w14:textId="77777777" w:rsidTr="00646F04">
        <w:tc>
          <w:tcPr>
            <w:tcW w:w="0" w:type="auto"/>
            <w:tcBorders>
              <w:top w:val="nil"/>
              <w:left w:val="nil"/>
              <w:bottom w:val="nil"/>
              <w:right w:val="nil"/>
            </w:tcBorders>
            <w:shd w:val="clear" w:color="auto" w:fill="auto"/>
            <w:vAlign w:val="center"/>
          </w:tcPr>
          <w:p w14:paraId="45EE8E4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Participants, n (weighted state share)</w:t>
            </w:r>
          </w:p>
        </w:tc>
        <w:tc>
          <w:tcPr>
            <w:tcW w:w="0" w:type="auto"/>
            <w:tcBorders>
              <w:top w:val="nil"/>
              <w:left w:val="nil"/>
              <w:bottom w:val="nil"/>
              <w:right w:val="nil"/>
            </w:tcBorders>
            <w:shd w:val="clear" w:color="auto" w:fill="auto"/>
            <w:vAlign w:val="center"/>
          </w:tcPr>
          <w:p w14:paraId="6BD4BC0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 (100%)</w:t>
            </w:r>
          </w:p>
        </w:tc>
        <w:tc>
          <w:tcPr>
            <w:tcW w:w="0" w:type="auto"/>
            <w:tcBorders>
              <w:top w:val="nil"/>
              <w:left w:val="nil"/>
              <w:bottom w:val="nil"/>
              <w:right w:val="nil"/>
            </w:tcBorders>
            <w:shd w:val="clear" w:color="auto" w:fill="auto"/>
            <w:vAlign w:val="center"/>
          </w:tcPr>
          <w:p w14:paraId="5B3EB6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5,803 (52.19%)</w:t>
            </w:r>
          </w:p>
        </w:tc>
        <w:tc>
          <w:tcPr>
            <w:tcW w:w="0" w:type="auto"/>
            <w:tcBorders>
              <w:top w:val="nil"/>
              <w:left w:val="nil"/>
              <w:bottom w:val="nil"/>
              <w:right w:val="nil"/>
            </w:tcBorders>
            <w:shd w:val="clear" w:color="auto" w:fill="auto"/>
            <w:vAlign w:val="center"/>
          </w:tcPr>
          <w:p w14:paraId="0FF406F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1,629 (17.07%)</w:t>
            </w:r>
          </w:p>
        </w:tc>
        <w:tc>
          <w:tcPr>
            <w:tcW w:w="0" w:type="auto"/>
            <w:tcBorders>
              <w:top w:val="nil"/>
              <w:left w:val="nil"/>
              <w:bottom w:val="nil"/>
              <w:right w:val="nil"/>
            </w:tcBorders>
            <w:shd w:val="clear" w:color="auto" w:fill="auto"/>
            <w:vAlign w:val="center"/>
          </w:tcPr>
          <w:p w14:paraId="1FBBD0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562 (6.18%)</w:t>
            </w:r>
          </w:p>
        </w:tc>
        <w:tc>
          <w:tcPr>
            <w:tcW w:w="0" w:type="auto"/>
            <w:tcBorders>
              <w:top w:val="nil"/>
              <w:left w:val="nil"/>
              <w:bottom w:val="nil"/>
              <w:right w:val="nil"/>
            </w:tcBorders>
            <w:shd w:val="clear" w:color="auto" w:fill="auto"/>
            <w:vAlign w:val="center"/>
          </w:tcPr>
          <w:p w14:paraId="033E77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1,245 (12.24%)</w:t>
            </w:r>
          </w:p>
        </w:tc>
        <w:tc>
          <w:tcPr>
            <w:tcW w:w="0" w:type="auto"/>
            <w:tcBorders>
              <w:top w:val="nil"/>
              <w:left w:val="nil"/>
              <w:bottom w:val="nil"/>
              <w:right w:val="nil"/>
            </w:tcBorders>
            <w:shd w:val="clear" w:color="auto" w:fill="auto"/>
            <w:vAlign w:val="center"/>
          </w:tcPr>
          <w:p w14:paraId="0E7AE4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901 (8.77%)</w:t>
            </w:r>
          </w:p>
        </w:tc>
        <w:tc>
          <w:tcPr>
            <w:tcW w:w="0" w:type="auto"/>
            <w:tcBorders>
              <w:top w:val="nil"/>
              <w:left w:val="nil"/>
              <w:bottom w:val="nil"/>
              <w:right w:val="nil"/>
            </w:tcBorders>
            <w:shd w:val="clear" w:color="auto" w:fill="auto"/>
            <w:vAlign w:val="center"/>
          </w:tcPr>
          <w:p w14:paraId="1B9EF5E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413 (3.56%)</w:t>
            </w:r>
          </w:p>
        </w:tc>
      </w:tr>
      <w:tr w:rsidR="00646F04" w:rsidRPr="00646F04" w14:paraId="234EB789" w14:textId="77777777" w:rsidTr="00646F04">
        <w:tc>
          <w:tcPr>
            <w:tcW w:w="0" w:type="auto"/>
            <w:tcBorders>
              <w:top w:val="nil"/>
              <w:left w:val="nil"/>
              <w:bottom w:val="nil"/>
              <w:right w:val="nil"/>
            </w:tcBorders>
            <w:shd w:val="clear" w:color="auto" w:fill="auto"/>
            <w:vAlign w:val="center"/>
          </w:tcPr>
          <w:p w14:paraId="3740AC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Age, years</w:t>
            </w:r>
          </w:p>
        </w:tc>
        <w:tc>
          <w:tcPr>
            <w:tcW w:w="0" w:type="auto"/>
            <w:tcBorders>
              <w:top w:val="nil"/>
              <w:left w:val="nil"/>
              <w:bottom w:val="nil"/>
              <w:right w:val="nil"/>
            </w:tcBorders>
            <w:shd w:val="clear" w:color="auto" w:fill="auto"/>
            <w:vAlign w:val="center"/>
          </w:tcPr>
          <w:p w14:paraId="47170C6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62.5 (8.7)</w:t>
            </w:r>
          </w:p>
        </w:tc>
        <w:tc>
          <w:tcPr>
            <w:tcW w:w="0" w:type="auto"/>
            <w:tcBorders>
              <w:top w:val="nil"/>
              <w:left w:val="nil"/>
              <w:bottom w:val="nil"/>
              <w:right w:val="nil"/>
            </w:tcBorders>
            <w:shd w:val="clear" w:color="auto" w:fill="auto"/>
            <w:vAlign w:val="center"/>
          </w:tcPr>
          <w:p w14:paraId="5A42C2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60.8 (8.0)</w:t>
            </w:r>
          </w:p>
        </w:tc>
        <w:tc>
          <w:tcPr>
            <w:tcW w:w="0" w:type="auto"/>
            <w:tcBorders>
              <w:top w:val="nil"/>
              <w:left w:val="nil"/>
              <w:bottom w:val="nil"/>
              <w:right w:val="nil"/>
            </w:tcBorders>
            <w:shd w:val="clear" w:color="auto" w:fill="auto"/>
            <w:vAlign w:val="center"/>
          </w:tcPr>
          <w:p w14:paraId="4E1F0E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64.7 (9.7)</w:t>
            </w:r>
          </w:p>
        </w:tc>
        <w:tc>
          <w:tcPr>
            <w:tcW w:w="0" w:type="auto"/>
            <w:tcBorders>
              <w:top w:val="nil"/>
              <w:left w:val="nil"/>
              <w:bottom w:val="nil"/>
              <w:right w:val="nil"/>
            </w:tcBorders>
            <w:shd w:val="clear" w:color="auto" w:fill="auto"/>
            <w:vAlign w:val="center"/>
          </w:tcPr>
          <w:p w14:paraId="18814D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63.6 (9.0)</w:t>
            </w:r>
          </w:p>
        </w:tc>
        <w:tc>
          <w:tcPr>
            <w:tcW w:w="0" w:type="auto"/>
            <w:tcBorders>
              <w:top w:val="nil"/>
              <w:left w:val="nil"/>
              <w:bottom w:val="nil"/>
              <w:right w:val="nil"/>
            </w:tcBorders>
            <w:shd w:val="clear" w:color="auto" w:fill="auto"/>
            <w:vAlign w:val="center"/>
          </w:tcPr>
          <w:p w14:paraId="33776F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65.5 (9.0)</w:t>
            </w:r>
          </w:p>
        </w:tc>
        <w:tc>
          <w:tcPr>
            <w:tcW w:w="0" w:type="auto"/>
            <w:tcBorders>
              <w:top w:val="nil"/>
              <w:left w:val="nil"/>
              <w:bottom w:val="nil"/>
              <w:right w:val="nil"/>
            </w:tcBorders>
            <w:shd w:val="clear" w:color="auto" w:fill="auto"/>
            <w:vAlign w:val="center"/>
          </w:tcPr>
          <w:p w14:paraId="07F5D82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63.7 (8.2)</w:t>
            </w:r>
          </w:p>
        </w:tc>
        <w:tc>
          <w:tcPr>
            <w:tcW w:w="0" w:type="auto"/>
            <w:tcBorders>
              <w:top w:val="nil"/>
              <w:left w:val="nil"/>
              <w:bottom w:val="nil"/>
              <w:right w:val="nil"/>
            </w:tcBorders>
            <w:shd w:val="clear" w:color="auto" w:fill="auto"/>
            <w:vAlign w:val="center"/>
          </w:tcPr>
          <w:p w14:paraId="7D7241A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63.0 (8.2)</w:t>
            </w:r>
          </w:p>
        </w:tc>
      </w:tr>
      <w:tr w:rsidR="00646F04" w:rsidRPr="00646F04" w14:paraId="21A21532" w14:textId="77777777" w:rsidTr="00646F04">
        <w:tc>
          <w:tcPr>
            <w:tcW w:w="0" w:type="auto"/>
            <w:tcBorders>
              <w:top w:val="nil"/>
              <w:left w:val="nil"/>
              <w:bottom w:val="nil"/>
              <w:right w:val="nil"/>
            </w:tcBorders>
            <w:shd w:val="clear" w:color="auto" w:fill="auto"/>
            <w:vAlign w:val="center"/>
          </w:tcPr>
          <w:p w14:paraId="1DE3B80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Women, %</w:t>
            </w:r>
          </w:p>
        </w:tc>
        <w:tc>
          <w:tcPr>
            <w:tcW w:w="0" w:type="auto"/>
            <w:tcBorders>
              <w:top w:val="nil"/>
              <w:left w:val="nil"/>
              <w:bottom w:val="nil"/>
              <w:right w:val="nil"/>
            </w:tcBorders>
            <w:shd w:val="clear" w:color="auto" w:fill="auto"/>
            <w:vAlign w:val="center"/>
          </w:tcPr>
          <w:p w14:paraId="44185D7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50.1</w:t>
            </w:r>
          </w:p>
        </w:tc>
        <w:tc>
          <w:tcPr>
            <w:tcW w:w="0" w:type="auto"/>
            <w:tcBorders>
              <w:top w:val="nil"/>
              <w:left w:val="nil"/>
              <w:bottom w:val="nil"/>
              <w:right w:val="nil"/>
            </w:tcBorders>
            <w:shd w:val="clear" w:color="auto" w:fill="auto"/>
            <w:vAlign w:val="center"/>
          </w:tcPr>
          <w:p w14:paraId="75C614B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47.4</w:t>
            </w:r>
          </w:p>
        </w:tc>
        <w:tc>
          <w:tcPr>
            <w:tcW w:w="0" w:type="auto"/>
            <w:tcBorders>
              <w:top w:val="nil"/>
              <w:left w:val="nil"/>
              <w:bottom w:val="nil"/>
              <w:right w:val="nil"/>
            </w:tcBorders>
            <w:shd w:val="clear" w:color="auto" w:fill="auto"/>
            <w:vAlign w:val="center"/>
          </w:tcPr>
          <w:p w14:paraId="4B1587B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51.2</w:t>
            </w:r>
          </w:p>
        </w:tc>
        <w:tc>
          <w:tcPr>
            <w:tcW w:w="0" w:type="auto"/>
            <w:tcBorders>
              <w:top w:val="nil"/>
              <w:left w:val="nil"/>
              <w:bottom w:val="nil"/>
              <w:right w:val="nil"/>
            </w:tcBorders>
            <w:shd w:val="clear" w:color="auto" w:fill="auto"/>
            <w:vAlign w:val="center"/>
          </w:tcPr>
          <w:p w14:paraId="1403A1F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56.2</w:t>
            </w:r>
          </w:p>
        </w:tc>
        <w:tc>
          <w:tcPr>
            <w:tcW w:w="0" w:type="auto"/>
            <w:tcBorders>
              <w:top w:val="nil"/>
              <w:left w:val="nil"/>
              <w:bottom w:val="nil"/>
              <w:right w:val="nil"/>
            </w:tcBorders>
            <w:shd w:val="clear" w:color="auto" w:fill="auto"/>
            <w:vAlign w:val="center"/>
          </w:tcPr>
          <w:p w14:paraId="6A6A371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53.8</w:t>
            </w:r>
          </w:p>
        </w:tc>
        <w:tc>
          <w:tcPr>
            <w:tcW w:w="0" w:type="auto"/>
            <w:tcBorders>
              <w:top w:val="nil"/>
              <w:left w:val="nil"/>
              <w:bottom w:val="nil"/>
              <w:right w:val="nil"/>
            </w:tcBorders>
            <w:shd w:val="clear" w:color="auto" w:fill="auto"/>
            <w:vAlign w:val="center"/>
          </w:tcPr>
          <w:p w14:paraId="07D0081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54.7</w:t>
            </w:r>
          </w:p>
        </w:tc>
        <w:tc>
          <w:tcPr>
            <w:tcW w:w="0" w:type="auto"/>
            <w:tcBorders>
              <w:top w:val="nil"/>
              <w:left w:val="nil"/>
              <w:bottom w:val="nil"/>
              <w:right w:val="nil"/>
            </w:tcBorders>
            <w:shd w:val="clear" w:color="auto" w:fill="auto"/>
            <w:vAlign w:val="center"/>
          </w:tcPr>
          <w:p w14:paraId="52D3C7B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49.8</w:t>
            </w:r>
          </w:p>
        </w:tc>
      </w:tr>
      <w:tr w:rsidR="00646F04" w:rsidRPr="00646F04" w14:paraId="01F2ECB1" w14:textId="77777777" w:rsidTr="00646F04">
        <w:tc>
          <w:tcPr>
            <w:tcW w:w="0" w:type="auto"/>
            <w:tcBorders>
              <w:top w:val="nil"/>
              <w:left w:val="nil"/>
              <w:bottom w:val="nil"/>
              <w:right w:val="nil"/>
            </w:tcBorders>
            <w:shd w:val="clear" w:color="auto" w:fill="auto"/>
            <w:vAlign w:val="center"/>
          </w:tcPr>
          <w:p w14:paraId="6213E4D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Systolic BP, mmHg</w:t>
            </w:r>
          </w:p>
        </w:tc>
        <w:tc>
          <w:tcPr>
            <w:tcW w:w="0" w:type="auto"/>
            <w:tcBorders>
              <w:top w:val="nil"/>
              <w:left w:val="nil"/>
              <w:bottom w:val="nil"/>
              <w:right w:val="nil"/>
            </w:tcBorders>
            <w:shd w:val="clear" w:color="auto" w:fill="auto"/>
            <w:vAlign w:val="center"/>
          </w:tcPr>
          <w:p w14:paraId="303F2FD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132.5 (22.2)</w:t>
            </w:r>
          </w:p>
        </w:tc>
        <w:tc>
          <w:tcPr>
            <w:tcW w:w="0" w:type="auto"/>
            <w:tcBorders>
              <w:top w:val="nil"/>
              <w:left w:val="nil"/>
              <w:bottom w:val="nil"/>
              <w:right w:val="nil"/>
            </w:tcBorders>
            <w:shd w:val="clear" w:color="auto" w:fill="auto"/>
            <w:vAlign w:val="center"/>
          </w:tcPr>
          <w:p w14:paraId="031A871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118.4 (12.0)</w:t>
            </w:r>
          </w:p>
        </w:tc>
        <w:tc>
          <w:tcPr>
            <w:tcW w:w="0" w:type="auto"/>
            <w:tcBorders>
              <w:top w:val="nil"/>
              <w:left w:val="nil"/>
              <w:bottom w:val="nil"/>
              <w:right w:val="nil"/>
            </w:tcBorders>
            <w:shd w:val="clear" w:color="auto" w:fill="auto"/>
            <w:vAlign w:val="center"/>
          </w:tcPr>
          <w:p w14:paraId="2BBC9A1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152.5 (16.2)</w:t>
            </w:r>
          </w:p>
        </w:tc>
        <w:tc>
          <w:tcPr>
            <w:tcW w:w="0" w:type="auto"/>
            <w:tcBorders>
              <w:top w:val="nil"/>
              <w:left w:val="nil"/>
              <w:bottom w:val="nil"/>
              <w:right w:val="nil"/>
            </w:tcBorders>
            <w:shd w:val="clear" w:color="auto" w:fill="auto"/>
            <w:vAlign w:val="center"/>
          </w:tcPr>
          <w:p w14:paraId="7D6FB14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159.7 (16.5)</w:t>
            </w:r>
          </w:p>
        </w:tc>
        <w:tc>
          <w:tcPr>
            <w:tcW w:w="0" w:type="auto"/>
            <w:tcBorders>
              <w:top w:val="nil"/>
              <w:left w:val="nil"/>
              <w:bottom w:val="nil"/>
              <w:right w:val="nil"/>
            </w:tcBorders>
            <w:shd w:val="clear" w:color="auto" w:fill="auto"/>
            <w:vAlign w:val="center"/>
          </w:tcPr>
          <w:p w14:paraId="40F0001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158.7 (16.4)</w:t>
            </w:r>
          </w:p>
        </w:tc>
        <w:tc>
          <w:tcPr>
            <w:tcW w:w="0" w:type="auto"/>
            <w:tcBorders>
              <w:top w:val="nil"/>
              <w:left w:val="nil"/>
              <w:bottom w:val="nil"/>
              <w:right w:val="nil"/>
            </w:tcBorders>
            <w:shd w:val="clear" w:color="auto" w:fill="auto"/>
            <w:vAlign w:val="center"/>
          </w:tcPr>
          <w:p w14:paraId="5240B81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125.2 (10.3)</w:t>
            </w:r>
          </w:p>
        </w:tc>
        <w:tc>
          <w:tcPr>
            <w:tcW w:w="0" w:type="auto"/>
            <w:tcBorders>
              <w:top w:val="nil"/>
              <w:left w:val="nil"/>
              <w:bottom w:val="nil"/>
              <w:right w:val="nil"/>
            </w:tcBorders>
            <w:shd w:val="clear" w:color="auto" w:fill="auto"/>
            <w:vAlign w:val="center"/>
          </w:tcPr>
          <w:p w14:paraId="17E331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124.6 (10.5)</w:t>
            </w:r>
          </w:p>
        </w:tc>
      </w:tr>
      <w:tr w:rsidR="00646F04" w:rsidRPr="00646F04" w14:paraId="0614BD2A" w14:textId="77777777" w:rsidTr="00646F04">
        <w:tc>
          <w:tcPr>
            <w:tcW w:w="0" w:type="auto"/>
            <w:tcBorders>
              <w:top w:val="nil"/>
              <w:left w:val="nil"/>
              <w:bottom w:val="nil"/>
              <w:right w:val="nil"/>
            </w:tcBorders>
            <w:shd w:val="clear" w:color="auto" w:fill="auto"/>
            <w:vAlign w:val="center"/>
          </w:tcPr>
          <w:p w14:paraId="5F6EEC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Diastolic BP, mmHg</w:t>
            </w:r>
          </w:p>
        </w:tc>
        <w:tc>
          <w:tcPr>
            <w:tcW w:w="0" w:type="auto"/>
            <w:tcBorders>
              <w:top w:val="nil"/>
              <w:left w:val="nil"/>
              <w:bottom w:val="nil"/>
              <w:right w:val="nil"/>
            </w:tcBorders>
            <w:shd w:val="clear" w:color="auto" w:fill="auto"/>
            <w:vAlign w:val="center"/>
          </w:tcPr>
          <w:p w14:paraId="3D7614E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75.9 (12.4)</w:t>
            </w:r>
          </w:p>
        </w:tc>
        <w:tc>
          <w:tcPr>
            <w:tcW w:w="0" w:type="auto"/>
            <w:tcBorders>
              <w:top w:val="nil"/>
              <w:left w:val="nil"/>
              <w:bottom w:val="nil"/>
              <w:right w:val="nil"/>
            </w:tcBorders>
            <w:shd w:val="clear" w:color="auto" w:fill="auto"/>
            <w:vAlign w:val="center"/>
          </w:tcPr>
          <w:p w14:paraId="760BA79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70.0 (8.9)</w:t>
            </w:r>
          </w:p>
        </w:tc>
        <w:tc>
          <w:tcPr>
            <w:tcW w:w="0" w:type="auto"/>
            <w:tcBorders>
              <w:top w:val="nil"/>
              <w:left w:val="nil"/>
              <w:bottom w:val="nil"/>
              <w:right w:val="nil"/>
            </w:tcBorders>
            <w:shd w:val="clear" w:color="auto" w:fill="auto"/>
            <w:vAlign w:val="center"/>
          </w:tcPr>
          <w:p w14:paraId="38286FD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85.2 (10.8)</w:t>
            </w:r>
          </w:p>
        </w:tc>
        <w:tc>
          <w:tcPr>
            <w:tcW w:w="0" w:type="auto"/>
            <w:tcBorders>
              <w:top w:val="nil"/>
              <w:left w:val="nil"/>
              <w:bottom w:val="nil"/>
              <w:right w:val="nil"/>
            </w:tcBorders>
            <w:shd w:val="clear" w:color="auto" w:fill="auto"/>
            <w:vAlign w:val="center"/>
          </w:tcPr>
          <w:p w14:paraId="0257893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87.3 (11.5)</w:t>
            </w:r>
          </w:p>
        </w:tc>
        <w:tc>
          <w:tcPr>
            <w:tcW w:w="0" w:type="auto"/>
            <w:tcBorders>
              <w:top w:val="nil"/>
              <w:left w:val="nil"/>
              <w:bottom w:val="nil"/>
              <w:right w:val="nil"/>
            </w:tcBorders>
            <w:shd w:val="clear" w:color="auto" w:fill="auto"/>
            <w:vAlign w:val="center"/>
          </w:tcPr>
          <w:p w14:paraId="7337AAF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86.4 (12.2)</w:t>
            </w:r>
          </w:p>
        </w:tc>
        <w:tc>
          <w:tcPr>
            <w:tcW w:w="0" w:type="auto"/>
            <w:tcBorders>
              <w:top w:val="nil"/>
              <w:left w:val="nil"/>
              <w:bottom w:val="nil"/>
              <w:right w:val="nil"/>
            </w:tcBorders>
            <w:shd w:val="clear" w:color="auto" w:fill="auto"/>
            <w:vAlign w:val="center"/>
          </w:tcPr>
          <w:p w14:paraId="39A7ABF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72.1 (9.1)</w:t>
            </w:r>
          </w:p>
        </w:tc>
        <w:tc>
          <w:tcPr>
            <w:tcW w:w="0" w:type="auto"/>
            <w:tcBorders>
              <w:top w:val="nil"/>
              <w:left w:val="nil"/>
              <w:bottom w:val="nil"/>
              <w:right w:val="nil"/>
            </w:tcBorders>
            <w:shd w:val="clear" w:color="auto" w:fill="auto"/>
            <w:vAlign w:val="center"/>
          </w:tcPr>
          <w:p w14:paraId="707CFD7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72.5 (8.8)</w:t>
            </w:r>
          </w:p>
        </w:tc>
      </w:tr>
      <w:tr w:rsidR="00646F04" w:rsidRPr="00646F04" w14:paraId="02C3C098" w14:textId="77777777" w:rsidTr="00646F04">
        <w:tc>
          <w:tcPr>
            <w:tcW w:w="0" w:type="auto"/>
            <w:tcBorders>
              <w:top w:val="nil"/>
              <w:left w:val="nil"/>
              <w:bottom w:val="nil"/>
              <w:right w:val="nil"/>
            </w:tcBorders>
            <w:shd w:val="clear" w:color="auto" w:fill="auto"/>
            <w:vAlign w:val="center"/>
          </w:tcPr>
          <w:p w14:paraId="64A99C5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Body mass index, kg/m²</w:t>
            </w:r>
          </w:p>
        </w:tc>
        <w:tc>
          <w:tcPr>
            <w:tcW w:w="0" w:type="auto"/>
            <w:tcBorders>
              <w:top w:val="nil"/>
              <w:left w:val="nil"/>
              <w:bottom w:val="nil"/>
              <w:right w:val="nil"/>
            </w:tcBorders>
            <w:shd w:val="clear" w:color="auto" w:fill="auto"/>
            <w:vAlign w:val="center"/>
          </w:tcPr>
          <w:p w14:paraId="59DFBC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23.7 (4.8)</w:t>
            </w:r>
          </w:p>
        </w:tc>
        <w:tc>
          <w:tcPr>
            <w:tcW w:w="0" w:type="auto"/>
            <w:tcBorders>
              <w:top w:val="nil"/>
              <w:left w:val="nil"/>
              <w:bottom w:val="nil"/>
              <w:right w:val="nil"/>
            </w:tcBorders>
            <w:shd w:val="clear" w:color="auto" w:fill="auto"/>
            <w:vAlign w:val="center"/>
          </w:tcPr>
          <w:p w14:paraId="77542C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22.7 (3.6)</w:t>
            </w:r>
          </w:p>
        </w:tc>
        <w:tc>
          <w:tcPr>
            <w:tcW w:w="0" w:type="auto"/>
            <w:tcBorders>
              <w:top w:val="nil"/>
              <w:left w:val="nil"/>
              <w:bottom w:val="nil"/>
              <w:right w:val="nil"/>
            </w:tcBorders>
            <w:shd w:val="clear" w:color="auto" w:fill="auto"/>
            <w:vAlign w:val="center"/>
          </w:tcPr>
          <w:p w14:paraId="732CC3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23.6 (4.1)</w:t>
            </w:r>
          </w:p>
        </w:tc>
        <w:tc>
          <w:tcPr>
            <w:tcW w:w="0" w:type="auto"/>
            <w:tcBorders>
              <w:top w:val="nil"/>
              <w:left w:val="nil"/>
              <w:bottom w:val="nil"/>
              <w:right w:val="nil"/>
            </w:tcBorders>
            <w:shd w:val="clear" w:color="auto" w:fill="auto"/>
            <w:vAlign w:val="center"/>
          </w:tcPr>
          <w:p w14:paraId="175303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27.3 (10.5)</w:t>
            </w:r>
          </w:p>
        </w:tc>
        <w:tc>
          <w:tcPr>
            <w:tcW w:w="0" w:type="auto"/>
            <w:tcBorders>
              <w:top w:val="nil"/>
              <w:left w:val="nil"/>
              <w:bottom w:val="nil"/>
              <w:right w:val="nil"/>
            </w:tcBorders>
            <w:shd w:val="clear" w:color="auto" w:fill="auto"/>
            <w:vAlign w:val="center"/>
          </w:tcPr>
          <w:p w14:paraId="66AA945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25.4 (4.4)</w:t>
            </w:r>
          </w:p>
        </w:tc>
        <w:tc>
          <w:tcPr>
            <w:tcW w:w="0" w:type="auto"/>
            <w:tcBorders>
              <w:top w:val="nil"/>
              <w:left w:val="nil"/>
              <w:bottom w:val="nil"/>
              <w:right w:val="nil"/>
            </w:tcBorders>
            <w:shd w:val="clear" w:color="auto" w:fill="auto"/>
            <w:vAlign w:val="center"/>
          </w:tcPr>
          <w:p w14:paraId="3909F20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25.2 (4.4)</w:t>
            </w:r>
          </w:p>
        </w:tc>
        <w:tc>
          <w:tcPr>
            <w:tcW w:w="0" w:type="auto"/>
            <w:tcBorders>
              <w:top w:val="nil"/>
              <w:left w:val="nil"/>
              <w:bottom w:val="nil"/>
              <w:right w:val="nil"/>
            </w:tcBorders>
            <w:shd w:val="clear" w:color="auto" w:fill="auto"/>
            <w:vAlign w:val="center"/>
          </w:tcPr>
          <w:p w14:paraId="4D95B1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23.9 (4.5)</w:t>
            </w:r>
          </w:p>
        </w:tc>
      </w:tr>
      <w:tr w:rsidR="00646F04" w:rsidRPr="00646F04" w14:paraId="2D6F04D2" w14:textId="77777777" w:rsidTr="00646F04">
        <w:tc>
          <w:tcPr>
            <w:tcW w:w="0" w:type="auto"/>
            <w:tcBorders>
              <w:top w:val="nil"/>
              <w:left w:val="nil"/>
              <w:bottom w:val="nil"/>
              <w:right w:val="nil"/>
            </w:tcBorders>
            <w:shd w:val="clear" w:color="auto" w:fill="auto"/>
            <w:vAlign w:val="center"/>
          </w:tcPr>
          <w:p w14:paraId="2AC04A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Non-hypertension disease count (0–7)</w:t>
            </w:r>
          </w:p>
        </w:tc>
        <w:tc>
          <w:tcPr>
            <w:tcW w:w="0" w:type="auto"/>
            <w:tcBorders>
              <w:top w:val="nil"/>
              <w:left w:val="nil"/>
              <w:bottom w:val="nil"/>
              <w:right w:val="nil"/>
            </w:tcBorders>
            <w:shd w:val="clear" w:color="auto" w:fill="auto"/>
            <w:vAlign w:val="center"/>
          </w:tcPr>
          <w:p w14:paraId="2DF9F4E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0.72 (0.86)</w:t>
            </w:r>
          </w:p>
        </w:tc>
        <w:tc>
          <w:tcPr>
            <w:tcW w:w="0" w:type="auto"/>
            <w:tcBorders>
              <w:top w:val="nil"/>
              <w:left w:val="nil"/>
              <w:bottom w:val="nil"/>
              <w:right w:val="nil"/>
            </w:tcBorders>
            <w:shd w:val="clear" w:color="auto" w:fill="auto"/>
            <w:vAlign w:val="center"/>
          </w:tcPr>
          <w:p w14:paraId="6935D47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0.61 (0.76)</w:t>
            </w:r>
          </w:p>
        </w:tc>
        <w:tc>
          <w:tcPr>
            <w:tcW w:w="0" w:type="auto"/>
            <w:tcBorders>
              <w:top w:val="nil"/>
              <w:left w:val="nil"/>
              <w:bottom w:val="nil"/>
              <w:right w:val="nil"/>
            </w:tcBorders>
            <w:shd w:val="clear" w:color="auto" w:fill="auto"/>
            <w:vAlign w:val="center"/>
          </w:tcPr>
          <w:p w14:paraId="512454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0.55 (0.77)</w:t>
            </w:r>
          </w:p>
        </w:tc>
        <w:tc>
          <w:tcPr>
            <w:tcW w:w="0" w:type="auto"/>
            <w:tcBorders>
              <w:top w:val="nil"/>
              <w:left w:val="nil"/>
              <w:bottom w:val="nil"/>
              <w:right w:val="nil"/>
            </w:tcBorders>
            <w:shd w:val="clear" w:color="auto" w:fill="auto"/>
            <w:vAlign w:val="center"/>
          </w:tcPr>
          <w:p w14:paraId="79C52E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 (0.94)</w:t>
            </w:r>
          </w:p>
        </w:tc>
        <w:tc>
          <w:tcPr>
            <w:tcW w:w="0" w:type="auto"/>
            <w:tcBorders>
              <w:top w:val="nil"/>
              <w:left w:val="nil"/>
              <w:bottom w:val="nil"/>
              <w:right w:val="nil"/>
            </w:tcBorders>
            <w:shd w:val="clear" w:color="auto" w:fill="auto"/>
            <w:vAlign w:val="center"/>
          </w:tcPr>
          <w:p w14:paraId="1C9C9A3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1.03 (0.98)</w:t>
            </w:r>
          </w:p>
        </w:tc>
        <w:tc>
          <w:tcPr>
            <w:tcW w:w="0" w:type="auto"/>
            <w:tcBorders>
              <w:top w:val="nil"/>
              <w:left w:val="nil"/>
              <w:bottom w:val="nil"/>
              <w:right w:val="nil"/>
            </w:tcBorders>
            <w:shd w:val="clear" w:color="auto" w:fill="auto"/>
            <w:vAlign w:val="center"/>
          </w:tcPr>
          <w:p w14:paraId="3ED4CAB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 (1.00)</w:t>
            </w:r>
          </w:p>
        </w:tc>
        <w:tc>
          <w:tcPr>
            <w:tcW w:w="0" w:type="auto"/>
            <w:tcBorders>
              <w:top w:val="nil"/>
              <w:left w:val="nil"/>
              <w:bottom w:val="nil"/>
              <w:right w:val="nil"/>
            </w:tcBorders>
            <w:shd w:val="clear" w:color="auto" w:fill="auto"/>
            <w:vAlign w:val="center"/>
          </w:tcPr>
          <w:p w14:paraId="04723B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 (0.93)</w:t>
            </w:r>
          </w:p>
        </w:tc>
      </w:tr>
      <w:tr w:rsidR="00646F04" w:rsidRPr="00646F04" w14:paraId="22A6BFA4" w14:textId="77777777" w:rsidTr="00646F04">
        <w:tc>
          <w:tcPr>
            <w:tcW w:w="0" w:type="auto"/>
            <w:tcBorders>
              <w:top w:val="nil"/>
              <w:left w:val="nil"/>
              <w:bottom w:val="nil"/>
              <w:right w:val="nil"/>
            </w:tcBorders>
            <w:shd w:val="clear" w:color="auto" w:fill="auto"/>
            <w:vAlign w:val="center"/>
          </w:tcPr>
          <w:p w14:paraId="1718B1F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Complex multimorbidity (≥2 diseases), %</w:t>
            </w:r>
          </w:p>
        </w:tc>
        <w:tc>
          <w:tcPr>
            <w:tcW w:w="0" w:type="auto"/>
            <w:tcBorders>
              <w:top w:val="nil"/>
              <w:left w:val="nil"/>
              <w:bottom w:val="nil"/>
              <w:right w:val="nil"/>
            </w:tcBorders>
            <w:shd w:val="clear" w:color="auto" w:fill="auto"/>
            <w:vAlign w:val="center"/>
          </w:tcPr>
          <w:p w14:paraId="297074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15.7</w:t>
            </w:r>
          </w:p>
        </w:tc>
        <w:tc>
          <w:tcPr>
            <w:tcW w:w="0" w:type="auto"/>
            <w:tcBorders>
              <w:top w:val="nil"/>
              <w:left w:val="nil"/>
              <w:bottom w:val="nil"/>
              <w:right w:val="nil"/>
            </w:tcBorders>
            <w:shd w:val="clear" w:color="auto" w:fill="auto"/>
            <w:vAlign w:val="center"/>
          </w:tcPr>
          <w:p w14:paraId="5A30353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11.2</w:t>
            </w:r>
          </w:p>
        </w:tc>
        <w:tc>
          <w:tcPr>
            <w:tcW w:w="0" w:type="auto"/>
            <w:tcBorders>
              <w:top w:val="nil"/>
              <w:left w:val="nil"/>
              <w:bottom w:val="nil"/>
              <w:right w:val="nil"/>
            </w:tcBorders>
            <w:shd w:val="clear" w:color="auto" w:fill="auto"/>
            <w:vAlign w:val="center"/>
          </w:tcPr>
          <w:p w14:paraId="06759B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w:t>
            </w:r>
          </w:p>
        </w:tc>
        <w:tc>
          <w:tcPr>
            <w:tcW w:w="0" w:type="auto"/>
            <w:tcBorders>
              <w:top w:val="nil"/>
              <w:left w:val="nil"/>
              <w:bottom w:val="nil"/>
              <w:right w:val="nil"/>
            </w:tcBorders>
            <w:shd w:val="clear" w:color="auto" w:fill="auto"/>
            <w:vAlign w:val="center"/>
          </w:tcPr>
          <w:p w14:paraId="68E3086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22.6</w:t>
            </w:r>
          </w:p>
        </w:tc>
        <w:tc>
          <w:tcPr>
            <w:tcW w:w="0" w:type="auto"/>
            <w:tcBorders>
              <w:top w:val="nil"/>
              <w:left w:val="nil"/>
              <w:bottom w:val="nil"/>
              <w:right w:val="nil"/>
            </w:tcBorders>
            <w:shd w:val="clear" w:color="auto" w:fill="auto"/>
            <w:vAlign w:val="center"/>
          </w:tcPr>
          <w:p w14:paraId="68C54FB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27.0</w:t>
            </w:r>
          </w:p>
        </w:tc>
        <w:tc>
          <w:tcPr>
            <w:tcW w:w="0" w:type="auto"/>
            <w:tcBorders>
              <w:top w:val="nil"/>
              <w:left w:val="nil"/>
              <w:bottom w:val="nil"/>
              <w:right w:val="nil"/>
            </w:tcBorders>
            <w:shd w:val="clear" w:color="auto" w:fill="auto"/>
            <w:vAlign w:val="center"/>
          </w:tcPr>
          <w:p w14:paraId="749047E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28.1</w:t>
            </w:r>
          </w:p>
        </w:tc>
        <w:tc>
          <w:tcPr>
            <w:tcW w:w="0" w:type="auto"/>
            <w:tcBorders>
              <w:top w:val="nil"/>
              <w:left w:val="nil"/>
              <w:bottom w:val="nil"/>
              <w:right w:val="nil"/>
            </w:tcBorders>
            <w:shd w:val="clear" w:color="auto" w:fill="auto"/>
            <w:vAlign w:val="center"/>
          </w:tcPr>
          <w:p w14:paraId="5E23E8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25.4</w:t>
            </w:r>
          </w:p>
        </w:tc>
      </w:tr>
      <w:tr w:rsidR="00646F04" w:rsidRPr="00646F04" w14:paraId="129FA86E" w14:textId="77777777" w:rsidTr="00646F04">
        <w:tc>
          <w:tcPr>
            <w:tcW w:w="0" w:type="auto"/>
            <w:tcBorders>
              <w:top w:val="nil"/>
              <w:left w:val="nil"/>
              <w:bottom w:val="nil"/>
              <w:right w:val="nil"/>
            </w:tcBorders>
            <w:shd w:val="clear" w:color="auto" w:fill="auto"/>
            <w:vAlign w:val="center"/>
          </w:tcPr>
          <w:p w14:paraId="7212AE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ADL difficulty, %</w:t>
            </w:r>
          </w:p>
        </w:tc>
        <w:tc>
          <w:tcPr>
            <w:tcW w:w="0" w:type="auto"/>
            <w:tcBorders>
              <w:top w:val="nil"/>
              <w:left w:val="nil"/>
              <w:bottom w:val="nil"/>
              <w:right w:val="nil"/>
            </w:tcBorders>
            <w:shd w:val="clear" w:color="auto" w:fill="auto"/>
            <w:vAlign w:val="center"/>
          </w:tcPr>
          <w:p w14:paraId="51C7C4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16.0</w:t>
            </w:r>
          </w:p>
        </w:tc>
        <w:tc>
          <w:tcPr>
            <w:tcW w:w="0" w:type="auto"/>
            <w:tcBorders>
              <w:top w:val="nil"/>
              <w:left w:val="nil"/>
              <w:bottom w:val="nil"/>
              <w:right w:val="nil"/>
            </w:tcBorders>
            <w:shd w:val="clear" w:color="auto" w:fill="auto"/>
            <w:vAlign w:val="center"/>
          </w:tcPr>
          <w:p w14:paraId="77CE770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13.6</w:t>
            </w:r>
          </w:p>
        </w:tc>
        <w:tc>
          <w:tcPr>
            <w:tcW w:w="0" w:type="auto"/>
            <w:tcBorders>
              <w:top w:val="nil"/>
              <w:left w:val="nil"/>
              <w:bottom w:val="nil"/>
              <w:right w:val="nil"/>
            </w:tcBorders>
            <w:shd w:val="clear" w:color="auto" w:fill="auto"/>
            <w:vAlign w:val="center"/>
          </w:tcPr>
          <w:p w14:paraId="46BA1A8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13.8</w:t>
            </w:r>
          </w:p>
        </w:tc>
        <w:tc>
          <w:tcPr>
            <w:tcW w:w="0" w:type="auto"/>
            <w:tcBorders>
              <w:top w:val="nil"/>
              <w:left w:val="nil"/>
              <w:bottom w:val="nil"/>
              <w:right w:val="nil"/>
            </w:tcBorders>
            <w:shd w:val="clear" w:color="auto" w:fill="auto"/>
            <w:vAlign w:val="center"/>
          </w:tcPr>
          <w:p w14:paraId="6C98304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16.6</w:t>
            </w:r>
          </w:p>
        </w:tc>
        <w:tc>
          <w:tcPr>
            <w:tcW w:w="0" w:type="auto"/>
            <w:tcBorders>
              <w:top w:val="nil"/>
              <w:left w:val="nil"/>
              <w:bottom w:val="nil"/>
              <w:right w:val="nil"/>
            </w:tcBorders>
            <w:shd w:val="clear" w:color="auto" w:fill="auto"/>
            <w:vAlign w:val="center"/>
          </w:tcPr>
          <w:p w14:paraId="258073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23.1</w:t>
            </w:r>
          </w:p>
        </w:tc>
        <w:tc>
          <w:tcPr>
            <w:tcW w:w="0" w:type="auto"/>
            <w:tcBorders>
              <w:top w:val="nil"/>
              <w:left w:val="nil"/>
              <w:bottom w:val="nil"/>
              <w:right w:val="nil"/>
            </w:tcBorders>
            <w:shd w:val="clear" w:color="auto" w:fill="auto"/>
            <w:vAlign w:val="center"/>
          </w:tcPr>
          <w:p w14:paraId="4BD324D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21.9</w:t>
            </w:r>
          </w:p>
        </w:tc>
        <w:tc>
          <w:tcPr>
            <w:tcW w:w="0" w:type="auto"/>
            <w:tcBorders>
              <w:top w:val="nil"/>
              <w:left w:val="nil"/>
              <w:bottom w:val="nil"/>
              <w:right w:val="nil"/>
            </w:tcBorders>
            <w:shd w:val="clear" w:color="auto" w:fill="auto"/>
            <w:vAlign w:val="center"/>
          </w:tcPr>
          <w:p w14:paraId="7E3A035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20.3</w:t>
            </w:r>
          </w:p>
        </w:tc>
      </w:tr>
      <w:tr w:rsidR="00646F04" w:rsidRPr="00646F04" w14:paraId="7CD9DC0A" w14:textId="77777777" w:rsidTr="00646F04">
        <w:tc>
          <w:tcPr>
            <w:tcW w:w="0" w:type="auto"/>
            <w:tcBorders>
              <w:top w:val="nil"/>
              <w:left w:val="nil"/>
              <w:bottom w:val="single" w:sz="8" w:space="0" w:color="404040"/>
              <w:right w:val="nil"/>
            </w:tcBorders>
            <w:shd w:val="clear" w:color="auto" w:fill="auto"/>
            <w:vAlign w:val="center"/>
          </w:tcPr>
          <w:p w14:paraId="120D4CD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IADL difficulty, %</w:t>
            </w:r>
          </w:p>
        </w:tc>
        <w:tc>
          <w:tcPr>
            <w:tcW w:w="0" w:type="auto"/>
            <w:tcBorders>
              <w:top w:val="nil"/>
              <w:left w:val="nil"/>
              <w:bottom w:val="single" w:sz="8" w:space="0" w:color="404040"/>
              <w:right w:val="nil"/>
            </w:tcBorders>
            <w:shd w:val="clear" w:color="auto" w:fill="auto"/>
            <w:vAlign w:val="center"/>
          </w:tcPr>
          <w:p w14:paraId="234AB06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20.9</w:t>
            </w:r>
          </w:p>
        </w:tc>
        <w:tc>
          <w:tcPr>
            <w:tcW w:w="0" w:type="auto"/>
            <w:tcBorders>
              <w:top w:val="nil"/>
              <w:left w:val="nil"/>
              <w:bottom w:val="single" w:sz="8" w:space="0" w:color="404040"/>
              <w:right w:val="nil"/>
            </w:tcBorders>
            <w:shd w:val="clear" w:color="auto" w:fill="auto"/>
            <w:vAlign w:val="center"/>
          </w:tcPr>
          <w:p w14:paraId="035D10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18.1</w:t>
            </w:r>
          </w:p>
        </w:tc>
        <w:tc>
          <w:tcPr>
            <w:tcW w:w="0" w:type="auto"/>
            <w:tcBorders>
              <w:top w:val="nil"/>
              <w:left w:val="nil"/>
              <w:bottom w:val="single" w:sz="8" w:space="0" w:color="404040"/>
              <w:right w:val="nil"/>
            </w:tcBorders>
            <w:shd w:val="clear" w:color="auto" w:fill="auto"/>
            <w:vAlign w:val="center"/>
          </w:tcPr>
          <w:p w14:paraId="24506AC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w:t>
            </w:r>
          </w:p>
        </w:tc>
        <w:tc>
          <w:tcPr>
            <w:tcW w:w="0" w:type="auto"/>
            <w:tcBorders>
              <w:top w:val="nil"/>
              <w:left w:val="nil"/>
              <w:bottom w:val="single" w:sz="8" w:space="0" w:color="404040"/>
              <w:right w:val="nil"/>
            </w:tcBorders>
            <w:shd w:val="clear" w:color="auto" w:fill="auto"/>
            <w:vAlign w:val="center"/>
          </w:tcPr>
          <w:p w14:paraId="3C1D3CA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19.4</w:t>
            </w:r>
          </w:p>
        </w:tc>
        <w:tc>
          <w:tcPr>
            <w:tcW w:w="0" w:type="auto"/>
            <w:tcBorders>
              <w:top w:val="nil"/>
              <w:left w:val="nil"/>
              <w:bottom w:val="single" w:sz="8" w:space="0" w:color="404040"/>
              <w:right w:val="nil"/>
            </w:tcBorders>
            <w:shd w:val="clear" w:color="auto" w:fill="auto"/>
            <w:vAlign w:val="center"/>
          </w:tcPr>
          <w:p w14:paraId="48AD46E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29.2</w:t>
            </w:r>
          </w:p>
        </w:tc>
        <w:tc>
          <w:tcPr>
            <w:tcW w:w="0" w:type="auto"/>
            <w:tcBorders>
              <w:top w:val="nil"/>
              <w:left w:val="nil"/>
              <w:bottom w:val="single" w:sz="8" w:space="0" w:color="404040"/>
              <w:right w:val="nil"/>
            </w:tcBorders>
            <w:shd w:val="clear" w:color="auto" w:fill="auto"/>
            <w:vAlign w:val="center"/>
          </w:tcPr>
          <w:p w14:paraId="3A871E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27.1</w:t>
            </w:r>
          </w:p>
        </w:tc>
        <w:tc>
          <w:tcPr>
            <w:tcW w:w="0" w:type="auto"/>
            <w:tcBorders>
              <w:top w:val="nil"/>
              <w:left w:val="nil"/>
              <w:bottom w:val="single" w:sz="8" w:space="0" w:color="404040"/>
              <w:right w:val="nil"/>
            </w:tcBorders>
            <w:shd w:val="clear" w:color="auto" w:fill="auto"/>
            <w:vAlign w:val="center"/>
          </w:tcPr>
          <w:p w14:paraId="6CA4799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24.2</w:t>
            </w:r>
          </w:p>
        </w:tc>
      </w:tr>
    </w:tbl>
    <w:p w14:paraId="4CDB5668" w14:textId="77777777" w:rsidR="001C2B6A" w:rsidRPr="00646F04" w:rsidRDefault="00000000">
      <w:pPr>
        <w:pStyle w:val="3"/>
        <w:rPr>
          <w:color w:val="000000" w:themeColor="text1"/>
        </w:rPr>
      </w:pPr>
      <w:bookmarkStart w:id="31" w:name="panel-b.-hrs"/>
      <w:bookmarkEnd w:id="30"/>
      <w:r w:rsidRPr="00646F04">
        <w:rPr>
          <w:rFonts w:ascii="Arial" w:eastAsia="Source Han Serif SC" w:hAnsi="Arial" w:cs="Arial"/>
          <w:color w:val="000000" w:themeColor="text1"/>
        </w:rPr>
        <w:t>Panel B. HRS</w:t>
      </w:r>
    </w:p>
    <w:tbl>
      <w:tblPr>
        <w:tblStyle w:val="Table"/>
        <w:tblW w:w="5000" w:type="pct"/>
        <w:tblLook w:val="0020" w:firstRow="1" w:lastRow="0" w:firstColumn="0" w:lastColumn="0" w:noHBand="0" w:noVBand="0"/>
      </w:tblPr>
      <w:tblGrid>
        <w:gridCol w:w="3838"/>
        <w:gridCol w:w="1593"/>
        <w:gridCol w:w="1645"/>
        <w:gridCol w:w="1542"/>
        <w:gridCol w:w="1385"/>
        <w:gridCol w:w="1645"/>
        <w:gridCol w:w="1645"/>
        <w:gridCol w:w="1385"/>
      </w:tblGrid>
      <w:tr w:rsidR="00646F04" w:rsidRPr="00646F04" w14:paraId="18980485"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158EA77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Characteristic</w:t>
            </w:r>
          </w:p>
        </w:tc>
        <w:tc>
          <w:tcPr>
            <w:tcW w:w="0" w:type="auto"/>
            <w:tcBorders>
              <w:top w:val="single" w:sz="8" w:space="0" w:color="404040"/>
              <w:left w:val="nil"/>
              <w:bottom w:val="single" w:sz="5" w:space="0" w:color="707070"/>
              <w:right w:val="nil"/>
            </w:tcBorders>
            <w:shd w:val="clear" w:color="auto" w:fill="auto"/>
            <w:vAlign w:val="center"/>
          </w:tcPr>
          <w:p w14:paraId="1CBBC90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Overall</w:t>
            </w:r>
          </w:p>
        </w:tc>
        <w:tc>
          <w:tcPr>
            <w:tcW w:w="0" w:type="auto"/>
            <w:tcBorders>
              <w:top w:val="single" w:sz="8" w:space="0" w:color="404040"/>
              <w:left w:val="nil"/>
              <w:bottom w:val="single" w:sz="5" w:space="0" w:color="707070"/>
              <w:right w:val="nil"/>
            </w:tcBorders>
            <w:shd w:val="clear" w:color="auto" w:fill="auto"/>
            <w:vAlign w:val="center"/>
          </w:tcPr>
          <w:p w14:paraId="6B1C56AD"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H0</w:t>
            </w:r>
          </w:p>
        </w:tc>
        <w:tc>
          <w:tcPr>
            <w:tcW w:w="0" w:type="auto"/>
            <w:tcBorders>
              <w:top w:val="single" w:sz="8" w:space="0" w:color="404040"/>
              <w:left w:val="nil"/>
              <w:bottom w:val="single" w:sz="5" w:space="0" w:color="707070"/>
              <w:right w:val="nil"/>
            </w:tcBorders>
            <w:shd w:val="clear" w:color="auto" w:fill="auto"/>
            <w:vAlign w:val="center"/>
          </w:tcPr>
          <w:p w14:paraId="3936271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H1</w:t>
            </w:r>
          </w:p>
        </w:tc>
        <w:tc>
          <w:tcPr>
            <w:tcW w:w="0" w:type="auto"/>
            <w:tcBorders>
              <w:top w:val="single" w:sz="8" w:space="0" w:color="404040"/>
              <w:left w:val="nil"/>
              <w:bottom w:val="single" w:sz="5" w:space="0" w:color="707070"/>
              <w:right w:val="nil"/>
            </w:tcBorders>
            <w:shd w:val="clear" w:color="auto" w:fill="auto"/>
            <w:vAlign w:val="center"/>
          </w:tcPr>
          <w:p w14:paraId="6D860A6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H2</w:t>
            </w:r>
          </w:p>
        </w:tc>
        <w:tc>
          <w:tcPr>
            <w:tcW w:w="0" w:type="auto"/>
            <w:tcBorders>
              <w:top w:val="single" w:sz="8" w:space="0" w:color="404040"/>
              <w:left w:val="nil"/>
              <w:bottom w:val="single" w:sz="5" w:space="0" w:color="707070"/>
              <w:right w:val="nil"/>
            </w:tcBorders>
            <w:shd w:val="clear" w:color="auto" w:fill="auto"/>
            <w:vAlign w:val="center"/>
          </w:tcPr>
          <w:p w14:paraId="4A49C69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H3</w:t>
            </w:r>
          </w:p>
        </w:tc>
        <w:tc>
          <w:tcPr>
            <w:tcW w:w="0" w:type="auto"/>
            <w:tcBorders>
              <w:top w:val="single" w:sz="8" w:space="0" w:color="404040"/>
              <w:left w:val="nil"/>
              <w:bottom w:val="single" w:sz="5" w:space="0" w:color="707070"/>
              <w:right w:val="nil"/>
            </w:tcBorders>
            <w:shd w:val="clear" w:color="auto" w:fill="auto"/>
            <w:vAlign w:val="center"/>
          </w:tcPr>
          <w:p w14:paraId="0B55740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H4</w:t>
            </w:r>
          </w:p>
        </w:tc>
        <w:tc>
          <w:tcPr>
            <w:tcW w:w="0" w:type="auto"/>
            <w:tcBorders>
              <w:top w:val="single" w:sz="8" w:space="0" w:color="404040"/>
              <w:left w:val="nil"/>
              <w:bottom w:val="single" w:sz="5" w:space="0" w:color="707070"/>
              <w:right w:val="nil"/>
            </w:tcBorders>
            <w:shd w:val="clear" w:color="auto" w:fill="auto"/>
            <w:vAlign w:val="center"/>
          </w:tcPr>
          <w:p w14:paraId="685178E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H5</w:t>
            </w:r>
          </w:p>
        </w:tc>
      </w:tr>
      <w:tr w:rsidR="00646F04" w:rsidRPr="00646F04" w14:paraId="27C56718" w14:textId="77777777" w:rsidTr="00646F04">
        <w:tc>
          <w:tcPr>
            <w:tcW w:w="0" w:type="auto"/>
            <w:tcBorders>
              <w:top w:val="nil"/>
              <w:left w:val="nil"/>
              <w:bottom w:val="nil"/>
              <w:right w:val="nil"/>
            </w:tcBorders>
            <w:shd w:val="clear" w:color="auto" w:fill="auto"/>
            <w:vAlign w:val="center"/>
          </w:tcPr>
          <w:p w14:paraId="1AF22A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Participants, n (weighted state share)</w:t>
            </w:r>
          </w:p>
        </w:tc>
        <w:tc>
          <w:tcPr>
            <w:tcW w:w="0" w:type="auto"/>
            <w:tcBorders>
              <w:top w:val="nil"/>
              <w:left w:val="nil"/>
              <w:bottom w:val="nil"/>
              <w:right w:val="nil"/>
            </w:tcBorders>
            <w:shd w:val="clear" w:color="auto" w:fill="auto"/>
            <w:vAlign w:val="center"/>
          </w:tcPr>
          <w:p w14:paraId="57571A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 (100%)</w:t>
            </w:r>
          </w:p>
        </w:tc>
        <w:tc>
          <w:tcPr>
            <w:tcW w:w="0" w:type="auto"/>
            <w:tcBorders>
              <w:top w:val="nil"/>
              <w:left w:val="nil"/>
              <w:bottom w:val="nil"/>
              <w:right w:val="nil"/>
            </w:tcBorders>
            <w:shd w:val="clear" w:color="auto" w:fill="auto"/>
            <w:vAlign w:val="center"/>
          </w:tcPr>
          <w:p w14:paraId="43A41BF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4,991 (35.64%)</w:t>
            </w:r>
          </w:p>
        </w:tc>
        <w:tc>
          <w:tcPr>
            <w:tcW w:w="0" w:type="auto"/>
            <w:tcBorders>
              <w:top w:val="nil"/>
              <w:left w:val="nil"/>
              <w:bottom w:val="nil"/>
              <w:right w:val="nil"/>
            </w:tcBorders>
            <w:shd w:val="clear" w:color="auto" w:fill="auto"/>
            <w:vAlign w:val="center"/>
          </w:tcPr>
          <w:p w14:paraId="09D208B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1,554 (9.93%)</w:t>
            </w:r>
          </w:p>
        </w:tc>
        <w:tc>
          <w:tcPr>
            <w:tcW w:w="0" w:type="auto"/>
            <w:tcBorders>
              <w:top w:val="nil"/>
              <w:left w:val="nil"/>
              <w:bottom w:val="nil"/>
              <w:right w:val="nil"/>
            </w:tcBorders>
            <w:shd w:val="clear" w:color="auto" w:fill="auto"/>
            <w:vAlign w:val="center"/>
          </w:tcPr>
          <w:p w14:paraId="59A5CFA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436 (2.60%)</w:t>
            </w:r>
          </w:p>
        </w:tc>
        <w:tc>
          <w:tcPr>
            <w:tcW w:w="0" w:type="auto"/>
            <w:tcBorders>
              <w:top w:val="nil"/>
              <w:left w:val="nil"/>
              <w:bottom w:val="nil"/>
              <w:right w:val="nil"/>
            </w:tcBorders>
            <w:shd w:val="clear" w:color="auto" w:fill="auto"/>
            <w:vAlign w:val="center"/>
          </w:tcPr>
          <w:p w14:paraId="491B9B0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3,101 (17.36%)</w:t>
            </w:r>
          </w:p>
        </w:tc>
        <w:tc>
          <w:tcPr>
            <w:tcW w:w="0" w:type="auto"/>
            <w:tcBorders>
              <w:top w:val="nil"/>
              <w:left w:val="nil"/>
              <w:bottom w:val="nil"/>
              <w:right w:val="nil"/>
            </w:tcBorders>
            <w:shd w:val="clear" w:color="auto" w:fill="auto"/>
            <w:vAlign w:val="center"/>
          </w:tcPr>
          <w:p w14:paraId="431703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5,195 (31.60%)</w:t>
            </w:r>
          </w:p>
        </w:tc>
        <w:tc>
          <w:tcPr>
            <w:tcW w:w="0" w:type="auto"/>
            <w:tcBorders>
              <w:top w:val="nil"/>
              <w:left w:val="nil"/>
              <w:bottom w:val="nil"/>
              <w:right w:val="nil"/>
            </w:tcBorders>
            <w:shd w:val="clear" w:color="auto" w:fill="auto"/>
            <w:vAlign w:val="center"/>
          </w:tcPr>
          <w:p w14:paraId="64FBB7C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422 (2.87%)</w:t>
            </w:r>
          </w:p>
        </w:tc>
      </w:tr>
      <w:tr w:rsidR="00646F04" w:rsidRPr="00646F04" w14:paraId="598179CD" w14:textId="77777777" w:rsidTr="00646F04">
        <w:tc>
          <w:tcPr>
            <w:tcW w:w="0" w:type="auto"/>
            <w:tcBorders>
              <w:top w:val="nil"/>
              <w:left w:val="nil"/>
              <w:bottom w:val="nil"/>
              <w:right w:val="nil"/>
            </w:tcBorders>
            <w:shd w:val="clear" w:color="auto" w:fill="auto"/>
            <w:vAlign w:val="center"/>
          </w:tcPr>
          <w:p w14:paraId="5B10C07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Age, years</w:t>
            </w:r>
          </w:p>
        </w:tc>
        <w:tc>
          <w:tcPr>
            <w:tcW w:w="0" w:type="auto"/>
            <w:tcBorders>
              <w:top w:val="nil"/>
              <w:left w:val="nil"/>
              <w:bottom w:val="nil"/>
              <w:right w:val="nil"/>
            </w:tcBorders>
            <w:shd w:val="clear" w:color="auto" w:fill="auto"/>
            <w:vAlign w:val="center"/>
          </w:tcPr>
          <w:p w14:paraId="2CB53A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65.0 (10.3)</w:t>
            </w:r>
          </w:p>
        </w:tc>
        <w:tc>
          <w:tcPr>
            <w:tcW w:w="0" w:type="auto"/>
            <w:tcBorders>
              <w:top w:val="nil"/>
              <w:left w:val="nil"/>
              <w:bottom w:val="nil"/>
              <w:right w:val="nil"/>
            </w:tcBorders>
            <w:shd w:val="clear" w:color="auto" w:fill="auto"/>
            <w:vAlign w:val="center"/>
          </w:tcPr>
          <w:p w14:paraId="3F9D979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62.1 (9.2)</w:t>
            </w:r>
          </w:p>
        </w:tc>
        <w:tc>
          <w:tcPr>
            <w:tcW w:w="0" w:type="auto"/>
            <w:tcBorders>
              <w:top w:val="nil"/>
              <w:left w:val="nil"/>
              <w:bottom w:val="nil"/>
              <w:right w:val="nil"/>
            </w:tcBorders>
            <w:shd w:val="clear" w:color="auto" w:fill="auto"/>
            <w:vAlign w:val="center"/>
          </w:tcPr>
          <w:p w14:paraId="1BCCB8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64.4 (10.6)</w:t>
            </w:r>
          </w:p>
        </w:tc>
        <w:tc>
          <w:tcPr>
            <w:tcW w:w="0" w:type="auto"/>
            <w:tcBorders>
              <w:top w:val="nil"/>
              <w:left w:val="nil"/>
              <w:bottom w:val="nil"/>
              <w:right w:val="nil"/>
            </w:tcBorders>
            <w:shd w:val="clear" w:color="auto" w:fill="auto"/>
            <w:vAlign w:val="center"/>
          </w:tcPr>
          <w:p w14:paraId="17D74E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63.0 (9.4)</w:t>
            </w:r>
          </w:p>
        </w:tc>
        <w:tc>
          <w:tcPr>
            <w:tcW w:w="0" w:type="auto"/>
            <w:tcBorders>
              <w:top w:val="nil"/>
              <w:left w:val="nil"/>
              <w:bottom w:val="nil"/>
              <w:right w:val="nil"/>
            </w:tcBorders>
            <w:shd w:val="clear" w:color="auto" w:fill="auto"/>
            <w:vAlign w:val="center"/>
          </w:tcPr>
          <w:p w14:paraId="39E2AEB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68.6 (10.8)</w:t>
            </w:r>
          </w:p>
        </w:tc>
        <w:tc>
          <w:tcPr>
            <w:tcW w:w="0" w:type="auto"/>
            <w:tcBorders>
              <w:top w:val="nil"/>
              <w:left w:val="nil"/>
              <w:bottom w:val="nil"/>
              <w:right w:val="nil"/>
            </w:tcBorders>
            <w:shd w:val="clear" w:color="auto" w:fill="auto"/>
            <w:vAlign w:val="center"/>
          </w:tcPr>
          <w:p w14:paraId="48549F4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67.0 (10.2)</w:t>
            </w:r>
          </w:p>
        </w:tc>
        <w:tc>
          <w:tcPr>
            <w:tcW w:w="0" w:type="auto"/>
            <w:tcBorders>
              <w:top w:val="nil"/>
              <w:left w:val="nil"/>
              <w:bottom w:val="nil"/>
              <w:right w:val="nil"/>
            </w:tcBorders>
            <w:shd w:val="clear" w:color="auto" w:fill="auto"/>
            <w:vAlign w:val="center"/>
          </w:tcPr>
          <w:p w14:paraId="716F64F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63.2 (10.1)</w:t>
            </w:r>
          </w:p>
        </w:tc>
      </w:tr>
      <w:tr w:rsidR="00646F04" w:rsidRPr="00646F04" w14:paraId="08731910" w14:textId="77777777" w:rsidTr="00646F04">
        <w:tc>
          <w:tcPr>
            <w:tcW w:w="0" w:type="auto"/>
            <w:tcBorders>
              <w:top w:val="nil"/>
              <w:left w:val="nil"/>
              <w:bottom w:val="nil"/>
              <w:right w:val="nil"/>
            </w:tcBorders>
            <w:shd w:val="clear" w:color="auto" w:fill="auto"/>
            <w:vAlign w:val="center"/>
          </w:tcPr>
          <w:p w14:paraId="572A831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Women, %</w:t>
            </w:r>
          </w:p>
        </w:tc>
        <w:tc>
          <w:tcPr>
            <w:tcW w:w="0" w:type="auto"/>
            <w:tcBorders>
              <w:top w:val="nil"/>
              <w:left w:val="nil"/>
              <w:bottom w:val="nil"/>
              <w:right w:val="nil"/>
            </w:tcBorders>
            <w:shd w:val="clear" w:color="auto" w:fill="auto"/>
            <w:vAlign w:val="center"/>
          </w:tcPr>
          <w:p w14:paraId="14F4E0F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53.1</w:t>
            </w:r>
          </w:p>
        </w:tc>
        <w:tc>
          <w:tcPr>
            <w:tcW w:w="0" w:type="auto"/>
            <w:tcBorders>
              <w:top w:val="nil"/>
              <w:left w:val="nil"/>
              <w:bottom w:val="nil"/>
              <w:right w:val="nil"/>
            </w:tcBorders>
            <w:shd w:val="clear" w:color="auto" w:fill="auto"/>
            <w:vAlign w:val="center"/>
          </w:tcPr>
          <w:p w14:paraId="1167B0D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56.3</w:t>
            </w:r>
          </w:p>
        </w:tc>
        <w:tc>
          <w:tcPr>
            <w:tcW w:w="0" w:type="auto"/>
            <w:tcBorders>
              <w:top w:val="nil"/>
              <w:left w:val="nil"/>
              <w:bottom w:val="nil"/>
              <w:right w:val="nil"/>
            </w:tcBorders>
            <w:shd w:val="clear" w:color="auto" w:fill="auto"/>
            <w:vAlign w:val="center"/>
          </w:tcPr>
          <w:p w14:paraId="51F6D4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46.9</w:t>
            </w:r>
          </w:p>
        </w:tc>
        <w:tc>
          <w:tcPr>
            <w:tcW w:w="0" w:type="auto"/>
            <w:tcBorders>
              <w:top w:val="nil"/>
              <w:left w:val="nil"/>
              <w:bottom w:val="nil"/>
              <w:right w:val="nil"/>
            </w:tcBorders>
            <w:shd w:val="clear" w:color="auto" w:fill="auto"/>
            <w:vAlign w:val="center"/>
          </w:tcPr>
          <w:p w14:paraId="054EDA5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40.1</w:t>
            </w:r>
          </w:p>
        </w:tc>
        <w:tc>
          <w:tcPr>
            <w:tcW w:w="0" w:type="auto"/>
            <w:tcBorders>
              <w:top w:val="nil"/>
              <w:left w:val="nil"/>
              <w:bottom w:val="nil"/>
              <w:right w:val="nil"/>
            </w:tcBorders>
            <w:shd w:val="clear" w:color="auto" w:fill="auto"/>
            <w:vAlign w:val="center"/>
          </w:tcPr>
          <w:p w14:paraId="3D1B57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50.5</w:t>
            </w:r>
          </w:p>
        </w:tc>
        <w:tc>
          <w:tcPr>
            <w:tcW w:w="0" w:type="auto"/>
            <w:tcBorders>
              <w:top w:val="nil"/>
              <w:left w:val="nil"/>
              <w:bottom w:val="nil"/>
              <w:right w:val="nil"/>
            </w:tcBorders>
            <w:shd w:val="clear" w:color="auto" w:fill="auto"/>
            <w:vAlign w:val="center"/>
          </w:tcPr>
          <w:p w14:paraId="5CF136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54.8</w:t>
            </w:r>
          </w:p>
        </w:tc>
        <w:tc>
          <w:tcPr>
            <w:tcW w:w="0" w:type="auto"/>
            <w:tcBorders>
              <w:top w:val="nil"/>
              <w:left w:val="nil"/>
              <w:bottom w:val="nil"/>
              <w:right w:val="nil"/>
            </w:tcBorders>
            <w:shd w:val="clear" w:color="auto" w:fill="auto"/>
            <w:vAlign w:val="center"/>
          </w:tcPr>
          <w:p w14:paraId="2CC123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44.4</w:t>
            </w:r>
          </w:p>
        </w:tc>
      </w:tr>
      <w:tr w:rsidR="00646F04" w:rsidRPr="00646F04" w14:paraId="7EB7E94E" w14:textId="77777777" w:rsidTr="00646F04">
        <w:tc>
          <w:tcPr>
            <w:tcW w:w="0" w:type="auto"/>
            <w:tcBorders>
              <w:top w:val="nil"/>
              <w:left w:val="nil"/>
              <w:bottom w:val="nil"/>
              <w:right w:val="nil"/>
            </w:tcBorders>
            <w:shd w:val="clear" w:color="auto" w:fill="auto"/>
            <w:vAlign w:val="center"/>
          </w:tcPr>
          <w:p w14:paraId="42952C1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Systolic BP, mmHg</w:t>
            </w:r>
          </w:p>
        </w:tc>
        <w:tc>
          <w:tcPr>
            <w:tcW w:w="0" w:type="auto"/>
            <w:tcBorders>
              <w:top w:val="nil"/>
              <w:left w:val="nil"/>
              <w:bottom w:val="nil"/>
              <w:right w:val="nil"/>
            </w:tcBorders>
            <w:shd w:val="clear" w:color="auto" w:fill="auto"/>
            <w:vAlign w:val="center"/>
          </w:tcPr>
          <w:p w14:paraId="6FCA42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128.7 (19.8)</w:t>
            </w:r>
          </w:p>
        </w:tc>
        <w:tc>
          <w:tcPr>
            <w:tcW w:w="0" w:type="auto"/>
            <w:tcBorders>
              <w:top w:val="nil"/>
              <w:left w:val="nil"/>
              <w:bottom w:val="nil"/>
              <w:right w:val="nil"/>
            </w:tcBorders>
            <w:shd w:val="clear" w:color="auto" w:fill="auto"/>
            <w:vAlign w:val="center"/>
          </w:tcPr>
          <w:p w14:paraId="3D5E88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117.0 (12.2)</w:t>
            </w:r>
          </w:p>
        </w:tc>
        <w:tc>
          <w:tcPr>
            <w:tcW w:w="0" w:type="auto"/>
            <w:tcBorders>
              <w:top w:val="nil"/>
              <w:left w:val="nil"/>
              <w:bottom w:val="nil"/>
              <w:right w:val="nil"/>
            </w:tcBorders>
            <w:shd w:val="clear" w:color="auto" w:fill="auto"/>
            <w:vAlign w:val="center"/>
          </w:tcPr>
          <w:p w14:paraId="6E99DD2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148.2 (13.9)</w:t>
            </w:r>
          </w:p>
        </w:tc>
        <w:tc>
          <w:tcPr>
            <w:tcW w:w="0" w:type="auto"/>
            <w:tcBorders>
              <w:top w:val="nil"/>
              <w:left w:val="nil"/>
              <w:bottom w:val="nil"/>
              <w:right w:val="nil"/>
            </w:tcBorders>
            <w:shd w:val="clear" w:color="auto" w:fill="auto"/>
            <w:vAlign w:val="center"/>
          </w:tcPr>
          <w:p w14:paraId="1FC6796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153.5 (18.4)</w:t>
            </w:r>
          </w:p>
        </w:tc>
        <w:tc>
          <w:tcPr>
            <w:tcW w:w="0" w:type="auto"/>
            <w:tcBorders>
              <w:top w:val="nil"/>
              <w:left w:val="nil"/>
              <w:bottom w:val="nil"/>
              <w:right w:val="nil"/>
            </w:tcBorders>
            <w:shd w:val="clear" w:color="auto" w:fill="auto"/>
            <w:vAlign w:val="center"/>
          </w:tcPr>
          <w:p w14:paraId="1C2C936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152.8 (15.2)</w:t>
            </w:r>
          </w:p>
        </w:tc>
        <w:tc>
          <w:tcPr>
            <w:tcW w:w="0" w:type="auto"/>
            <w:tcBorders>
              <w:top w:val="nil"/>
              <w:left w:val="nil"/>
              <w:bottom w:val="nil"/>
              <w:right w:val="nil"/>
            </w:tcBorders>
            <w:shd w:val="clear" w:color="auto" w:fill="auto"/>
            <w:vAlign w:val="center"/>
          </w:tcPr>
          <w:p w14:paraId="751EA8B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121.0 (11.8)</w:t>
            </w:r>
          </w:p>
        </w:tc>
        <w:tc>
          <w:tcPr>
            <w:tcW w:w="0" w:type="auto"/>
            <w:tcBorders>
              <w:top w:val="nil"/>
              <w:left w:val="nil"/>
              <w:bottom w:val="nil"/>
              <w:right w:val="nil"/>
            </w:tcBorders>
            <w:shd w:val="clear" w:color="auto" w:fill="auto"/>
            <w:vAlign w:val="center"/>
          </w:tcPr>
          <w:p w14:paraId="343C0C7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122.1 (11.5)</w:t>
            </w:r>
          </w:p>
        </w:tc>
      </w:tr>
      <w:tr w:rsidR="00646F04" w:rsidRPr="00646F04" w14:paraId="5ECDB934" w14:textId="77777777" w:rsidTr="00646F04">
        <w:tc>
          <w:tcPr>
            <w:tcW w:w="0" w:type="auto"/>
            <w:tcBorders>
              <w:top w:val="nil"/>
              <w:left w:val="nil"/>
              <w:bottom w:val="nil"/>
              <w:right w:val="nil"/>
            </w:tcBorders>
            <w:shd w:val="clear" w:color="auto" w:fill="auto"/>
            <w:vAlign w:val="center"/>
          </w:tcPr>
          <w:p w14:paraId="707E43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Diastolic BP, mmHg</w:t>
            </w:r>
          </w:p>
        </w:tc>
        <w:tc>
          <w:tcPr>
            <w:tcW w:w="0" w:type="auto"/>
            <w:tcBorders>
              <w:top w:val="nil"/>
              <w:left w:val="nil"/>
              <w:bottom w:val="nil"/>
              <w:right w:val="nil"/>
            </w:tcBorders>
            <w:shd w:val="clear" w:color="auto" w:fill="auto"/>
            <w:vAlign w:val="center"/>
          </w:tcPr>
          <w:p w14:paraId="36F55F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79.2 (11.6)</w:t>
            </w:r>
          </w:p>
        </w:tc>
        <w:tc>
          <w:tcPr>
            <w:tcW w:w="0" w:type="auto"/>
            <w:tcBorders>
              <w:top w:val="nil"/>
              <w:left w:val="nil"/>
              <w:bottom w:val="nil"/>
              <w:right w:val="nil"/>
            </w:tcBorders>
            <w:shd w:val="clear" w:color="auto" w:fill="auto"/>
            <w:vAlign w:val="center"/>
          </w:tcPr>
          <w:p w14:paraId="7E65BC6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74.3 (8.3)</w:t>
            </w:r>
          </w:p>
        </w:tc>
        <w:tc>
          <w:tcPr>
            <w:tcW w:w="0" w:type="auto"/>
            <w:tcBorders>
              <w:top w:val="nil"/>
              <w:left w:val="nil"/>
              <w:bottom w:val="nil"/>
              <w:right w:val="nil"/>
            </w:tcBorders>
            <w:shd w:val="clear" w:color="auto" w:fill="auto"/>
            <w:vAlign w:val="center"/>
          </w:tcPr>
          <w:p w14:paraId="1FFAB6B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91.1 (9.0)</w:t>
            </w:r>
          </w:p>
        </w:tc>
        <w:tc>
          <w:tcPr>
            <w:tcW w:w="0" w:type="auto"/>
            <w:tcBorders>
              <w:top w:val="nil"/>
              <w:left w:val="nil"/>
              <w:bottom w:val="nil"/>
              <w:right w:val="nil"/>
            </w:tcBorders>
            <w:shd w:val="clear" w:color="auto" w:fill="auto"/>
            <w:vAlign w:val="center"/>
          </w:tcPr>
          <w:p w14:paraId="7040033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94.7 (10.8)</w:t>
            </w:r>
          </w:p>
        </w:tc>
        <w:tc>
          <w:tcPr>
            <w:tcW w:w="0" w:type="auto"/>
            <w:tcBorders>
              <w:top w:val="nil"/>
              <w:left w:val="nil"/>
              <w:bottom w:val="nil"/>
              <w:right w:val="nil"/>
            </w:tcBorders>
            <w:shd w:val="clear" w:color="auto" w:fill="auto"/>
            <w:vAlign w:val="center"/>
          </w:tcPr>
          <w:p w14:paraId="62C8171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89.4 (10.9)</w:t>
            </w:r>
          </w:p>
        </w:tc>
        <w:tc>
          <w:tcPr>
            <w:tcW w:w="0" w:type="auto"/>
            <w:tcBorders>
              <w:top w:val="nil"/>
              <w:left w:val="nil"/>
              <w:bottom w:val="nil"/>
              <w:right w:val="nil"/>
            </w:tcBorders>
            <w:shd w:val="clear" w:color="auto" w:fill="auto"/>
            <w:vAlign w:val="center"/>
          </w:tcPr>
          <w:p w14:paraId="3129C91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74.2 (8.4)</w:t>
            </w:r>
          </w:p>
        </w:tc>
        <w:tc>
          <w:tcPr>
            <w:tcW w:w="0" w:type="auto"/>
            <w:tcBorders>
              <w:top w:val="nil"/>
              <w:left w:val="nil"/>
              <w:bottom w:val="nil"/>
              <w:right w:val="nil"/>
            </w:tcBorders>
            <w:shd w:val="clear" w:color="auto" w:fill="auto"/>
            <w:vAlign w:val="center"/>
          </w:tcPr>
          <w:p w14:paraId="2B14FA2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76.9 (8.4)</w:t>
            </w:r>
          </w:p>
        </w:tc>
      </w:tr>
      <w:tr w:rsidR="00646F04" w:rsidRPr="00646F04" w14:paraId="120DD2F0" w14:textId="77777777" w:rsidTr="00646F04">
        <w:tc>
          <w:tcPr>
            <w:tcW w:w="0" w:type="auto"/>
            <w:tcBorders>
              <w:top w:val="nil"/>
              <w:left w:val="nil"/>
              <w:bottom w:val="nil"/>
              <w:right w:val="nil"/>
            </w:tcBorders>
            <w:shd w:val="clear" w:color="auto" w:fill="auto"/>
            <w:vAlign w:val="center"/>
          </w:tcPr>
          <w:p w14:paraId="1546F69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Body mass index, kg/m²</w:t>
            </w:r>
          </w:p>
        </w:tc>
        <w:tc>
          <w:tcPr>
            <w:tcW w:w="0" w:type="auto"/>
            <w:tcBorders>
              <w:top w:val="nil"/>
              <w:left w:val="nil"/>
              <w:bottom w:val="nil"/>
              <w:right w:val="nil"/>
            </w:tcBorders>
            <w:shd w:val="clear" w:color="auto" w:fill="auto"/>
            <w:vAlign w:val="center"/>
          </w:tcPr>
          <w:p w14:paraId="5E6E5AD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29.5 (5.9)</w:t>
            </w:r>
          </w:p>
        </w:tc>
        <w:tc>
          <w:tcPr>
            <w:tcW w:w="0" w:type="auto"/>
            <w:tcBorders>
              <w:top w:val="nil"/>
              <w:left w:val="nil"/>
              <w:bottom w:val="nil"/>
              <w:right w:val="nil"/>
            </w:tcBorders>
            <w:shd w:val="clear" w:color="auto" w:fill="auto"/>
            <w:vAlign w:val="center"/>
          </w:tcPr>
          <w:p w14:paraId="4A9ECF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27.8 (5.3)</w:t>
            </w:r>
          </w:p>
        </w:tc>
        <w:tc>
          <w:tcPr>
            <w:tcW w:w="0" w:type="auto"/>
            <w:tcBorders>
              <w:top w:val="nil"/>
              <w:left w:val="nil"/>
              <w:bottom w:val="nil"/>
              <w:right w:val="nil"/>
            </w:tcBorders>
            <w:shd w:val="clear" w:color="auto" w:fill="auto"/>
            <w:vAlign w:val="center"/>
          </w:tcPr>
          <w:p w14:paraId="498F32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29.1 (5.6)</w:t>
            </w:r>
          </w:p>
        </w:tc>
        <w:tc>
          <w:tcPr>
            <w:tcW w:w="0" w:type="auto"/>
            <w:tcBorders>
              <w:top w:val="nil"/>
              <w:left w:val="nil"/>
              <w:bottom w:val="nil"/>
              <w:right w:val="nil"/>
            </w:tcBorders>
            <w:shd w:val="clear" w:color="auto" w:fill="auto"/>
            <w:vAlign w:val="center"/>
          </w:tcPr>
          <w:p w14:paraId="158A326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30.7 (6.2)</w:t>
            </w:r>
          </w:p>
        </w:tc>
        <w:tc>
          <w:tcPr>
            <w:tcW w:w="0" w:type="auto"/>
            <w:tcBorders>
              <w:top w:val="nil"/>
              <w:left w:val="nil"/>
              <w:bottom w:val="nil"/>
              <w:right w:val="nil"/>
            </w:tcBorders>
            <w:shd w:val="clear" w:color="auto" w:fill="auto"/>
            <w:vAlign w:val="center"/>
          </w:tcPr>
          <w:p w14:paraId="71BD7A1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30.7 (6.1)</w:t>
            </w:r>
          </w:p>
        </w:tc>
        <w:tc>
          <w:tcPr>
            <w:tcW w:w="0" w:type="auto"/>
            <w:tcBorders>
              <w:top w:val="nil"/>
              <w:left w:val="nil"/>
              <w:bottom w:val="nil"/>
              <w:right w:val="nil"/>
            </w:tcBorders>
            <w:shd w:val="clear" w:color="auto" w:fill="auto"/>
            <w:vAlign w:val="center"/>
          </w:tcPr>
          <w:p w14:paraId="0D0236F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30.8 (6.0)</w:t>
            </w:r>
          </w:p>
        </w:tc>
        <w:tc>
          <w:tcPr>
            <w:tcW w:w="0" w:type="auto"/>
            <w:tcBorders>
              <w:top w:val="nil"/>
              <w:left w:val="nil"/>
              <w:bottom w:val="nil"/>
              <w:right w:val="nil"/>
            </w:tcBorders>
            <w:shd w:val="clear" w:color="auto" w:fill="auto"/>
            <w:vAlign w:val="center"/>
          </w:tcPr>
          <w:p w14:paraId="2903CE4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28.8 (5.5)</w:t>
            </w:r>
          </w:p>
        </w:tc>
      </w:tr>
      <w:tr w:rsidR="00646F04" w:rsidRPr="00646F04" w14:paraId="477C6680" w14:textId="77777777" w:rsidTr="00646F04">
        <w:tc>
          <w:tcPr>
            <w:tcW w:w="0" w:type="auto"/>
            <w:tcBorders>
              <w:top w:val="nil"/>
              <w:left w:val="nil"/>
              <w:bottom w:val="nil"/>
              <w:right w:val="nil"/>
            </w:tcBorders>
            <w:shd w:val="clear" w:color="auto" w:fill="auto"/>
            <w:vAlign w:val="center"/>
          </w:tcPr>
          <w:p w14:paraId="376203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Non-hypertension disease count (0–7)</w:t>
            </w:r>
          </w:p>
        </w:tc>
        <w:tc>
          <w:tcPr>
            <w:tcW w:w="0" w:type="auto"/>
            <w:tcBorders>
              <w:top w:val="nil"/>
              <w:left w:val="nil"/>
              <w:bottom w:val="nil"/>
              <w:right w:val="nil"/>
            </w:tcBorders>
            <w:shd w:val="clear" w:color="auto" w:fill="auto"/>
            <w:vAlign w:val="center"/>
          </w:tcPr>
          <w:p w14:paraId="463895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1.40 (1.24)</w:t>
            </w:r>
          </w:p>
        </w:tc>
        <w:tc>
          <w:tcPr>
            <w:tcW w:w="0" w:type="auto"/>
            <w:tcBorders>
              <w:top w:val="nil"/>
              <w:left w:val="nil"/>
              <w:bottom w:val="nil"/>
              <w:right w:val="nil"/>
            </w:tcBorders>
            <w:shd w:val="clear" w:color="auto" w:fill="auto"/>
            <w:vAlign w:val="center"/>
          </w:tcPr>
          <w:p w14:paraId="03C4B64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 (1.04)</w:t>
            </w:r>
          </w:p>
        </w:tc>
        <w:tc>
          <w:tcPr>
            <w:tcW w:w="0" w:type="auto"/>
            <w:tcBorders>
              <w:top w:val="nil"/>
              <w:left w:val="nil"/>
              <w:bottom w:val="nil"/>
              <w:right w:val="nil"/>
            </w:tcBorders>
            <w:shd w:val="clear" w:color="auto" w:fill="auto"/>
            <w:vAlign w:val="center"/>
          </w:tcPr>
          <w:p w14:paraId="2C911BE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0.93 (1.00)</w:t>
            </w:r>
          </w:p>
        </w:tc>
        <w:tc>
          <w:tcPr>
            <w:tcW w:w="0" w:type="auto"/>
            <w:tcBorders>
              <w:top w:val="nil"/>
              <w:left w:val="nil"/>
              <w:bottom w:val="nil"/>
              <w:right w:val="nil"/>
            </w:tcBorders>
            <w:shd w:val="clear" w:color="auto" w:fill="auto"/>
            <w:vAlign w:val="center"/>
          </w:tcPr>
          <w:p w14:paraId="55E7640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1.27 (1.26)</w:t>
            </w:r>
          </w:p>
        </w:tc>
        <w:tc>
          <w:tcPr>
            <w:tcW w:w="0" w:type="auto"/>
            <w:tcBorders>
              <w:top w:val="nil"/>
              <w:left w:val="nil"/>
              <w:bottom w:val="nil"/>
              <w:right w:val="nil"/>
            </w:tcBorders>
            <w:shd w:val="clear" w:color="auto" w:fill="auto"/>
            <w:vAlign w:val="center"/>
          </w:tcPr>
          <w:p w14:paraId="28F5197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1.76 (1.27)</w:t>
            </w:r>
          </w:p>
        </w:tc>
        <w:tc>
          <w:tcPr>
            <w:tcW w:w="0" w:type="auto"/>
            <w:tcBorders>
              <w:top w:val="nil"/>
              <w:left w:val="nil"/>
              <w:bottom w:val="nil"/>
              <w:right w:val="nil"/>
            </w:tcBorders>
            <w:shd w:val="clear" w:color="auto" w:fill="auto"/>
            <w:vAlign w:val="center"/>
          </w:tcPr>
          <w:p w14:paraId="5DDFAC0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1.79 (1.30)</w:t>
            </w:r>
          </w:p>
        </w:tc>
        <w:tc>
          <w:tcPr>
            <w:tcW w:w="0" w:type="auto"/>
            <w:tcBorders>
              <w:top w:val="nil"/>
              <w:left w:val="nil"/>
              <w:bottom w:val="nil"/>
              <w:right w:val="nil"/>
            </w:tcBorders>
            <w:shd w:val="clear" w:color="auto" w:fill="auto"/>
            <w:vAlign w:val="center"/>
          </w:tcPr>
          <w:p w14:paraId="68D827D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1.58 (1.27)</w:t>
            </w:r>
          </w:p>
        </w:tc>
      </w:tr>
      <w:tr w:rsidR="00646F04" w:rsidRPr="00646F04" w14:paraId="33593842" w14:textId="77777777" w:rsidTr="00646F04">
        <w:tc>
          <w:tcPr>
            <w:tcW w:w="0" w:type="auto"/>
            <w:tcBorders>
              <w:top w:val="nil"/>
              <w:left w:val="nil"/>
              <w:bottom w:val="nil"/>
              <w:right w:val="nil"/>
            </w:tcBorders>
            <w:shd w:val="clear" w:color="auto" w:fill="auto"/>
            <w:vAlign w:val="center"/>
          </w:tcPr>
          <w:p w14:paraId="0A7513B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Complex multimorbidity (≥2 diseases), %</w:t>
            </w:r>
          </w:p>
        </w:tc>
        <w:tc>
          <w:tcPr>
            <w:tcW w:w="0" w:type="auto"/>
            <w:tcBorders>
              <w:top w:val="nil"/>
              <w:left w:val="nil"/>
              <w:bottom w:val="nil"/>
              <w:right w:val="nil"/>
            </w:tcBorders>
            <w:shd w:val="clear" w:color="auto" w:fill="auto"/>
            <w:vAlign w:val="center"/>
          </w:tcPr>
          <w:p w14:paraId="48823D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41.0</w:t>
            </w:r>
          </w:p>
        </w:tc>
        <w:tc>
          <w:tcPr>
            <w:tcW w:w="0" w:type="auto"/>
            <w:tcBorders>
              <w:top w:val="nil"/>
              <w:left w:val="nil"/>
              <w:bottom w:val="nil"/>
              <w:right w:val="nil"/>
            </w:tcBorders>
            <w:shd w:val="clear" w:color="auto" w:fill="auto"/>
            <w:vAlign w:val="center"/>
          </w:tcPr>
          <w:p w14:paraId="4789D80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27.5</w:t>
            </w:r>
          </w:p>
        </w:tc>
        <w:tc>
          <w:tcPr>
            <w:tcW w:w="0" w:type="auto"/>
            <w:tcBorders>
              <w:top w:val="nil"/>
              <w:left w:val="nil"/>
              <w:bottom w:val="nil"/>
              <w:right w:val="nil"/>
            </w:tcBorders>
            <w:shd w:val="clear" w:color="auto" w:fill="auto"/>
            <w:vAlign w:val="center"/>
          </w:tcPr>
          <w:p w14:paraId="0E30AC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24.7</w:t>
            </w:r>
          </w:p>
        </w:tc>
        <w:tc>
          <w:tcPr>
            <w:tcW w:w="0" w:type="auto"/>
            <w:tcBorders>
              <w:top w:val="nil"/>
              <w:left w:val="nil"/>
              <w:bottom w:val="nil"/>
              <w:right w:val="nil"/>
            </w:tcBorders>
            <w:shd w:val="clear" w:color="auto" w:fill="auto"/>
            <w:vAlign w:val="center"/>
          </w:tcPr>
          <w:p w14:paraId="7C4B1A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37.3</w:t>
            </w:r>
          </w:p>
        </w:tc>
        <w:tc>
          <w:tcPr>
            <w:tcW w:w="0" w:type="auto"/>
            <w:tcBorders>
              <w:top w:val="nil"/>
              <w:left w:val="nil"/>
              <w:bottom w:val="nil"/>
              <w:right w:val="nil"/>
            </w:tcBorders>
            <w:shd w:val="clear" w:color="auto" w:fill="auto"/>
            <w:vAlign w:val="center"/>
          </w:tcPr>
          <w:p w14:paraId="685061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53.4</w:t>
            </w:r>
          </w:p>
        </w:tc>
        <w:tc>
          <w:tcPr>
            <w:tcW w:w="0" w:type="auto"/>
            <w:tcBorders>
              <w:top w:val="nil"/>
              <w:left w:val="nil"/>
              <w:bottom w:val="nil"/>
              <w:right w:val="nil"/>
            </w:tcBorders>
            <w:shd w:val="clear" w:color="auto" w:fill="auto"/>
            <w:vAlign w:val="center"/>
          </w:tcPr>
          <w:p w14:paraId="6EC5A1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54.3</w:t>
            </w:r>
          </w:p>
        </w:tc>
        <w:tc>
          <w:tcPr>
            <w:tcW w:w="0" w:type="auto"/>
            <w:tcBorders>
              <w:top w:val="nil"/>
              <w:left w:val="nil"/>
              <w:bottom w:val="nil"/>
              <w:right w:val="nil"/>
            </w:tcBorders>
            <w:shd w:val="clear" w:color="auto" w:fill="auto"/>
            <w:vAlign w:val="center"/>
          </w:tcPr>
          <w:p w14:paraId="2ECE171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46.3</w:t>
            </w:r>
          </w:p>
        </w:tc>
      </w:tr>
      <w:tr w:rsidR="00646F04" w:rsidRPr="00646F04" w14:paraId="0DABFD2C" w14:textId="77777777" w:rsidTr="00646F04">
        <w:tc>
          <w:tcPr>
            <w:tcW w:w="0" w:type="auto"/>
            <w:tcBorders>
              <w:top w:val="nil"/>
              <w:left w:val="nil"/>
              <w:bottom w:val="nil"/>
              <w:right w:val="nil"/>
            </w:tcBorders>
            <w:shd w:val="clear" w:color="auto" w:fill="auto"/>
            <w:vAlign w:val="center"/>
          </w:tcPr>
          <w:p w14:paraId="00D0007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ADL difficulty, %</w:t>
            </w:r>
          </w:p>
        </w:tc>
        <w:tc>
          <w:tcPr>
            <w:tcW w:w="0" w:type="auto"/>
            <w:tcBorders>
              <w:top w:val="nil"/>
              <w:left w:val="nil"/>
              <w:bottom w:val="nil"/>
              <w:right w:val="nil"/>
            </w:tcBorders>
            <w:shd w:val="clear" w:color="auto" w:fill="auto"/>
            <w:vAlign w:val="center"/>
          </w:tcPr>
          <w:p w14:paraId="46AE897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14.3</w:t>
            </w:r>
          </w:p>
        </w:tc>
        <w:tc>
          <w:tcPr>
            <w:tcW w:w="0" w:type="auto"/>
            <w:tcBorders>
              <w:top w:val="nil"/>
              <w:left w:val="nil"/>
              <w:bottom w:val="nil"/>
              <w:right w:val="nil"/>
            </w:tcBorders>
            <w:shd w:val="clear" w:color="auto" w:fill="auto"/>
            <w:vAlign w:val="center"/>
          </w:tcPr>
          <w:p w14:paraId="30DC182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9.8</w:t>
            </w:r>
          </w:p>
        </w:tc>
        <w:tc>
          <w:tcPr>
            <w:tcW w:w="0" w:type="auto"/>
            <w:tcBorders>
              <w:top w:val="nil"/>
              <w:left w:val="nil"/>
              <w:bottom w:val="nil"/>
              <w:right w:val="nil"/>
            </w:tcBorders>
            <w:shd w:val="clear" w:color="auto" w:fill="auto"/>
            <w:vAlign w:val="center"/>
          </w:tcPr>
          <w:p w14:paraId="0696B25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9.0</w:t>
            </w:r>
          </w:p>
        </w:tc>
        <w:tc>
          <w:tcPr>
            <w:tcW w:w="0" w:type="auto"/>
            <w:tcBorders>
              <w:top w:val="nil"/>
              <w:left w:val="nil"/>
              <w:bottom w:val="nil"/>
              <w:right w:val="nil"/>
            </w:tcBorders>
            <w:shd w:val="clear" w:color="auto" w:fill="auto"/>
            <w:vAlign w:val="center"/>
          </w:tcPr>
          <w:p w14:paraId="5E453D6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15.2</w:t>
            </w:r>
          </w:p>
        </w:tc>
        <w:tc>
          <w:tcPr>
            <w:tcW w:w="0" w:type="auto"/>
            <w:tcBorders>
              <w:top w:val="nil"/>
              <w:left w:val="nil"/>
              <w:bottom w:val="nil"/>
              <w:right w:val="nil"/>
            </w:tcBorders>
            <w:shd w:val="clear" w:color="auto" w:fill="auto"/>
            <w:vAlign w:val="center"/>
          </w:tcPr>
          <w:p w14:paraId="2150706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18.8</w:t>
            </w:r>
          </w:p>
        </w:tc>
        <w:tc>
          <w:tcPr>
            <w:tcW w:w="0" w:type="auto"/>
            <w:tcBorders>
              <w:top w:val="nil"/>
              <w:left w:val="nil"/>
              <w:bottom w:val="nil"/>
              <w:right w:val="nil"/>
            </w:tcBorders>
            <w:shd w:val="clear" w:color="auto" w:fill="auto"/>
            <w:vAlign w:val="center"/>
          </w:tcPr>
          <w:p w14:paraId="25F5FCA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17.8</w:t>
            </w:r>
          </w:p>
        </w:tc>
        <w:tc>
          <w:tcPr>
            <w:tcW w:w="0" w:type="auto"/>
            <w:tcBorders>
              <w:top w:val="nil"/>
              <w:left w:val="nil"/>
              <w:bottom w:val="nil"/>
              <w:right w:val="nil"/>
            </w:tcBorders>
            <w:shd w:val="clear" w:color="auto" w:fill="auto"/>
            <w:vAlign w:val="center"/>
          </w:tcPr>
          <w:p w14:paraId="68EAAAE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21.3</w:t>
            </w:r>
          </w:p>
        </w:tc>
      </w:tr>
      <w:tr w:rsidR="00646F04" w:rsidRPr="00646F04" w14:paraId="59A670C1" w14:textId="77777777" w:rsidTr="00646F04">
        <w:tc>
          <w:tcPr>
            <w:tcW w:w="0" w:type="auto"/>
            <w:tcBorders>
              <w:top w:val="nil"/>
              <w:left w:val="nil"/>
              <w:bottom w:val="single" w:sz="8" w:space="0" w:color="404040"/>
              <w:right w:val="nil"/>
            </w:tcBorders>
            <w:shd w:val="clear" w:color="auto" w:fill="auto"/>
            <w:vAlign w:val="center"/>
          </w:tcPr>
          <w:p w14:paraId="1A1C47D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lastRenderedPageBreak/>
              <w:t>Any IADL difficulty, %</w:t>
            </w:r>
          </w:p>
        </w:tc>
        <w:tc>
          <w:tcPr>
            <w:tcW w:w="0" w:type="auto"/>
            <w:tcBorders>
              <w:top w:val="nil"/>
              <w:left w:val="nil"/>
              <w:bottom w:val="single" w:sz="8" w:space="0" w:color="404040"/>
              <w:right w:val="nil"/>
            </w:tcBorders>
            <w:shd w:val="clear" w:color="auto" w:fill="auto"/>
            <w:vAlign w:val="center"/>
          </w:tcPr>
          <w:p w14:paraId="49FDE30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12.4</w:t>
            </w:r>
          </w:p>
        </w:tc>
        <w:tc>
          <w:tcPr>
            <w:tcW w:w="0" w:type="auto"/>
            <w:tcBorders>
              <w:top w:val="nil"/>
              <w:left w:val="nil"/>
              <w:bottom w:val="single" w:sz="8" w:space="0" w:color="404040"/>
              <w:right w:val="nil"/>
            </w:tcBorders>
            <w:shd w:val="clear" w:color="auto" w:fill="auto"/>
            <w:vAlign w:val="center"/>
          </w:tcPr>
          <w:p w14:paraId="2BFBFD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7.6</w:t>
            </w:r>
          </w:p>
        </w:tc>
        <w:tc>
          <w:tcPr>
            <w:tcW w:w="0" w:type="auto"/>
            <w:tcBorders>
              <w:top w:val="nil"/>
              <w:left w:val="nil"/>
              <w:bottom w:val="single" w:sz="8" w:space="0" w:color="404040"/>
              <w:right w:val="nil"/>
            </w:tcBorders>
            <w:shd w:val="clear" w:color="auto" w:fill="auto"/>
            <w:vAlign w:val="center"/>
          </w:tcPr>
          <w:p w14:paraId="7D2D966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7.9</w:t>
            </w:r>
          </w:p>
        </w:tc>
        <w:tc>
          <w:tcPr>
            <w:tcW w:w="0" w:type="auto"/>
            <w:tcBorders>
              <w:top w:val="nil"/>
              <w:left w:val="nil"/>
              <w:bottom w:val="single" w:sz="8" w:space="0" w:color="404040"/>
              <w:right w:val="nil"/>
            </w:tcBorders>
            <w:shd w:val="clear" w:color="auto" w:fill="auto"/>
            <w:vAlign w:val="center"/>
          </w:tcPr>
          <w:p w14:paraId="58F081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16.8</w:t>
            </w:r>
          </w:p>
        </w:tc>
        <w:tc>
          <w:tcPr>
            <w:tcW w:w="0" w:type="auto"/>
            <w:tcBorders>
              <w:top w:val="nil"/>
              <w:left w:val="nil"/>
              <w:bottom w:val="single" w:sz="8" w:space="0" w:color="404040"/>
              <w:right w:val="nil"/>
            </w:tcBorders>
            <w:shd w:val="clear" w:color="auto" w:fill="auto"/>
            <w:vAlign w:val="center"/>
          </w:tcPr>
          <w:p w14:paraId="1DA8DF2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16.1</w:t>
            </w:r>
          </w:p>
        </w:tc>
        <w:tc>
          <w:tcPr>
            <w:tcW w:w="0" w:type="auto"/>
            <w:tcBorders>
              <w:top w:val="nil"/>
              <w:left w:val="nil"/>
              <w:bottom w:val="single" w:sz="8" w:space="0" w:color="404040"/>
              <w:right w:val="nil"/>
            </w:tcBorders>
            <w:shd w:val="clear" w:color="auto" w:fill="auto"/>
            <w:vAlign w:val="center"/>
          </w:tcPr>
          <w:p w14:paraId="72862F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16.0</w:t>
            </w:r>
          </w:p>
        </w:tc>
        <w:tc>
          <w:tcPr>
            <w:tcW w:w="0" w:type="auto"/>
            <w:tcBorders>
              <w:top w:val="nil"/>
              <w:left w:val="nil"/>
              <w:bottom w:val="single" w:sz="8" w:space="0" w:color="404040"/>
              <w:right w:val="nil"/>
            </w:tcBorders>
            <w:shd w:val="clear" w:color="auto" w:fill="auto"/>
            <w:vAlign w:val="center"/>
          </w:tcPr>
          <w:p w14:paraId="20D9ABF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23.1</w:t>
            </w:r>
          </w:p>
        </w:tc>
      </w:tr>
    </w:tbl>
    <w:p w14:paraId="61407008" w14:textId="77777777" w:rsidR="001C2B6A" w:rsidRPr="00646F04" w:rsidRDefault="00000000">
      <w:pPr>
        <w:pStyle w:val="a0"/>
        <w:rPr>
          <w:color w:val="000000" w:themeColor="text1"/>
        </w:rPr>
      </w:pPr>
      <w:r w:rsidRPr="00646F04">
        <w:rPr>
          <w:rFonts w:eastAsia="Source Han Serif SC"/>
          <w:b/>
          <w:bCs/>
          <w:color w:val="000000" w:themeColor="text1"/>
        </w:rPr>
        <w:t>Notes.</w:t>
      </w:r>
      <w:r w:rsidRPr="00646F04">
        <w:rPr>
          <w:rFonts w:eastAsia="Source Han Serif SC"/>
          <w:color w:val="000000" w:themeColor="text1"/>
        </w:rPr>
        <w:t xml:space="preserve"> Continuous values are survey-weighted mean (SD); binary values are survey-weighted percentages. The participant row gives source-roster n and weighted state shares. HRS has 316 source-roster participants without a positive baseline analysis weight; non-missing denominators therefore vary and are available from the corresponding author on reasonable request. Contextual baseline variables (wealth, CES-D6, activity, insurance, utilisation, proxy/mode) are documented by wave in Table S3 and included in the adjusted/balance models; their full state-specific summaries, non-missing denominators, individual diseases and reserve components are available from the corresponding author on reasonable request.</w:t>
      </w:r>
    </w:p>
    <w:p w14:paraId="0016CD89" w14:textId="77777777" w:rsidR="001C2B6A" w:rsidRPr="00646F04" w:rsidRDefault="005C035C">
      <w:pPr>
        <w:rPr>
          <w:color w:val="000000" w:themeColor="text1"/>
        </w:rPr>
      </w:pPr>
      <w:r>
        <w:rPr>
          <w:rFonts w:eastAsia="Source Han Serif SC"/>
          <w:noProof/>
          <w:color w:val="000000" w:themeColor="text1"/>
        </w:rPr>
        <w:pict w14:anchorId="0147B711">
          <v:rect id="_x0000_i1033" alt="" style="width:415.3pt;height:.05pt;mso-width-percent:0;mso-height-percent:0;mso-width-percent:0;mso-height-percent:0" o:hralign="center" o:hrstd="t" o:hr="t"/>
        </w:pict>
      </w:r>
    </w:p>
    <w:p w14:paraId="05D7A018" w14:textId="77777777" w:rsidR="001C2B6A" w:rsidRPr="00646F04" w:rsidRDefault="00000000">
      <w:pPr>
        <w:pStyle w:val="2"/>
        <w:rPr>
          <w:color w:val="000000" w:themeColor="text1"/>
        </w:rPr>
      </w:pPr>
      <w:bookmarkStart w:id="32" w:name="X7b3432e733167c60f58f7d0ae4bba8662f8dc68"/>
      <w:bookmarkEnd w:id="29"/>
      <w:bookmarkEnd w:id="31"/>
      <w:r w:rsidRPr="00646F04">
        <w:rPr>
          <w:rFonts w:ascii="Arial" w:eastAsia="Source Han Serif SC" w:hAnsi="Arial" w:cs="Arial"/>
          <w:color w:val="000000" w:themeColor="text1"/>
        </w:rPr>
        <w:t>Table S2. Parallel cohort flow, off-target restrictions and attrition profile</w:t>
      </w:r>
    </w:p>
    <w:p w14:paraId="3C256959" w14:textId="77777777" w:rsidR="001C2B6A" w:rsidRPr="00646F04" w:rsidRDefault="00000000">
      <w:pPr>
        <w:pStyle w:val="3"/>
        <w:rPr>
          <w:color w:val="000000" w:themeColor="text1"/>
        </w:rPr>
      </w:pPr>
      <w:bookmarkStart w:id="33" w:name="X79b04cb6428baeb098775eaaecee5e052d7a3e1"/>
      <w:r w:rsidRPr="00646F04">
        <w:rPr>
          <w:rFonts w:ascii="Arial" w:eastAsia="Source Han Serif SC" w:hAnsi="Arial" w:cs="Arial"/>
          <w:color w:val="000000" w:themeColor="text1"/>
        </w:rPr>
        <w:t>Panel A. Sequential exact-four-year disease path</w:t>
      </w:r>
    </w:p>
    <w:tbl>
      <w:tblPr>
        <w:tblStyle w:val="Table"/>
        <w:tblW w:w="5000" w:type="pct"/>
        <w:tblLook w:val="0020" w:firstRow="1" w:lastRow="0" w:firstColumn="0" w:lastColumn="0" w:noHBand="0" w:noVBand="0"/>
      </w:tblPr>
      <w:tblGrid>
        <w:gridCol w:w="839"/>
        <w:gridCol w:w="2113"/>
        <w:gridCol w:w="1971"/>
        <w:gridCol w:w="3086"/>
        <w:gridCol w:w="1829"/>
        <w:gridCol w:w="2395"/>
        <w:gridCol w:w="2445"/>
      </w:tblGrid>
      <w:tr w:rsidR="00646F04" w:rsidRPr="00646F04" w14:paraId="346B1C2F"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2475E6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06FD92B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Source H0–H5 classifiable</w:t>
            </w:r>
          </w:p>
        </w:tc>
        <w:tc>
          <w:tcPr>
            <w:tcW w:w="0" w:type="auto"/>
            <w:tcBorders>
              <w:top w:val="single" w:sz="8" w:space="0" w:color="404040"/>
              <w:left w:val="nil"/>
              <w:bottom w:val="single" w:sz="5" w:space="0" w:color="707070"/>
              <w:right w:val="nil"/>
            </w:tcBorders>
            <w:shd w:val="clear" w:color="auto" w:fill="auto"/>
            <w:vAlign w:val="center"/>
          </w:tcPr>
          <w:p w14:paraId="48F1AB7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Positive analysis weight</w:t>
            </w:r>
          </w:p>
        </w:tc>
        <w:tc>
          <w:tcPr>
            <w:tcW w:w="0" w:type="auto"/>
            <w:tcBorders>
              <w:top w:val="single" w:sz="8" w:space="0" w:color="404040"/>
              <w:left w:val="nil"/>
              <w:bottom w:val="single" w:sz="5" w:space="0" w:color="707070"/>
              <w:right w:val="nil"/>
            </w:tcBorders>
            <w:shd w:val="clear" w:color="auto" w:fill="auto"/>
            <w:vAlign w:val="center"/>
          </w:tcPr>
          <w:p w14:paraId="7A4C5EF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Baseline seven-disease count observed</w:t>
            </w:r>
          </w:p>
        </w:tc>
        <w:tc>
          <w:tcPr>
            <w:tcW w:w="0" w:type="auto"/>
            <w:tcBorders>
              <w:top w:val="single" w:sz="8" w:space="0" w:color="404040"/>
              <w:left w:val="nil"/>
              <w:bottom w:val="single" w:sz="5" w:space="0" w:color="707070"/>
              <w:right w:val="nil"/>
            </w:tcBorders>
            <w:shd w:val="clear" w:color="auto" w:fill="auto"/>
            <w:vAlign w:val="center"/>
          </w:tcPr>
          <w:p w14:paraId="5EE4441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No linked death by 4 y</w:t>
            </w:r>
          </w:p>
        </w:tc>
        <w:tc>
          <w:tcPr>
            <w:tcW w:w="0" w:type="auto"/>
            <w:tcBorders>
              <w:top w:val="single" w:sz="8" w:space="0" w:color="404040"/>
              <w:left w:val="nil"/>
              <w:bottom w:val="single" w:sz="5" w:space="0" w:color="707070"/>
              <w:right w:val="nil"/>
            </w:tcBorders>
            <w:shd w:val="clear" w:color="auto" w:fill="auto"/>
            <w:vAlign w:val="center"/>
          </w:tcPr>
          <w:p w14:paraId="7614BA5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Exact-4-y interview completed</w:t>
            </w:r>
          </w:p>
        </w:tc>
        <w:tc>
          <w:tcPr>
            <w:tcW w:w="0" w:type="auto"/>
            <w:tcBorders>
              <w:top w:val="single" w:sz="8" w:space="0" w:color="404040"/>
              <w:left w:val="nil"/>
              <w:bottom w:val="single" w:sz="5" w:space="0" w:color="707070"/>
              <w:right w:val="nil"/>
            </w:tcBorders>
            <w:shd w:val="clear" w:color="auto" w:fill="auto"/>
            <w:vAlign w:val="center"/>
          </w:tcPr>
          <w:p w14:paraId="143E485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Disease progression evaluable</w:t>
            </w:r>
          </w:p>
        </w:tc>
      </w:tr>
      <w:tr w:rsidR="00646F04" w:rsidRPr="00646F04" w14:paraId="0FEC7717" w14:textId="77777777" w:rsidTr="00646F04">
        <w:tc>
          <w:tcPr>
            <w:tcW w:w="0" w:type="auto"/>
            <w:tcBorders>
              <w:top w:val="nil"/>
              <w:left w:val="nil"/>
              <w:bottom w:val="nil"/>
              <w:right w:val="nil"/>
            </w:tcBorders>
            <w:shd w:val="clear" w:color="auto" w:fill="auto"/>
            <w:vAlign w:val="center"/>
          </w:tcPr>
          <w:p w14:paraId="0C250F5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4CA556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613AE6E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2BB8CBE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10,358</w:t>
            </w:r>
          </w:p>
        </w:tc>
        <w:tc>
          <w:tcPr>
            <w:tcW w:w="0" w:type="auto"/>
            <w:tcBorders>
              <w:top w:val="nil"/>
              <w:left w:val="nil"/>
              <w:bottom w:val="nil"/>
              <w:right w:val="nil"/>
            </w:tcBorders>
            <w:shd w:val="clear" w:color="auto" w:fill="auto"/>
            <w:vAlign w:val="center"/>
          </w:tcPr>
          <w:p w14:paraId="6B7398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9,688</w:t>
            </w:r>
          </w:p>
        </w:tc>
        <w:tc>
          <w:tcPr>
            <w:tcW w:w="0" w:type="auto"/>
            <w:tcBorders>
              <w:top w:val="nil"/>
              <w:left w:val="nil"/>
              <w:bottom w:val="nil"/>
              <w:right w:val="nil"/>
            </w:tcBorders>
            <w:shd w:val="clear" w:color="auto" w:fill="auto"/>
            <w:vAlign w:val="center"/>
          </w:tcPr>
          <w:p w14:paraId="4CC0F8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8,864</w:t>
            </w:r>
          </w:p>
        </w:tc>
        <w:tc>
          <w:tcPr>
            <w:tcW w:w="0" w:type="auto"/>
            <w:tcBorders>
              <w:top w:val="nil"/>
              <w:left w:val="nil"/>
              <w:bottom w:val="nil"/>
              <w:right w:val="nil"/>
            </w:tcBorders>
            <w:shd w:val="clear" w:color="auto" w:fill="auto"/>
            <w:vAlign w:val="center"/>
          </w:tcPr>
          <w:p w14:paraId="220E0BE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8,503</w:t>
            </w:r>
          </w:p>
        </w:tc>
      </w:tr>
      <w:tr w:rsidR="00646F04" w:rsidRPr="00646F04" w14:paraId="06FD849F" w14:textId="77777777" w:rsidTr="00646F04">
        <w:tc>
          <w:tcPr>
            <w:tcW w:w="0" w:type="auto"/>
            <w:tcBorders>
              <w:top w:val="nil"/>
              <w:left w:val="nil"/>
              <w:bottom w:val="single" w:sz="8" w:space="0" w:color="404040"/>
              <w:right w:val="nil"/>
            </w:tcBorders>
            <w:shd w:val="clear" w:color="auto" w:fill="auto"/>
            <w:vAlign w:val="center"/>
          </w:tcPr>
          <w:p w14:paraId="7DA167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3415112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single" w:sz="8" w:space="0" w:color="404040"/>
              <w:right w:val="nil"/>
            </w:tcBorders>
            <w:shd w:val="clear" w:color="auto" w:fill="auto"/>
            <w:vAlign w:val="center"/>
          </w:tcPr>
          <w:p w14:paraId="273FE33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15,383</w:t>
            </w:r>
          </w:p>
        </w:tc>
        <w:tc>
          <w:tcPr>
            <w:tcW w:w="0" w:type="auto"/>
            <w:tcBorders>
              <w:top w:val="nil"/>
              <w:left w:val="nil"/>
              <w:bottom w:val="single" w:sz="8" w:space="0" w:color="404040"/>
              <w:right w:val="nil"/>
            </w:tcBorders>
            <w:shd w:val="clear" w:color="auto" w:fill="auto"/>
            <w:vAlign w:val="center"/>
          </w:tcPr>
          <w:p w14:paraId="58FC1A2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15,383</w:t>
            </w:r>
          </w:p>
        </w:tc>
        <w:tc>
          <w:tcPr>
            <w:tcW w:w="0" w:type="auto"/>
            <w:tcBorders>
              <w:top w:val="nil"/>
              <w:left w:val="nil"/>
              <w:bottom w:val="single" w:sz="8" w:space="0" w:color="404040"/>
              <w:right w:val="nil"/>
            </w:tcBorders>
            <w:shd w:val="clear" w:color="auto" w:fill="auto"/>
            <w:vAlign w:val="center"/>
          </w:tcPr>
          <w:p w14:paraId="5A84495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13,836</w:t>
            </w:r>
          </w:p>
        </w:tc>
        <w:tc>
          <w:tcPr>
            <w:tcW w:w="0" w:type="auto"/>
            <w:tcBorders>
              <w:top w:val="nil"/>
              <w:left w:val="nil"/>
              <w:bottom w:val="single" w:sz="8" w:space="0" w:color="404040"/>
              <w:right w:val="nil"/>
            </w:tcBorders>
            <w:shd w:val="clear" w:color="auto" w:fill="auto"/>
            <w:vAlign w:val="center"/>
          </w:tcPr>
          <w:p w14:paraId="1FFDB1F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12,674</w:t>
            </w:r>
          </w:p>
        </w:tc>
        <w:tc>
          <w:tcPr>
            <w:tcW w:w="0" w:type="auto"/>
            <w:tcBorders>
              <w:top w:val="nil"/>
              <w:left w:val="nil"/>
              <w:bottom w:val="single" w:sz="8" w:space="0" w:color="404040"/>
              <w:right w:val="nil"/>
            </w:tcBorders>
            <w:shd w:val="clear" w:color="auto" w:fill="auto"/>
            <w:vAlign w:val="center"/>
          </w:tcPr>
          <w:p w14:paraId="62A249F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12,674</w:t>
            </w:r>
          </w:p>
        </w:tc>
      </w:tr>
    </w:tbl>
    <w:p w14:paraId="46D57817" w14:textId="77777777" w:rsidR="001C2B6A" w:rsidRPr="00646F04" w:rsidRDefault="00000000">
      <w:pPr>
        <w:pStyle w:val="3"/>
        <w:rPr>
          <w:color w:val="000000" w:themeColor="text1"/>
        </w:rPr>
      </w:pPr>
      <w:bookmarkStart w:id="34" w:name="X1abd33f08af63e49f1ea84ae300cf32f3985adb"/>
      <w:bookmarkEnd w:id="33"/>
      <w:r w:rsidRPr="00646F04">
        <w:rPr>
          <w:rFonts w:ascii="Arial" w:eastAsia="Source Han Serif SC" w:hAnsi="Arial" w:cs="Arial"/>
          <w:color w:val="000000" w:themeColor="text1"/>
        </w:rPr>
        <w:t>Panel B. Endpoint-specific risk sets and common-support target population</w:t>
      </w:r>
    </w:p>
    <w:tbl>
      <w:tblPr>
        <w:tblStyle w:val="Table"/>
        <w:tblW w:w="5000" w:type="pct"/>
        <w:tblLook w:val="0020" w:firstRow="1" w:lastRow="0" w:firstColumn="0" w:lastColumn="0" w:noHBand="0" w:noVBand="0"/>
      </w:tblPr>
      <w:tblGrid>
        <w:gridCol w:w="796"/>
        <w:gridCol w:w="1878"/>
        <w:gridCol w:w="1918"/>
        <w:gridCol w:w="2013"/>
        <w:gridCol w:w="2020"/>
        <w:gridCol w:w="1389"/>
        <w:gridCol w:w="2107"/>
        <w:gridCol w:w="2557"/>
      </w:tblGrid>
      <w:tr w:rsidR="00646F04" w:rsidRPr="00646F04" w14:paraId="11111BA6"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66CEA4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1B63F95D"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4-y ADL evaluable</w:t>
            </w:r>
          </w:p>
        </w:tc>
        <w:tc>
          <w:tcPr>
            <w:tcW w:w="0" w:type="auto"/>
            <w:tcBorders>
              <w:top w:val="single" w:sz="8" w:space="0" w:color="404040"/>
              <w:left w:val="nil"/>
              <w:bottom w:val="single" w:sz="5" w:space="0" w:color="707070"/>
              <w:right w:val="nil"/>
            </w:tcBorders>
            <w:shd w:val="clear" w:color="auto" w:fill="auto"/>
            <w:vAlign w:val="center"/>
          </w:tcPr>
          <w:p w14:paraId="6562234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4-y IADL evaluable</w:t>
            </w:r>
          </w:p>
        </w:tc>
        <w:tc>
          <w:tcPr>
            <w:tcW w:w="0" w:type="auto"/>
            <w:tcBorders>
              <w:top w:val="single" w:sz="8" w:space="0" w:color="404040"/>
              <w:left w:val="nil"/>
              <w:bottom w:val="single" w:sz="5" w:space="0" w:color="707070"/>
              <w:right w:val="nil"/>
            </w:tcBorders>
            <w:shd w:val="clear" w:color="auto" w:fill="auto"/>
            <w:vAlign w:val="center"/>
          </w:tcPr>
          <w:p w14:paraId="00F0210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Reserve change evaluable</w:t>
            </w:r>
          </w:p>
        </w:tc>
        <w:tc>
          <w:tcPr>
            <w:tcW w:w="0" w:type="auto"/>
            <w:tcBorders>
              <w:top w:val="single" w:sz="8" w:space="0" w:color="404040"/>
              <w:left w:val="nil"/>
              <w:bottom w:val="single" w:sz="5" w:space="0" w:color="707070"/>
              <w:right w:val="nil"/>
            </w:tcBorders>
            <w:shd w:val="clear" w:color="auto" w:fill="auto"/>
            <w:vAlign w:val="center"/>
          </w:tcPr>
          <w:p w14:paraId="172EDE6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DFM estimated at baseline</w:t>
            </w:r>
          </w:p>
        </w:tc>
        <w:tc>
          <w:tcPr>
            <w:tcW w:w="0" w:type="auto"/>
            <w:tcBorders>
              <w:top w:val="single" w:sz="8" w:space="0" w:color="404040"/>
              <w:left w:val="nil"/>
              <w:bottom w:val="single" w:sz="5" w:space="0" w:color="707070"/>
              <w:right w:val="nil"/>
            </w:tcBorders>
            <w:shd w:val="clear" w:color="auto" w:fill="auto"/>
            <w:vAlign w:val="center"/>
          </w:tcPr>
          <w:p w14:paraId="7C171AB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H1/H2/H3 eligible</w:t>
            </w:r>
          </w:p>
        </w:tc>
        <w:tc>
          <w:tcPr>
            <w:tcW w:w="0" w:type="auto"/>
            <w:tcBorders>
              <w:top w:val="single" w:sz="8" w:space="0" w:color="404040"/>
              <w:left w:val="nil"/>
              <w:bottom w:val="single" w:sz="5" w:space="0" w:color="707070"/>
              <w:right w:val="nil"/>
            </w:tcBorders>
            <w:shd w:val="clear" w:color="auto" w:fill="auto"/>
            <w:vAlign w:val="center"/>
          </w:tcPr>
          <w:p w14:paraId="1D68C92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Within common BP support</w:t>
            </w:r>
          </w:p>
        </w:tc>
        <w:tc>
          <w:tcPr>
            <w:tcW w:w="0" w:type="auto"/>
            <w:tcBorders>
              <w:top w:val="single" w:sz="8" w:space="0" w:color="404040"/>
              <w:left w:val="nil"/>
              <w:bottom w:val="single" w:sz="5" w:space="0" w:color="707070"/>
              <w:right w:val="nil"/>
            </w:tcBorders>
            <w:shd w:val="clear" w:color="auto" w:fill="auto"/>
            <w:vAlign w:val="center"/>
          </w:tcPr>
          <w:p w14:paraId="57F9467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Outside support, n/N (weighted %)</w:t>
            </w:r>
          </w:p>
        </w:tc>
      </w:tr>
      <w:tr w:rsidR="00646F04" w:rsidRPr="00646F04" w14:paraId="12B2096F" w14:textId="77777777" w:rsidTr="00646F04">
        <w:tc>
          <w:tcPr>
            <w:tcW w:w="0" w:type="auto"/>
            <w:tcBorders>
              <w:top w:val="nil"/>
              <w:left w:val="nil"/>
              <w:bottom w:val="nil"/>
              <w:right w:val="nil"/>
            </w:tcBorders>
            <w:shd w:val="clear" w:color="auto" w:fill="auto"/>
            <w:vAlign w:val="center"/>
          </w:tcPr>
          <w:p w14:paraId="585E6FA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9EECE1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7,420</w:t>
            </w:r>
          </w:p>
        </w:tc>
        <w:tc>
          <w:tcPr>
            <w:tcW w:w="0" w:type="auto"/>
            <w:tcBorders>
              <w:top w:val="nil"/>
              <w:left w:val="nil"/>
              <w:bottom w:val="nil"/>
              <w:right w:val="nil"/>
            </w:tcBorders>
            <w:shd w:val="clear" w:color="auto" w:fill="auto"/>
            <w:vAlign w:val="center"/>
          </w:tcPr>
          <w:p w14:paraId="1964E91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6,912</w:t>
            </w:r>
          </w:p>
        </w:tc>
        <w:tc>
          <w:tcPr>
            <w:tcW w:w="0" w:type="auto"/>
            <w:tcBorders>
              <w:top w:val="nil"/>
              <w:left w:val="nil"/>
              <w:bottom w:val="nil"/>
              <w:right w:val="nil"/>
            </w:tcBorders>
            <w:shd w:val="clear" w:color="auto" w:fill="auto"/>
            <w:vAlign w:val="center"/>
          </w:tcPr>
          <w:p w14:paraId="4F4F4C6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8,184</w:t>
            </w:r>
          </w:p>
        </w:tc>
        <w:tc>
          <w:tcPr>
            <w:tcW w:w="0" w:type="auto"/>
            <w:tcBorders>
              <w:top w:val="nil"/>
              <w:left w:val="nil"/>
              <w:bottom w:val="nil"/>
              <w:right w:val="nil"/>
            </w:tcBorders>
            <w:shd w:val="clear" w:color="auto" w:fill="auto"/>
            <w:vAlign w:val="center"/>
          </w:tcPr>
          <w:p w14:paraId="30321F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9,865</w:t>
            </w:r>
          </w:p>
        </w:tc>
        <w:tc>
          <w:tcPr>
            <w:tcW w:w="0" w:type="auto"/>
            <w:tcBorders>
              <w:top w:val="nil"/>
              <w:left w:val="nil"/>
              <w:bottom w:val="nil"/>
              <w:right w:val="nil"/>
            </w:tcBorders>
            <w:shd w:val="clear" w:color="auto" w:fill="auto"/>
            <w:vAlign w:val="center"/>
          </w:tcPr>
          <w:p w14:paraId="0DED3C1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3,436</w:t>
            </w:r>
          </w:p>
        </w:tc>
        <w:tc>
          <w:tcPr>
            <w:tcW w:w="0" w:type="auto"/>
            <w:tcBorders>
              <w:top w:val="nil"/>
              <w:left w:val="nil"/>
              <w:bottom w:val="nil"/>
              <w:right w:val="nil"/>
            </w:tcBorders>
            <w:shd w:val="clear" w:color="auto" w:fill="auto"/>
            <w:vAlign w:val="center"/>
          </w:tcPr>
          <w:p w14:paraId="6126485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1,828</w:t>
            </w:r>
          </w:p>
        </w:tc>
        <w:tc>
          <w:tcPr>
            <w:tcW w:w="0" w:type="auto"/>
            <w:tcBorders>
              <w:top w:val="nil"/>
              <w:left w:val="nil"/>
              <w:bottom w:val="nil"/>
              <w:right w:val="nil"/>
            </w:tcBorders>
            <w:shd w:val="clear" w:color="auto" w:fill="auto"/>
            <w:vAlign w:val="center"/>
          </w:tcPr>
          <w:p w14:paraId="14B22E9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1,608/3,436 (48.92%)</w:t>
            </w:r>
          </w:p>
        </w:tc>
      </w:tr>
      <w:tr w:rsidR="00646F04" w:rsidRPr="00646F04" w14:paraId="75494279" w14:textId="77777777" w:rsidTr="00646F04">
        <w:tc>
          <w:tcPr>
            <w:tcW w:w="0" w:type="auto"/>
            <w:tcBorders>
              <w:top w:val="nil"/>
              <w:left w:val="nil"/>
              <w:bottom w:val="single" w:sz="8" w:space="0" w:color="404040"/>
              <w:right w:val="nil"/>
            </w:tcBorders>
            <w:shd w:val="clear" w:color="auto" w:fill="auto"/>
            <w:vAlign w:val="center"/>
          </w:tcPr>
          <w:p w14:paraId="5320B21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285D73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10,941</w:t>
            </w:r>
          </w:p>
        </w:tc>
        <w:tc>
          <w:tcPr>
            <w:tcW w:w="0" w:type="auto"/>
            <w:tcBorders>
              <w:top w:val="nil"/>
              <w:left w:val="nil"/>
              <w:bottom w:val="single" w:sz="8" w:space="0" w:color="404040"/>
              <w:right w:val="nil"/>
            </w:tcBorders>
            <w:shd w:val="clear" w:color="auto" w:fill="auto"/>
            <w:vAlign w:val="center"/>
          </w:tcPr>
          <w:p w14:paraId="243514D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10,419</w:t>
            </w:r>
          </w:p>
        </w:tc>
        <w:tc>
          <w:tcPr>
            <w:tcW w:w="0" w:type="auto"/>
            <w:tcBorders>
              <w:top w:val="nil"/>
              <w:left w:val="nil"/>
              <w:bottom w:val="single" w:sz="8" w:space="0" w:color="404040"/>
              <w:right w:val="nil"/>
            </w:tcBorders>
            <w:shd w:val="clear" w:color="auto" w:fill="auto"/>
            <w:vAlign w:val="center"/>
          </w:tcPr>
          <w:p w14:paraId="236CD8A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12,329</w:t>
            </w:r>
          </w:p>
        </w:tc>
        <w:tc>
          <w:tcPr>
            <w:tcW w:w="0" w:type="auto"/>
            <w:tcBorders>
              <w:top w:val="nil"/>
              <w:left w:val="nil"/>
              <w:bottom w:val="single" w:sz="8" w:space="0" w:color="404040"/>
              <w:right w:val="nil"/>
            </w:tcBorders>
            <w:shd w:val="clear" w:color="auto" w:fill="auto"/>
            <w:vAlign w:val="center"/>
          </w:tcPr>
          <w:p w14:paraId="21C0CE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14,549</w:t>
            </w:r>
          </w:p>
        </w:tc>
        <w:tc>
          <w:tcPr>
            <w:tcW w:w="0" w:type="auto"/>
            <w:tcBorders>
              <w:top w:val="nil"/>
              <w:left w:val="nil"/>
              <w:bottom w:val="single" w:sz="8" w:space="0" w:color="404040"/>
              <w:right w:val="nil"/>
            </w:tcBorders>
            <w:shd w:val="clear" w:color="auto" w:fill="auto"/>
            <w:vAlign w:val="center"/>
          </w:tcPr>
          <w:p w14:paraId="7CCB18B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5,011</w:t>
            </w:r>
          </w:p>
        </w:tc>
        <w:tc>
          <w:tcPr>
            <w:tcW w:w="0" w:type="auto"/>
            <w:tcBorders>
              <w:top w:val="nil"/>
              <w:left w:val="nil"/>
              <w:bottom w:val="single" w:sz="8" w:space="0" w:color="404040"/>
              <w:right w:val="nil"/>
            </w:tcBorders>
            <w:shd w:val="clear" w:color="auto" w:fill="auto"/>
            <w:vAlign w:val="center"/>
          </w:tcPr>
          <w:p w14:paraId="167F26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2,848</w:t>
            </w:r>
          </w:p>
        </w:tc>
        <w:tc>
          <w:tcPr>
            <w:tcW w:w="0" w:type="auto"/>
            <w:tcBorders>
              <w:top w:val="nil"/>
              <w:left w:val="nil"/>
              <w:bottom w:val="single" w:sz="8" w:space="0" w:color="404040"/>
              <w:right w:val="nil"/>
            </w:tcBorders>
            <w:shd w:val="clear" w:color="auto" w:fill="auto"/>
            <w:vAlign w:val="center"/>
          </w:tcPr>
          <w:p w14:paraId="26ED36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2,163/5,011 (44.00%)</w:t>
            </w:r>
          </w:p>
        </w:tc>
      </w:tr>
    </w:tbl>
    <w:p w14:paraId="16880AA1" w14:textId="77777777" w:rsidR="001C2B6A" w:rsidRPr="00646F04" w:rsidRDefault="00000000">
      <w:pPr>
        <w:pStyle w:val="3"/>
        <w:rPr>
          <w:color w:val="000000" w:themeColor="text1"/>
        </w:rPr>
      </w:pPr>
      <w:bookmarkStart w:id="35" w:name="Xf2c30a4dcf98b6161ac92f1331808978e21b9f8"/>
      <w:bookmarkEnd w:id="34"/>
      <w:r w:rsidRPr="00646F04">
        <w:rPr>
          <w:rFonts w:ascii="Arial" w:eastAsia="Source Han Serif SC" w:hAnsi="Arial" w:cs="Arial"/>
          <w:color w:val="000000" w:themeColor="text1"/>
        </w:rPr>
        <w:t>Panel C. Largest baseline differences between retained and non-retained participants for exact-four-year disease progression</w:t>
      </w:r>
    </w:p>
    <w:tbl>
      <w:tblPr>
        <w:tblStyle w:val="Table"/>
        <w:tblW w:w="5000" w:type="pct"/>
        <w:tblLook w:val="0020" w:firstRow="1" w:lastRow="0" w:firstColumn="0" w:lastColumn="0" w:noHBand="0" w:noVBand="0"/>
      </w:tblPr>
      <w:tblGrid>
        <w:gridCol w:w="912"/>
        <w:gridCol w:w="1980"/>
        <w:gridCol w:w="2558"/>
        <w:gridCol w:w="2378"/>
        <w:gridCol w:w="6850"/>
      </w:tblGrid>
      <w:tr w:rsidR="00646F04" w:rsidRPr="00646F04" w14:paraId="0ABAB704"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7C0C80E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06BA038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Largest absolute SMD</w:t>
            </w:r>
          </w:p>
        </w:tc>
        <w:tc>
          <w:tcPr>
            <w:tcW w:w="0" w:type="auto"/>
            <w:tcBorders>
              <w:top w:val="single" w:sz="8" w:space="0" w:color="404040"/>
              <w:left w:val="nil"/>
              <w:bottom w:val="single" w:sz="5" w:space="0" w:color="707070"/>
              <w:right w:val="nil"/>
            </w:tcBorders>
            <w:shd w:val="clear" w:color="auto" w:fill="auto"/>
            <w:vAlign w:val="center"/>
          </w:tcPr>
          <w:p w14:paraId="2925EAD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Second largest absolute SMD</w:t>
            </w:r>
          </w:p>
        </w:tc>
        <w:tc>
          <w:tcPr>
            <w:tcW w:w="0" w:type="auto"/>
            <w:tcBorders>
              <w:top w:val="single" w:sz="8" w:space="0" w:color="404040"/>
              <w:left w:val="nil"/>
              <w:bottom w:val="single" w:sz="5" w:space="0" w:color="707070"/>
              <w:right w:val="nil"/>
            </w:tcBorders>
            <w:shd w:val="clear" w:color="auto" w:fill="auto"/>
            <w:vAlign w:val="center"/>
          </w:tcPr>
          <w:p w14:paraId="2EAF3F0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Third largest absolute SMD</w:t>
            </w:r>
          </w:p>
        </w:tc>
        <w:tc>
          <w:tcPr>
            <w:tcW w:w="0" w:type="auto"/>
            <w:tcBorders>
              <w:top w:val="single" w:sz="8" w:space="0" w:color="404040"/>
              <w:left w:val="nil"/>
              <w:bottom w:val="single" w:sz="5" w:space="0" w:color="707070"/>
              <w:right w:val="nil"/>
            </w:tcBorders>
            <w:shd w:val="clear" w:color="auto" w:fill="auto"/>
            <w:vAlign w:val="center"/>
          </w:tcPr>
          <w:p w14:paraId="1411D23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Interpretation</w:t>
            </w:r>
          </w:p>
        </w:tc>
      </w:tr>
      <w:tr w:rsidR="00646F04" w:rsidRPr="00646F04" w14:paraId="78C4A55E" w14:textId="77777777" w:rsidTr="00646F04">
        <w:tc>
          <w:tcPr>
            <w:tcW w:w="0" w:type="auto"/>
            <w:tcBorders>
              <w:top w:val="nil"/>
              <w:left w:val="nil"/>
              <w:bottom w:val="nil"/>
              <w:right w:val="nil"/>
            </w:tcBorders>
            <w:shd w:val="clear" w:color="auto" w:fill="auto"/>
            <w:vAlign w:val="center"/>
          </w:tcPr>
          <w:p w14:paraId="380BD3E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8CDB27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Physical activity, 0.430</w:t>
            </w:r>
          </w:p>
        </w:tc>
        <w:tc>
          <w:tcPr>
            <w:tcW w:w="0" w:type="auto"/>
            <w:tcBorders>
              <w:top w:val="nil"/>
              <w:left w:val="nil"/>
              <w:bottom w:val="nil"/>
              <w:right w:val="nil"/>
            </w:tcBorders>
            <w:shd w:val="clear" w:color="auto" w:fill="auto"/>
            <w:vAlign w:val="center"/>
          </w:tcPr>
          <w:p w14:paraId="46436B3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Age, 0.275</w:t>
            </w:r>
          </w:p>
        </w:tc>
        <w:tc>
          <w:tcPr>
            <w:tcW w:w="0" w:type="auto"/>
            <w:tcBorders>
              <w:top w:val="nil"/>
              <w:left w:val="nil"/>
              <w:bottom w:val="nil"/>
              <w:right w:val="nil"/>
            </w:tcBorders>
            <w:shd w:val="clear" w:color="auto" w:fill="auto"/>
            <w:vAlign w:val="center"/>
          </w:tcPr>
          <w:p w14:paraId="237633B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Systolic BP, 0.271</w:t>
            </w:r>
          </w:p>
        </w:tc>
        <w:tc>
          <w:tcPr>
            <w:tcW w:w="0" w:type="auto"/>
            <w:tcBorders>
              <w:top w:val="nil"/>
              <w:left w:val="nil"/>
              <w:bottom w:val="nil"/>
              <w:right w:val="nil"/>
            </w:tcBorders>
            <w:shd w:val="clear" w:color="auto" w:fill="auto"/>
            <w:vAlign w:val="center"/>
          </w:tcPr>
          <w:p w14:paraId="08A9E50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Selection was strongest for activity and age/BP; endpoint-specific IPCW diagnostics are in Table S5.</w:t>
            </w:r>
          </w:p>
        </w:tc>
      </w:tr>
      <w:tr w:rsidR="00646F04" w:rsidRPr="00646F04" w14:paraId="251E2CE2" w14:textId="77777777" w:rsidTr="00646F04">
        <w:tc>
          <w:tcPr>
            <w:tcW w:w="0" w:type="auto"/>
            <w:tcBorders>
              <w:top w:val="nil"/>
              <w:left w:val="nil"/>
              <w:bottom w:val="single" w:sz="8" w:space="0" w:color="404040"/>
              <w:right w:val="nil"/>
            </w:tcBorders>
            <w:shd w:val="clear" w:color="auto" w:fill="auto"/>
            <w:vAlign w:val="center"/>
          </w:tcPr>
          <w:p w14:paraId="2B09073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146619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Functional reserve, 0.569</w:t>
            </w:r>
          </w:p>
        </w:tc>
        <w:tc>
          <w:tcPr>
            <w:tcW w:w="0" w:type="auto"/>
            <w:tcBorders>
              <w:top w:val="nil"/>
              <w:left w:val="nil"/>
              <w:bottom w:val="single" w:sz="8" w:space="0" w:color="404040"/>
              <w:right w:val="nil"/>
            </w:tcBorders>
            <w:shd w:val="clear" w:color="auto" w:fill="auto"/>
            <w:vAlign w:val="center"/>
          </w:tcPr>
          <w:p w14:paraId="2BF4D0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Age, 0.512</w:t>
            </w:r>
          </w:p>
        </w:tc>
        <w:tc>
          <w:tcPr>
            <w:tcW w:w="0" w:type="auto"/>
            <w:tcBorders>
              <w:top w:val="nil"/>
              <w:left w:val="nil"/>
              <w:bottom w:val="single" w:sz="8" w:space="0" w:color="404040"/>
              <w:right w:val="nil"/>
            </w:tcBorders>
            <w:shd w:val="clear" w:color="auto" w:fill="auto"/>
            <w:vAlign w:val="center"/>
          </w:tcPr>
          <w:p w14:paraId="69F479D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Episodic memory, 0.476</w:t>
            </w:r>
          </w:p>
        </w:tc>
        <w:tc>
          <w:tcPr>
            <w:tcW w:w="0" w:type="auto"/>
            <w:tcBorders>
              <w:top w:val="nil"/>
              <w:left w:val="nil"/>
              <w:bottom w:val="single" w:sz="8" w:space="0" w:color="404040"/>
              <w:right w:val="nil"/>
            </w:tcBorders>
            <w:shd w:val="clear" w:color="auto" w:fill="auto"/>
            <w:vAlign w:val="center"/>
          </w:tcPr>
          <w:p w14:paraId="62F326A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Attrition was more strongly patterned by reserve, age and cognition than in CHARLS.</w:t>
            </w:r>
          </w:p>
        </w:tc>
      </w:tr>
    </w:tbl>
    <w:p w14:paraId="11ACA2A3" w14:textId="77777777" w:rsidR="001C2B6A" w:rsidRPr="00646F04" w:rsidRDefault="00000000">
      <w:pPr>
        <w:pStyle w:val="a0"/>
        <w:rPr>
          <w:color w:val="000000" w:themeColor="text1"/>
        </w:rPr>
      </w:pPr>
      <w:r w:rsidRPr="00646F04">
        <w:rPr>
          <w:rFonts w:eastAsia="Source Han Serif SC"/>
          <w:b/>
          <w:bCs/>
          <w:color w:val="000000" w:themeColor="text1"/>
        </w:rPr>
        <w:lastRenderedPageBreak/>
        <w:t>Notes.</w:t>
      </w:r>
      <w:r w:rsidRPr="00646F04">
        <w:rPr>
          <w:rFonts w:eastAsia="Source Han Serif SC"/>
          <w:color w:val="000000" w:themeColor="text1"/>
        </w:rPr>
        <w:t xml:space="preserve"> Panel A is sequential; Panel B contains parallel endpoint-specific risk sets and must not be subtracted as one monotone flow. Common-support exclusions change the target population and are not attrition. SMD is descriptive and positive/negative direction is intentionally suppressed here because Panel C ranks absolute imbalance only. The full retained/non-retained profile and every off-target reason are available from the corresponding author on reasonable request.</w:t>
      </w:r>
    </w:p>
    <w:p w14:paraId="26E7F419" w14:textId="77777777" w:rsidR="001C2B6A" w:rsidRPr="00646F04" w:rsidRDefault="005C035C">
      <w:pPr>
        <w:rPr>
          <w:color w:val="000000" w:themeColor="text1"/>
        </w:rPr>
      </w:pPr>
      <w:r>
        <w:rPr>
          <w:rFonts w:eastAsia="Source Han Serif SC"/>
          <w:noProof/>
          <w:color w:val="000000" w:themeColor="text1"/>
        </w:rPr>
        <w:pict w14:anchorId="2E7395DA">
          <v:rect id="_x0000_i1032" alt="" style="width:415.3pt;height:.05pt;mso-width-percent:0;mso-height-percent:0;mso-width-percent:0;mso-height-percent:0" o:hralign="center" o:hrstd="t" o:hr="t"/>
        </w:pict>
      </w:r>
    </w:p>
    <w:p w14:paraId="2B8C355B" w14:textId="77777777" w:rsidR="001C2B6A" w:rsidRPr="00646F04" w:rsidRDefault="00000000">
      <w:pPr>
        <w:pStyle w:val="2"/>
        <w:rPr>
          <w:color w:val="000000" w:themeColor="text1"/>
        </w:rPr>
      </w:pPr>
      <w:bookmarkStart w:id="36" w:name="Xed70f67bd4cd2f7805d68c88d482c0c76e92b4b"/>
      <w:bookmarkEnd w:id="32"/>
      <w:bookmarkEnd w:id="35"/>
      <w:r w:rsidRPr="00646F04">
        <w:rPr>
          <w:rFonts w:ascii="Arial" w:eastAsia="Source Han Serif SC" w:hAnsi="Arial" w:cs="Arial"/>
          <w:color w:val="000000" w:themeColor="text1"/>
        </w:rPr>
        <w:t>Table S3. Wave-specific analytic coverage and CHARLS death/exit linkage</w:t>
      </w:r>
    </w:p>
    <w:p w14:paraId="3CE7A878" w14:textId="77777777" w:rsidR="001C2B6A" w:rsidRPr="00646F04" w:rsidRDefault="00000000">
      <w:pPr>
        <w:pStyle w:val="3"/>
        <w:rPr>
          <w:color w:val="000000" w:themeColor="text1"/>
        </w:rPr>
      </w:pPr>
      <w:bookmarkStart w:id="37" w:name="panel-a.-longitudinal-observation-spine"/>
      <w:r w:rsidRPr="00646F04">
        <w:rPr>
          <w:rFonts w:ascii="Arial" w:eastAsia="Source Han Serif SC" w:hAnsi="Arial" w:cs="Arial"/>
          <w:color w:val="000000" w:themeColor="text1"/>
        </w:rPr>
        <w:t>Panel A. Longitudinal observation spine</w:t>
      </w:r>
    </w:p>
    <w:tbl>
      <w:tblPr>
        <w:tblStyle w:val="Table"/>
        <w:tblW w:w="5000" w:type="pct"/>
        <w:tblLook w:val="0020" w:firstRow="1" w:lastRow="0" w:firstColumn="0" w:lastColumn="0" w:noHBand="0" w:noVBand="0"/>
      </w:tblPr>
      <w:tblGrid>
        <w:gridCol w:w="1037"/>
        <w:gridCol w:w="708"/>
        <w:gridCol w:w="892"/>
        <w:gridCol w:w="1324"/>
        <w:gridCol w:w="1704"/>
        <w:gridCol w:w="2812"/>
        <w:gridCol w:w="1611"/>
        <w:gridCol w:w="2824"/>
        <w:gridCol w:w="1766"/>
      </w:tblGrid>
      <w:tr w:rsidR="00646F04" w:rsidRPr="00646F04" w14:paraId="3024106B"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1E36D73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38EB27B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Year</w:t>
            </w:r>
          </w:p>
        </w:tc>
        <w:tc>
          <w:tcPr>
            <w:tcW w:w="0" w:type="auto"/>
            <w:tcBorders>
              <w:top w:val="single" w:sz="8" w:space="0" w:color="404040"/>
              <w:left w:val="nil"/>
              <w:bottom w:val="single" w:sz="5" w:space="0" w:color="707070"/>
              <w:right w:val="nil"/>
            </w:tcBorders>
            <w:shd w:val="clear" w:color="auto" w:fill="auto"/>
            <w:vAlign w:val="center"/>
          </w:tcPr>
          <w:p w14:paraId="3060071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Roster</w:t>
            </w:r>
          </w:p>
        </w:tc>
        <w:tc>
          <w:tcPr>
            <w:tcW w:w="0" w:type="auto"/>
            <w:tcBorders>
              <w:top w:val="single" w:sz="8" w:space="0" w:color="404040"/>
              <w:left w:val="nil"/>
              <w:bottom w:val="single" w:sz="5" w:space="0" w:color="707070"/>
              <w:right w:val="nil"/>
            </w:tcBorders>
            <w:shd w:val="clear" w:color="auto" w:fill="auto"/>
            <w:vAlign w:val="center"/>
          </w:tcPr>
          <w:p w14:paraId="6EFD45F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Interviewed</w:t>
            </w:r>
          </w:p>
        </w:tc>
        <w:tc>
          <w:tcPr>
            <w:tcW w:w="0" w:type="auto"/>
            <w:tcBorders>
              <w:top w:val="single" w:sz="8" w:space="0" w:color="404040"/>
              <w:left w:val="nil"/>
              <w:bottom w:val="single" w:sz="5" w:space="0" w:color="707070"/>
              <w:right w:val="nil"/>
            </w:tcBorders>
            <w:shd w:val="clear" w:color="auto" w:fill="auto"/>
            <w:vAlign w:val="center"/>
          </w:tcPr>
          <w:p w14:paraId="0570EBB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Dynamic H0–H5</w:t>
            </w:r>
          </w:p>
        </w:tc>
        <w:tc>
          <w:tcPr>
            <w:tcW w:w="0" w:type="auto"/>
            <w:tcBorders>
              <w:top w:val="single" w:sz="8" w:space="0" w:color="404040"/>
              <w:left w:val="nil"/>
              <w:bottom w:val="single" w:sz="5" w:space="0" w:color="707070"/>
              <w:right w:val="nil"/>
            </w:tcBorders>
            <w:shd w:val="clear" w:color="auto" w:fill="auto"/>
            <w:vAlign w:val="center"/>
          </w:tcPr>
          <w:p w14:paraId="580EC78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Raw disease items complete</w:t>
            </w:r>
          </w:p>
        </w:tc>
        <w:tc>
          <w:tcPr>
            <w:tcW w:w="0" w:type="auto"/>
            <w:tcBorders>
              <w:top w:val="single" w:sz="8" w:space="0" w:color="404040"/>
              <w:left w:val="nil"/>
              <w:bottom w:val="single" w:sz="5" w:space="0" w:color="707070"/>
              <w:right w:val="nil"/>
            </w:tcBorders>
            <w:shd w:val="clear" w:color="auto" w:fill="auto"/>
            <w:vAlign w:val="center"/>
          </w:tcPr>
          <w:p w14:paraId="4A098B4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IADL observed</w:t>
            </w:r>
          </w:p>
        </w:tc>
        <w:tc>
          <w:tcPr>
            <w:tcW w:w="0" w:type="auto"/>
            <w:tcBorders>
              <w:top w:val="single" w:sz="8" w:space="0" w:color="404040"/>
              <w:left w:val="nil"/>
              <w:bottom w:val="single" w:sz="5" w:space="0" w:color="707070"/>
              <w:right w:val="nil"/>
            </w:tcBorders>
            <w:shd w:val="clear" w:color="auto" w:fill="auto"/>
            <w:vAlign w:val="center"/>
          </w:tcPr>
          <w:p w14:paraId="6B3087E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Functional reserve observed</w:t>
            </w:r>
          </w:p>
        </w:tc>
        <w:tc>
          <w:tcPr>
            <w:tcW w:w="0" w:type="auto"/>
            <w:tcBorders>
              <w:top w:val="single" w:sz="8" w:space="0" w:color="404040"/>
              <w:left w:val="nil"/>
              <w:bottom w:val="single" w:sz="5" w:space="0" w:color="707070"/>
              <w:right w:val="nil"/>
            </w:tcBorders>
            <w:shd w:val="clear" w:color="auto" w:fill="auto"/>
            <w:vAlign w:val="center"/>
          </w:tcPr>
          <w:p w14:paraId="3FDA2E03"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Deaths by wave*</w:t>
            </w:r>
          </w:p>
        </w:tc>
      </w:tr>
      <w:tr w:rsidR="00646F04" w:rsidRPr="00646F04" w14:paraId="04AAAA7C" w14:textId="77777777" w:rsidTr="00646F04">
        <w:tc>
          <w:tcPr>
            <w:tcW w:w="0" w:type="auto"/>
            <w:tcBorders>
              <w:top w:val="nil"/>
              <w:left w:val="nil"/>
              <w:bottom w:val="nil"/>
              <w:right w:val="nil"/>
            </w:tcBorders>
            <w:shd w:val="clear" w:color="auto" w:fill="auto"/>
            <w:vAlign w:val="center"/>
          </w:tcPr>
          <w:p w14:paraId="72969ED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759041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w:t>
            </w:r>
          </w:p>
        </w:tc>
        <w:tc>
          <w:tcPr>
            <w:tcW w:w="0" w:type="auto"/>
            <w:tcBorders>
              <w:top w:val="nil"/>
              <w:left w:val="nil"/>
              <w:bottom w:val="nil"/>
              <w:right w:val="nil"/>
            </w:tcBorders>
            <w:shd w:val="clear" w:color="auto" w:fill="auto"/>
            <w:vAlign w:val="center"/>
          </w:tcPr>
          <w:p w14:paraId="4CFD9E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38C2C34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22CAE86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5D421D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10,358</w:t>
            </w:r>
          </w:p>
        </w:tc>
        <w:tc>
          <w:tcPr>
            <w:tcW w:w="0" w:type="auto"/>
            <w:tcBorders>
              <w:top w:val="nil"/>
              <w:left w:val="nil"/>
              <w:bottom w:val="nil"/>
              <w:right w:val="nil"/>
            </w:tcBorders>
            <w:shd w:val="clear" w:color="auto" w:fill="auto"/>
            <w:vAlign w:val="center"/>
          </w:tcPr>
          <w:p w14:paraId="4C724A7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10,495</w:t>
            </w:r>
          </w:p>
        </w:tc>
        <w:tc>
          <w:tcPr>
            <w:tcW w:w="0" w:type="auto"/>
            <w:tcBorders>
              <w:top w:val="nil"/>
              <w:left w:val="nil"/>
              <w:bottom w:val="nil"/>
              <w:right w:val="nil"/>
            </w:tcBorders>
            <w:shd w:val="clear" w:color="auto" w:fill="auto"/>
            <w:vAlign w:val="center"/>
          </w:tcPr>
          <w:p w14:paraId="579F42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10,209</w:t>
            </w:r>
          </w:p>
        </w:tc>
        <w:tc>
          <w:tcPr>
            <w:tcW w:w="0" w:type="auto"/>
            <w:tcBorders>
              <w:top w:val="nil"/>
              <w:left w:val="nil"/>
              <w:bottom w:val="nil"/>
              <w:right w:val="nil"/>
            </w:tcBorders>
            <w:shd w:val="clear" w:color="auto" w:fill="auto"/>
            <w:vAlign w:val="center"/>
          </w:tcPr>
          <w:p w14:paraId="13CB98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42</w:t>
            </w:r>
          </w:p>
        </w:tc>
      </w:tr>
      <w:tr w:rsidR="00646F04" w:rsidRPr="00646F04" w14:paraId="16DB533C" w14:textId="77777777" w:rsidTr="00646F04">
        <w:tc>
          <w:tcPr>
            <w:tcW w:w="0" w:type="auto"/>
            <w:tcBorders>
              <w:top w:val="nil"/>
              <w:left w:val="nil"/>
              <w:bottom w:val="nil"/>
              <w:right w:val="nil"/>
            </w:tcBorders>
            <w:shd w:val="clear" w:color="auto" w:fill="auto"/>
            <w:vAlign w:val="center"/>
          </w:tcPr>
          <w:p w14:paraId="225B1C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C67290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2013</w:t>
            </w:r>
          </w:p>
        </w:tc>
        <w:tc>
          <w:tcPr>
            <w:tcW w:w="0" w:type="auto"/>
            <w:tcBorders>
              <w:top w:val="nil"/>
              <w:left w:val="nil"/>
              <w:bottom w:val="nil"/>
              <w:right w:val="nil"/>
            </w:tcBorders>
            <w:shd w:val="clear" w:color="auto" w:fill="auto"/>
            <w:vAlign w:val="center"/>
          </w:tcPr>
          <w:p w14:paraId="3C9ED7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34C2F1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9,428</w:t>
            </w:r>
          </w:p>
        </w:tc>
        <w:tc>
          <w:tcPr>
            <w:tcW w:w="0" w:type="auto"/>
            <w:tcBorders>
              <w:top w:val="nil"/>
              <w:left w:val="nil"/>
              <w:bottom w:val="nil"/>
              <w:right w:val="nil"/>
            </w:tcBorders>
            <w:shd w:val="clear" w:color="auto" w:fill="auto"/>
            <w:vAlign w:val="center"/>
          </w:tcPr>
          <w:p w14:paraId="35AF676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7,114</w:t>
            </w:r>
          </w:p>
        </w:tc>
        <w:tc>
          <w:tcPr>
            <w:tcW w:w="0" w:type="auto"/>
            <w:tcBorders>
              <w:top w:val="nil"/>
              <w:left w:val="nil"/>
              <w:bottom w:val="nil"/>
              <w:right w:val="nil"/>
            </w:tcBorders>
            <w:shd w:val="clear" w:color="auto" w:fill="auto"/>
            <w:vAlign w:val="center"/>
          </w:tcPr>
          <w:p w14:paraId="251E5A6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9,067</w:t>
            </w:r>
          </w:p>
        </w:tc>
        <w:tc>
          <w:tcPr>
            <w:tcW w:w="0" w:type="auto"/>
            <w:tcBorders>
              <w:top w:val="nil"/>
              <w:left w:val="nil"/>
              <w:bottom w:val="nil"/>
              <w:right w:val="nil"/>
            </w:tcBorders>
            <w:shd w:val="clear" w:color="auto" w:fill="auto"/>
            <w:vAlign w:val="center"/>
          </w:tcPr>
          <w:p w14:paraId="187F94B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9,187</w:t>
            </w:r>
          </w:p>
        </w:tc>
        <w:tc>
          <w:tcPr>
            <w:tcW w:w="0" w:type="auto"/>
            <w:tcBorders>
              <w:top w:val="nil"/>
              <w:left w:val="nil"/>
              <w:bottom w:val="nil"/>
              <w:right w:val="nil"/>
            </w:tcBorders>
            <w:shd w:val="clear" w:color="auto" w:fill="auto"/>
            <w:vAlign w:val="center"/>
          </w:tcPr>
          <w:p w14:paraId="7178DBC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8,448</w:t>
            </w:r>
          </w:p>
        </w:tc>
        <w:tc>
          <w:tcPr>
            <w:tcW w:w="0" w:type="auto"/>
            <w:tcBorders>
              <w:top w:val="nil"/>
              <w:left w:val="nil"/>
              <w:bottom w:val="nil"/>
              <w:right w:val="nil"/>
            </w:tcBorders>
            <w:shd w:val="clear" w:color="auto" w:fill="auto"/>
            <w:vAlign w:val="center"/>
          </w:tcPr>
          <w:p w14:paraId="4494AD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292</w:t>
            </w:r>
          </w:p>
        </w:tc>
      </w:tr>
      <w:tr w:rsidR="00646F04" w:rsidRPr="00646F04" w14:paraId="44175AF9" w14:textId="77777777" w:rsidTr="00646F04">
        <w:tc>
          <w:tcPr>
            <w:tcW w:w="0" w:type="auto"/>
            <w:tcBorders>
              <w:top w:val="nil"/>
              <w:left w:val="nil"/>
              <w:bottom w:val="nil"/>
              <w:right w:val="nil"/>
            </w:tcBorders>
            <w:shd w:val="clear" w:color="auto" w:fill="auto"/>
            <w:vAlign w:val="center"/>
          </w:tcPr>
          <w:p w14:paraId="7714D12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4A8B36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2015</w:t>
            </w:r>
          </w:p>
        </w:tc>
        <w:tc>
          <w:tcPr>
            <w:tcW w:w="0" w:type="auto"/>
            <w:tcBorders>
              <w:top w:val="nil"/>
              <w:left w:val="nil"/>
              <w:bottom w:val="nil"/>
              <w:right w:val="nil"/>
            </w:tcBorders>
            <w:shd w:val="clear" w:color="auto" w:fill="auto"/>
            <w:vAlign w:val="center"/>
          </w:tcPr>
          <w:p w14:paraId="06F6BE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42EF41A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9,034</w:t>
            </w:r>
          </w:p>
        </w:tc>
        <w:tc>
          <w:tcPr>
            <w:tcW w:w="0" w:type="auto"/>
            <w:tcBorders>
              <w:top w:val="nil"/>
              <w:left w:val="nil"/>
              <w:bottom w:val="nil"/>
              <w:right w:val="nil"/>
            </w:tcBorders>
            <w:shd w:val="clear" w:color="auto" w:fill="auto"/>
            <w:vAlign w:val="center"/>
          </w:tcPr>
          <w:p w14:paraId="6FB667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7,197</w:t>
            </w:r>
          </w:p>
        </w:tc>
        <w:tc>
          <w:tcPr>
            <w:tcW w:w="0" w:type="auto"/>
            <w:tcBorders>
              <w:top w:val="nil"/>
              <w:left w:val="nil"/>
              <w:bottom w:val="nil"/>
              <w:right w:val="nil"/>
            </w:tcBorders>
            <w:shd w:val="clear" w:color="auto" w:fill="auto"/>
            <w:vAlign w:val="center"/>
          </w:tcPr>
          <w:p w14:paraId="43AF7BC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8,512</w:t>
            </w:r>
          </w:p>
        </w:tc>
        <w:tc>
          <w:tcPr>
            <w:tcW w:w="0" w:type="auto"/>
            <w:tcBorders>
              <w:top w:val="nil"/>
              <w:left w:val="nil"/>
              <w:bottom w:val="nil"/>
              <w:right w:val="nil"/>
            </w:tcBorders>
            <w:shd w:val="clear" w:color="auto" w:fill="auto"/>
            <w:vAlign w:val="center"/>
          </w:tcPr>
          <w:p w14:paraId="3E2CE0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8,841</w:t>
            </w:r>
          </w:p>
        </w:tc>
        <w:tc>
          <w:tcPr>
            <w:tcW w:w="0" w:type="auto"/>
            <w:tcBorders>
              <w:top w:val="nil"/>
              <w:left w:val="nil"/>
              <w:bottom w:val="nil"/>
              <w:right w:val="nil"/>
            </w:tcBorders>
            <w:shd w:val="clear" w:color="auto" w:fill="auto"/>
            <w:vAlign w:val="center"/>
          </w:tcPr>
          <w:p w14:paraId="5A9C539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8,357</w:t>
            </w:r>
          </w:p>
        </w:tc>
        <w:tc>
          <w:tcPr>
            <w:tcW w:w="0" w:type="auto"/>
            <w:tcBorders>
              <w:top w:val="nil"/>
              <w:left w:val="nil"/>
              <w:bottom w:val="nil"/>
              <w:right w:val="nil"/>
            </w:tcBorders>
            <w:shd w:val="clear" w:color="auto" w:fill="auto"/>
            <w:vAlign w:val="center"/>
          </w:tcPr>
          <w:p w14:paraId="3A3FFE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678</w:t>
            </w:r>
          </w:p>
        </w:tc>
      </w:tr>
      <w:tr w:rsidR="00646F04" w:rsidRPr="00646F04" w14:paraId="548E2990" w14:textId="77777777" w:rsidTr="00646F04">
        <w:tc>
          <w:tcPr>
            <w:tcW w:w="0" w:type="auto"/>
            <w:tcBorders>
              <w:top w:val="nil"/>
              <w:left w:val="nil"/>
              <w:bottom w:val="nil"/>
              <w:right w:val="nil"/>
            </w:tcBorders>
            <w:shd w:val="clear" w:color="auto" w:fill="auto"/>
            <w:vAlign w:val="center"/>
          </w:tcPr>
          <w:p w14:paraId="4F09D4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718EF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2018</w:t>
            </w:r>
          </w:p>
        </w:tc>
        <w:tc>
          <w:tcPr>
            <w:tcW w:w="0" w:type="auto"/>
            <w:tcBorders>
              <w:top w:val="nil"/>
              <w:left w:val="nil"/>
              <w:bottom w:val="nil"/>
              <w:right w:val="nil"/>
            </w:tcBorders>
            <w:shd w:val="clear" w:color="auto" w:fill="auto"/>
            <w:vAlign w:val="center"/>
          </w:tcPr>
          <w:p w14:paraId="22A9209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4D5372C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8,306</w:t>
            </w:r>
          </w:p>
        </w:tc>
        <w:tc>
          <w:tcPr>
            <w:tcW w:w="0" w:type="auto"/>
            <w:tcBorders>
              <w:top w:val="nil"/>
              <w:left w:val="nil"/>
              <w:bottom w:val="nil"/>
              <w:right w:val="nil"/>
            </w:tcBorders>
            <w:shd w:val="clear" w:color="auto" w:fill="auto"/>
            <w:vAlign w:val="center"/>
          </w:tcPr>
          <w:p w14:paraId="1567322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w:t>
            </w:r>
          </w:p>
        </w:tc>
        <w:tc>
          <w:tcPr>
            <w:tcW w:w="0" w:type="auto"/>
            <w:tcBorders>
              <w:top w:val="nil"/>
              <w:left w:val="nil"/>
              <w:bottom w:val="nil"/>
              <w:right w:val="nil"/>
            </w:tcBorders>
            <w:shd w:val="clear" w:color="auto" w:fill="auto"/>
            <w:vAlign w:val="center"/>
          </w:tcPr>
          <w:p w14:paraId="32FBF7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8,293</w:t>
            </w:r>
          </w:p>
        </w:tc>
        <w:tc>
          <w:tcPr>
            <w:tcW w:w="0" w:type="auto"/>
            <w:tcBorders>
              <w:top w:val="nil"/>
              <w:left w:val="nil"/>
              <w:bottom w:val="nil"/>
              <w:right w:val="nil"/>
            </w:tcBorders>
            <w:shd w:val="clear" w:color="auto" w:fill="auto"/>
            <w:vAlign w:val="center"/>
          </w:tcPr>
          <w:p w14:paraId="0758BAA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8,283</w:t>
            </w:r>
          </w:p>
        </w:tc>
        <w:tc>
          <w:tcPr>
            <w:tcW w:w="0" w:type="auto"/>
            <w:tcBorders>
              <w:top w:val="nil"/>
              <w:left w:val="nil"/>
              <w:bottom w:val="nil"/>
              <w:right w:val="nil"/>
            </w:tcBorders>
            <w:shd w:val="clear" w:color="auto" w:fill="auto"/>
            <w:vAlign w:val="center"/>
          </w:tcPr>
          <w:p w14:paraId="71FE66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5,905</w:t>
            </w:r>
          </w:p>
        </w:tc>
        <w:tc>
          <w:tcPr>
            <w:tcW w:w="0" w:type="auto"/>
            <w:tcBorders>
              <w:top w:val="nil"/>
              <w:left w:val="nil"/>
              <w:bottom w:val="nil"/>
              <w:right w:val="nil"/>
            </w:tcBorders>
            <w:shd w:val="clear" w:color="auto" w:fill="auto"/>
            <w:vAlign w:val="center"/>
          </w:tcPr>
          <w:p w14:paraId="479FB2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1,301</w:t>
            </w:r>
          </w:p>
        </w:tc>
      </w:tr>
      <w:tr w:rsidR="00646F04" w:rsidRPr="00646F04" w14:paraId="20272840" w14:textId="77777777" w:rsidTr="00646F04">
        <w:tc>
          <w:tcPr>
            <w:tcW w:w="0" w:type="auto"/>
            <w:tcBorders>
              <w:top w:val="nil"/>
              <w:left w:val="nil"/>
              <w:bottom w:val="nil"/>
              <w:right w:val="nil"/>
            </w:tcBorders>
            <w:shd w:val="clear" w:color="auto" w:fill="auto"/>
            <w:vAlign w:val="center"/>
          </w:tcPr>
          <w:p w14:paraId="6CDD6B3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56687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2020</w:t>
            </w:r>
          </w:p>
        </w:tc>
        <w:tc>
          <w:tcPr>
            <w:tcW w:w="0" w:type="auto"/>
            <w:tcBorders>
              <w:top w:val="nil"/>
              <w:left w:val="nil"/>
              <w:bottom w:val="nil"/>
              <w:right w:val="nil"/>
            </w:tcBorders>
            <w:shd w:val="clear" w:color="auto" w:fill="auto"/>
            <w:vAlign w:val="center"/>
          </w:tcPr>
          <w:p w14:paraId="4962687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10,553</w:t>
            </w:r>
          </w:p>
        </w:tc>
        <w:tc>
          <w:tcPr>
            <w:tcW w:w="0" w:type="auto"/>
            <w:tcBorders>
              <w:top w:val="nil"/>
              <w:left w:val="nil"/>
              <w:bottom w:val="nil"/>
              <w:right w:val="nil"/>
            </w:tcBorders>
            <w:shd w:val="clear" w:color="auto" w:fill="auto"/>
            <w:vAlign w:val="center"/>
          </w:tcPr>
          <w:p w14:paraId="5F4EC45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7,874</w:t>
            </w:r>
          </w:p>
        </w:tc>
        <w:tc>
          <w:tcPr>
            <w:tcW w:w="0" w:type="auto"/>
            <w:tcBorders>
              <w:top w:val="nil"/>
              <w:left w:val="nil"/>
              <w:bottom w:val="nil"/>
              <w:right w:val="nil"/>
            </w:tcBorders>
            <w:shd w:val="clear" w:color="auto" w:fill="auto"/>
            <w:vAlign w:val="center"/>
          </w:tcPr>
          <w:p w14:paraId="6BCE59E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w:t>
            </w:r>
          </w:p>
        </w:tc>
        <w:tc>
          <w:tcPr>
            <w:tcW w:w="0" w:type="auto"/>
            <w:tcBorders>
              <w:top w:val="nil"/>
              <w:left w:val="nil"/>
              <w:bottom w:val="nil"/>
              <w:right w:val="nil"/>
            </w:tcBorders>
            <w:shd w:val="clear" w:color="auto" w:fill="auto"/>
            <w:vAlign w:val="center"/>
          </w:tcPr>
          <w:p w14:paraId="665AC9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3,110</w:t>
            </w:r>
          </w:p>
        </w:tc>
        <w:tc>
          <w:tcPr>
            <w:tcW w:w="0" w:type="auto"/>
            <w:tcBorders>
              <w:top w:val="nil"/>
              <w:left w:val="nil"/>
              <w:bottom w:val="nil"/>
              <w:right w:val="nil"/>
            </w:tcBorders>
            <w:shd w:val="clear" w:color="auto" w:fill="auto"/>
            <w:vAlign w:val="center"/>
          </w:tcPr>
          <w:p w14:paraId="43E8A0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7,866</w:t>
            </w:r>
          </w:p>
        </w:tc>
        <w:tc>
          <w:tcPr>
            <w:tcW w:w="0" w:type="auto"/>
            <w:tcBorders>
              <w:top w:val="nil"/>
              <w:left w:val="nil"/>
              <w:bottom w:val="nil"/>
              <w:right w:val="nil"/>
            </w:tcBorders>
            <w:shd w:val="clear" w:color="auto" w:fill="auto"/>
            <w:vAlign w:val="center"/>
          </w:tcPr>
          <w:p w14:paraId="4E4F1FD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w:t>
            </w:r>
          </w:p>
        </w:tc>
        <w:tc>
          <w:tcPr>
            <w:tcW w:w="0" w:type="auto"/>
            <w:tcBorders>
              <w:top w:val="nil"/>
              <w:left w:val="nil"/>
              <w:bottom w:val="nil"/>
              <w:right w:val="nil"/>
            </w:tcBorders>
            <w:shd w:val="clear" w:color="auto" w:fill="auto"/>
            <w:vAlign w:val="center"/>
          </w:tcPr>
          <w:p w14:paraId="4C84DD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1,741</w:t>
            </w:r>
          </w:p>
        </w:tc>
      </w:tr>
      <w:tr w:rsidR="00646F04" w:rsidRPr="00646F04" w14:paraId="5A384139" w14:textId="77777777" w:rsidTr="00646F04">
        <w:tc>
          <w:tcPr>
            <w:tcW w:w="0" w:type="auto"/>
            <w:tcBorders>
              <w:top w:val="nil"/>
              <w:left w:val="nil"/>
              <w:bottom w:val="nil"/>
              <w:right w:val="nil"/>
            </w:tcBorders>
            <w:shd w:val="clear" w:color="auto" w:fill="auto"/>
            <w:vAlign w:val="center"/>
          </w:tcPr>
          <w:p w14:paraId="193FEB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443E50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w:t>
            </w:r>
          </w:p>
        </w:tc>
        <w:tc>
          <w:tcPr>
            <w:tcW w:w="0" w:type="auto"/>
            <w:tcBorders>
              <w:top w:val="nil"/>
              <w:left w:val="nil"/>
              <w:bottom w:val="nil"/>
              <w:right w:val="nil"/>
            </w:tcBorders>
            <w:shd w:val="clear" w:color="auto" w:fill="auto"/>
            <w:vAlign w:val="center"/>
          </w:tcPr>
          <w:p w14:paraId="259BA69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8,011</w:t>
            </w:r>
          </w:p>
        </w:tc>
        <w:tc>
          <w:tcPr>
            <w:tcW w:w="0" w:type="auto"/>
            <w:tcBorders>
              <w:top w:val="nil"/>
              <w:left w:val="nil"/>
              <w:bottom w:val="nil"/>
              <w:right w:val="nil"/>
            </w:tcBorders>
            <w:shd w:val="clear" w:color="auto" w:fill="auto"/>
            <w:vAlign w:val="center"/>
          </w:tcPr>
          <w:p w14:paraId="5F53AC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8,011</w:t>
            </w:r>
          </w:p>
        </w:tc>
        <w:tc>
          <w:tcPr>
            <w:tcW w:w="0" w:type="auto"/>
            <w:tcBorders>
              <w:top w:val="nil"/>
              <w:left w:val="nil"/>
              <w:bottom w:val="nil"/>
              <w:right w:val="nil"/>
            </w:tcBorders>
            <w:shd w:val="clear" w:color="auto" w:fill="auto"/>
            <w:vAlign w:val="center"/>
          </w:tcPr>
          <w:p w14:paraId="280F7D0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8,011</w:t>
            </w:r>
          </w:p>
        </w:tc>
        <w:tc>
          <w:tcPr>
            <w:tcW w:w="0" w:type="auto"/>
            <w:tcBorders>
              <w:top w:val="nil"/>
              <w:left w:val="nil"/>
              <w:bottom w:val="nil"/>
              <w:right w:val="nil"/>
            </w:tcBorders>
            <w:shd w:val="clear" w:color="auto" w:fill="auto"/>
            <w:vAlign w:val="center"/>
          </w:tcPr>
          <w:p w14:paraId="753D682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8,011</w:t>
            </w:r>
          </w:p>
        </w:tc>
        <w:tc>
          <w:tcPr>
            <w:tcW w:w="0" w:type="auto"/>
            <w:tcBorders>
              <w:top w:val="nil"/>
              <w:left w:val="nil"/>
              <w:bottom w:val="nil"/>
              <w:right w:val="nil"/>
            </w:tcBorders>
            <w:shd w:val="clear" w:color="auto" w:fill="auto"/>
            <w:vAlign w:val="center"/>
          </w:tcPr>
          <w:p w14:paraId="4FD0EFB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7,584</w:t>
            </w:r>
          </w:p>
        </w:tc>
        <w:tc>
          <w:tcPr>
            <w:tcW w:w="0" w:type="auto"/>
            <w:tcBorders>
              <w:top w:val="nil"/>
              <w:left w:val="nil"/>
              <w:bottom w:val="nil"/>
              <w:right w:val="nil"/>
            </w:tcBorders>
            <w:shd w:val="clear" w:color="auto" w:fill="auto"/>
            <w:vAlign w:val="center"/>
          </w:tcPr>
          <w:p w14:paraId="1D881F3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8,010</w:t>
            </w:r>
          </w:p>
        </w:tc>
        <w:tc>
          <w:tcPr>
            <w:tcW w:w="0" w:type="auto"/>
            <w:tcBorders>
              <w:top w:val="nil"/>
              <w:left w:val="nil"/>
              <w:bottom w:val="nil"/>
              <w:right w:val="nil"/>
            </w:tcBorders>
            <w:shd w:val="clear" w:color="auto" w:fill="auto"/>
            <w:vAlign w:val="center"/>
          </w:tcPr>
          <w:p w14:paraId="0A22202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32</w:t>
            </w:r>
          </w:p>
        </w:tc>
      </w:tr>
      <w:tr w:rsidR="00646F04" w:rsidRPr="00646F04" w14:paraId="25D6F248" w14:textId="77777777" w:rsidTr="00646F04">
        <w:tc>
          <w:tcPr>
            <w:tcW w:w="0" w:type="auto"/>
            <w:tcBorders>
              <w:top w:val="nil"/>
              <w:left w:val="nil"/>
              <w:bottom w:val="nil"/>
              <w:right w:val="nil"/>
            </w:tcBorders>
            <w:shd w:val="clear" w:color="auto" w:fill="auto"/>
            <w:vAlign w:val="center"/>
          </w:tcPr>
          <w:p w14:paraId="3B2B05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7C79C2E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2012</w:t>
            </w:r>
          </w:p>
        </w:tc>
        <w:tc>
          <w:tcPr>
            <w:tcW w:w="0" w:type="auto"/>
            <w:tcBorders>
              <w:top w:val="nil"/>
              <w:left w:val="nil"/>
              <w:bottom w:val="nil"/>
              <w:right w:val="nil"/>
            </w:tcBorders>
            <w:shd w:val="clear" w:color="auto" w:fill="auto"/>
            <w:vAlign w:val="center"/>
          </w:tcPr>
          <w:p w14:paraId="6638383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nil"/>
              <w:right w:val="nil"/>
            </w:tcBorders>
            <w:shd w:val="clear" w:color="auto" w:fill="auto"/>
            <w:vAlign w:val="center"/>
          </w:tcPr>
          <w:p w14:paraId="15D19DA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15,120</w:t>
            </w:r>
          </w:p>
        </w:tc>
        <w:tc>
          <w:tcPr>
            <w:tcW w:w="0" w:type="auto"/>
            <w:tcBorders>
              <w:top w:val="nil"/>
              <w:left w:val="nil"/>
              <w:bottom w:val="nil"/>
              <w:right w:val="nil"/>
            </w:tcBorders>
            <w:shd w:val="clear" w:color="auto" w:fill="auto"/>
            <w:vAlign w:val="center"/>
          </w:tcPr>
          <w:p w14:paraId="259ACDD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7,688</w:t>
            </w:r>
          </w:p>
        </w:tc>
        <w:tc>
          <w:tcPr>
            <w:tcW w:w="0" w:type="auto"/>
            <w:tcBorders>
              <w:top w:val="nil"/>
              <w:left w:val="nil"/>
              <w:bottom w:val="nil"/>
              <w:right w:val="nil"/>
            </w:tcBorders>
            <w:shd w:val="clear" w:color="auto" w:fill="auto"/>
            <w:vAlign w:val="center"/>
          </w:tcPr>
          <w:p w14:paraId="3ED687D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15,120</w:t>
            </w:r>
          </w:p>
        </w:tc>
        <w:tc>
          <w:tcPr>
            <w:tcW w:w="0" w:type="auto"/>
            <w:tcBorders>
              <w:top w:val="nil"/>
              <w:left w:val="nil"/>
              <w:bottom w:val="nil"/>
              <w:right w:val="nil"/>
            </w:tcBorders>
            <w:shd w:val="clear" w:color="auto" w:fill="auto"/>
            <w:vAlign w:val="center"/>
          </w:tcPr>
          <w:p w14:paraId="472636C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14,406</w:t>
            </w:r>
          </w:p>
        </w:tc>
        <w:tc>
          <w:tcPr>
            <w:tcW w:w="0" w:type="auto"/>
            <w:tcBorders>
              <w:top w:val="nil"/>
              <w:left w:val="nil"/>
              <w:bottom w:val="nil"/>
              <w:right w:val="nil"/>
            </w:tcBorders>
            <w:shd w:val="clear" w:color="auto" w:fill="auto"/>
            <w:vAlign w:val="center"/>
          </w:tcPr>
          <w:p w14:paraId="2010F4F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14,927</w:t>
            </w:r>
          </w:p>
        </w:tc>
        <w:tc>
          <w:tcPr>
            <w:tcW w:w="0" w:type="auto"/>
            <w:tcBorders>
              <w:top w:val="nil"/>
              <w:left w:val="nil"/>
              <w:bottom w:val="nil"/>
              <w:right w:val="nil"/>
            </w:tcBorders>
            <w:shd w:val="clear" w:color="auto" w:fill="auto"/>
            <w:vAlign w:val="center"/>
          </w:tcPr>
          <w:p w14:paraId="4592A52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393</w:t>
            </w:r>
          </w:p>
        </w:tc>
      </w:tr>
      <w:tr w:rsidR="00646F04" w:rsidRPr="00646F04" w14:paraId="57CCE527" w14:textId="77777777" w:rsidTr="00646F04">
        <w:tc>
          <w:tcPr>
            <w:tcW w:w="0" w:type="auto"/>
            <w:tcBorders>
              <w:top w:val="nil"/>
              <w:left w:val="nil"/>
              <w:bottom w:val="nil"/>
              <w:right w:val="nil"/>
            </w:tcBorders>
            <w:shd w:val="clear" w:color="auto" w:fill="auto"/>
            <w:vAlign w:val="center"/>
          </w:tcPr>
          <w:p w14:paraId="42198C9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932A3C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2014</w:t>
            </w:r>
          </w:p>
        </w:tc>
        <w:tc>
          <w:tcPr>
            <w:tcW w:w="0" w:type="auto"/>
            <w:tcBorders>
              <w:top w:val="nil"/>
              <w:left w:val="nil"/>
              <w:bottom w:val="nil"/>
              <w:right w:val="nil"/>
            </w:tcBorders>
            <w:shd w:val="clear" w:color="auto" w:fill="auto"/>
            <w:vAlign w:val="center"/>
          </w:tcPr>
          <w:p w14:paraId="56C1712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nil"/>
              <w:right w:val="nil"/>
            </w:tcBorders>
            <w:shd w:val="clear" w:color="auto" w:fill="auto"/>
            <w:vAlign w:val="center"/>
          </w:tcPr>
          <w:p w14:paraId="561F45B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13,798</w:t>
            </w:r>
          </w:p>
        </w:tc>
        <w:tc>
          <w:tcPr>
            <w:tcW w:w="0" w:type="auto"/>
            <w:tcBorders>
              <w:top w:val="nil"/>
              <w:left w:val="nil"/>
              <w:bottom w:val="nil"/>
              <w:right w:val="nil"/>
            </w:tcBorders>
            <w:shd w:val="clear" w:color="auto" w:fill="auto"/>
            <w:vAlign w:val="center"/>
          </w:tcPr>
          <w:p w14:paraId="08C2D8E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5,960</w:t>
            </w:r>
          </w:p>
        </w:tc>
        <w:tc>
          <w:tcPr>
            <w:tcW w:w="0" w:type="auto"/>
            <w:tcBorders>
              <w:top w:val="nil"/>
              <w:left w:val="nil"/>
              <w:bottom w:val="nil"/>
              <w:right w:val="nil"/>
            </w:tcBorders>
            <w:shd w:val="clear" w:color="auto" w:fill="auto"/>
            <w:vAlign w:val="center"/>
          </w:tcPr>
          <w:p w14:paraId="3606B6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13,798</w:t>
            </w:r>
          </w:p>
        </w:tc>
        <w:tc>
          <w:tcPr>
            <w:tcW w:w="0" w:type="auto"/>
            <w:tcBorders>
              <w:top w:val="nil"/>
              <w:left w:val="nil"/>
              <w:bottom w:val="nil"/>
              <w:right w:val="nil"/>
            </w:tcBorders>
            <w:shd w:val="clear" w:color="auto" w:fill="auto"/>
            <w:vAlign w:val="center"/>
          </w:tcPr>
          <w:p w14:paraId="3AA1D33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13,110</w:t>
            </w:r>
          </w:p>
        </w:tc>
        <w:tc>
          <w:tcPr>
            <w:tcW w:w="0" w:type="auto"/>
            <w:tcBorders>
              <w:top w:val="nil"/>
              <w:left w:val="nil"/>
              <w:bottom w:val="nil"/>
              <w:right w:val="nil"/>
            </w:tcBorders>
            <w:shd w:val="clear" w:color="auto" w:fill="auto"/>
            <w:vAlign w:val="center"/>
          </w:tcPr>
          <w:p w14:paraId="6D30AEC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13,424</w:t>
            </w:r>
          </w:p>
        </w:tc>
        <w:tc>
          <w:tcPr>
            <w:tcW w:w="0" w:type="auto"/>
            <w:tcBorders>
              <w:top w:val="nil"/>
              <w:left w:val="nil"/>
              <w:bottom w:val="nil"/>
              <w:right w:val="nil"/>
            </w:tcBorders>
            <w:shd w:val="clear" w:color="auto" w:fill="auto"/>
            <w:vAlign w:val="center"/>
          </w:tcPr>
          <w:p w14:paraId="7FAE2B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1,142</w:t>
            </w:r>
          </w:p>
        </w:tc>
      </w:tr>
      <w:tr w:rsidR="00646F04" w:rsidRPr="00646F04" w14:paraId="45D090FB" w14:textId="77777777" w:rsidTr="00646F04">
        <w:tc>
          <w:tcPr>
            <w:tcW w:w="0" w:type="auto"/>
            <w:tcBorders>
              <w:top w:val="nil"/>
              <w:left w:val="nil"/>
              <w:bottom w:val="nil"/>
              <w:right w:val="nil"/>
            </w:tcBorders>
            <w:shd w:val="clear" w:color="auto" w:fill="auto"/>
            <w:vAlign w:val="center"/>
          </w:tcPr>
          <w:p w14:paraId="6A7FFA6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4AB56D0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2016</w:t>
            </w:r>
          </w:p>
        </w:tc>
        <w:tc>
          <w:tcPr>
            <w:tcW w:w="0" w:type="auto"/>
            <w:tcBorders>
              <w:top w:val="nil"/>
              <w:left w:val="nil"/>
              <w:bottom w:val="nil"/>
              <w:right w:val="nil"/>
            </w:tcBorders>
            <w:shd w:val="clear" w:color="auto" w:fill="auto"/>
            <w:vAlign w:val="center"/>
          </w:tcPr>
          <w:p w14:paraId="2D2551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nil"/>
              <w:right w:val="nil"/>
            </w:tcBorders>
            <w:shd w:val="clear" w:color="auto" w:fill="auto"/>
            <w:vAlign w:val="center"/>
          </w:tcPr>
          <w:p w14:paraId="0BADF9E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12,328</w:t>
            </w:r>
          </w:p>
        </w:tc>
        <w:tc>
          <w:tcPr>
            <w:tcW w:w="0" w:type="auto"/>
            <w:tcBorders>
              <w:top w:val="nil"/>
              <w:left w:val="nil"/>
              <w:bottom w:val="nil"/>
              <w:right w:val="nil"/>
            </w:tcBorders>
            <w:shd w:val="clear" w:color="auto" w:fill="auto"/>
            <w:vAlign w:val="center"/>
          </w:tcPr>
          <w:p w14:paraId="2C58EC7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5,249</w:t>
            </w:r>
          </w:p>
        </w:tc>
        <w:tc>
          <w:tcPr>
            <w:tcW w:w="0" w:type="auto"/>
            <w:tcBorders>
              <w:top w:val="nil"/>
              <w:left w:val="nil"/>
              <w:bottom w:val="nil"/>
              <w:right w:val="nil"/>
            </w:tcBorders>
            <w:shd w:val="clear" w:color="auto" w:fill="auto"/>
            <w:vAlign w:val="center"/>
          </w:tcPr>
          <w:p w14:paraId="6A7420A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12,328</w:t>
            </w:r>
          </w:p>
        </w:tc>
        <w:tc>
          <w:tcPr>
            <w:tcW w:w="0" w:type="auto"/>
            <w:tcBorders>
              <w:top w:val="nil"/>
              <w:left w:val="nil"/>
              <w:bottom w:val="nil"/>
              <w:right w:val="nil"/>
            </w:tcBorders>
            <w:shd w:val="clear" w:color="auto" w:fill="auto"/>
            <w:vAlign w:val="center"/>
          </w:tcPr>
          <w:p w14:paraId="041603A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11,668</w:t>
            </w:r>
          </w:p>
        </w:tc>
        <w:tc>
          <w:tcPr>
            <w:tcW w:w="0" w:type="auto"/>
            <w:tcBorders>
              <w:top w:val="nil"/>
              <w:left w:val="nil"/>
              <w:bottom w:val="nil"/>
              <w:right w:val="nil"/>
            </w:tcBorders>
            <w:shd w:val="clear" w:color="auto" w:fill="auto"/>
            <w:vAlign w:val="center"/>
          </w:tcPr>
          <w:p w14:paraId="5B962A9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11,857</w:t>
            </w:r>
          </w:p>
        </w:tc>
        <w:tc>
          <w:tcPr>
            <w:tcW w:w="0" w:type="auto"/>
            <w:tcBorders>
              <w:top w:val="nil"/>
              <w:left w:val="nil"/>
              <w:bottom w:val="nil"/>
              <w:right w:val="nil"/>
            </w:tcBorders>
            <w:shd w:val="clear" w:color="auto" w:fill="auto"/>
            <w:vAlign w:val="center"/>
          </w:tcPr>
          <w:p w14:paraId="2AEC49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1,974</w:t>
            </w:r>
          </w:p>
        </w:tc>
      </w:tr>
      <w:tr w:rsidR="00646F04" w:rsidRPr="00646F04" w14:paraId="5CC87600" w14:textId="77777777" w:rsidTr="00646F04">
        <w:tc>
          <w:tcPr>
            <w:tcW w:w="0" w:type="auto"/>
            <w:tcBorders>
              <w:top w:val="nil"/>
              <w:left w:val="nil"/>
              <w:bottom w:val="nil"/>
              <w:right w:val="nil"/>
            </w:tcBorders>
            <w:shd w:val="clear" w:color="auto" w:fill="auto"/>
            <w:vAlign w:val="center"/>
          </w:tcPr>
          <w:p w14:paraId="6D56C69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350CC3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2018</w:t>
            </w:r>
          </w:p>
        </w:tc>
        <w:tc>
          <w:tcPr>
            <w:tcW w:w="0" w:type="auto"/>
            <w:tcBorders>
              <w:top w:val="nil"/>
              <w:left w:val="nil"/>
              <w:bottom w:val="nil"/>
              <w:right w:val="nil"/>
            </w:tcBorders>
            <w:shd w:val="clear" w:color="auto" w:fill="auto"/>
            <w:vAlign w:val="center"/>
          </w:tcPr>
          <w:p w14:paraId="45B9C33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nil"/>
              <w:right w:val="nil"/>
            </w:tcBorders>
            <w:shd w:val="clear" w:color="auto" w:fill="auto"/>
            <w:vAlign w:val="center"/>
          </w:tcPr>
          <w:p w14:paraId="0283ED8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10,295</w:t>
            </w:r>
          </w:p>
        </w:tc>
        <w:tc>
          <w:tcPr>
            <w:tcW w:w="0" w:type="auto"/>
            <w:tcBorders>
              <w:top w:val="nil"/>
              <w:left w:val="nil"/>
              <w:bottom w:val="nil"/>
              <w:right w:val="nil"/>
            </w:tcBorders>
            <w:shd w:val="clear" w:color="auto" w:fill="auto"/>
            <w:vAlign w:val="center"/>
          </w:tcPr>
          <w:p w14:paraId="1A3B286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4,251</w:t>
            </w:r>
          </w:p>
        </w:tc>
        <w:tc>
          <w:tcPr>
            <w:tcW w:w="0" w:type="auto"/>
            <w:tcBorders>
              <w:top w:val="nil"/>
              <w:left w:val="nil"/>
              <w:bottom w:val="nil"/>
              <w:right w:val="nil"/>
            </w:tcBorders>
            <w:shd w:val="clear" w:color="auto" w:fill="auto"/>
            <w:vAlign w:val="center"/>
          </w:tcPr>
          <w:p w14:paraId="6A890C1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10,295</w:t>
            </w:r>
          </w:p>
        </w:tc>
        <w:tc>
          <w:tcPr>
            <w:tcW w:w="0" w:type="auto"/>
            <w:tcBorders>
              <w:top w:val="nil"/>
              <w:left w:val="nil"/>
              <w:bottom w:val="nil"/>
              <w:right w:val="nil"/>
            </w:tcBorders>
            <w:shd w:val="clear" w:color="auto" w:fill="auto"/>
            <w:vAlign w:val="center"/>
          </w:tcPr>
          <w:p w14:paraId="26A2EDE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9,763</w:t>
            </w:r>
          </w:p>
        </w:tc>
        <w:tc>
          <w:tcPr>
            <w:tcW w:w="0" w:type="auto"/>
            <w:tcBorders>
              <w:top w:val="nil"/>
              <w:left w:val="nil"/>
              <w:bottom w:val="nil"/>
              <w:right w:val="nil"/>
            </w:tcBorders>
            <w:shd w:val="clear" w:color="auto" w:fill="auto"/>
            <w:vAlign w:val="center"/>
          </w:tcPr>
          <w:p w14:paraId="538DC5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9,855</w:t>
            </w:r>
          </w:p>
        </w:tc>
        <w:tc>
          <w:tcPr>
            <w:tcW w:w="0" w:type="auto"/>
            <w:tcBorders>
              <w:top w:val="nil"/>
              <w:left w:val="nil"/>
              <w:bottom w:val="nil"/>
              <w:right w:val="nil"/>
            </w:tcBorders>
            <w:shd w:val="clear" w:color="auto" w:fill="auto"/>
            <w:vAlign w:val="center"/>
          </w:tcPr>
          <w:p w14:paraId="00E498D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2,841</w:t>
            </w:r>
          </w:p>
        </w:tc>
      </w:tr>
      <w:tr w:rsidR="00646F04" w:rsidRPr="00646F04" w14:paraId="0EC0F325" w14:textId="77777777" w:rsidTr="00646F04">
        <w:tc>
          <w:tcPr>
            <w:tcW w:w="0" w:type="auto"/>
            <w:tcBorders>
              <w:top w:val="nil"/>
              <w:left w:val="nil"/>
              <w:bottom w:val="single" w:sz="8" w:space="0" w:color="404040"/>
              <w:right w:val="nil"/>
            </w:tcBorders>
            <w:shd w:val="clear" w:color="auto" w:fill="auto"/>
            <w:vAlign w:val="center"/>
          </w:tcPr>
          <w:p w14:paraId="1163CE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3CF789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2020</w:t>
            </w:r>
          </w:p>
        </w:tc>
        <w:tc>
          <w:tcPr>
            <w:tcW w:w="0" w:type="auto"/>
            <w:tcBorders>
              <w:top w:val="nil"/>
              <w:left w:val="nil"/>
              <w:bottom w:val="single" w:sz="8" w:space="0" w:color="404040"/>
              <w:right w:val="nil"/>
            </w:tcBorders>
            <w:shd w:val="clear" w:color="auto" w:fill="auto"/>
            <w:vAlign w:val="center"/>
          </w:tcPr>
          <w:p w14:paraId="7F51C0C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15,699</w:t>
            </w:r>
          </w:p>
        </w:tc>
        <w:tc>
          <w:tcPr>
            <w:tcW w:w="0" w:type="auto"/>
            <w:tcBorders>
              <w:top w:val="nil"/>
              <w:left w:val="nil"/>
              <w:bottom w:val="single" w:sz="8" w:space="0" w:color="404040"/>
              <w:right w:val="nil"/>
            </w:tcBorders>
            <w:shd w:val="clear" w:color="auto" w:fill="auto"/>
            <w:vAlign w:val="center"/>
          </w:tcPr>
          <w:p w14:paraId="7E5D018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9,390</w:t>
            </w:r>
          </w:p>
        </w:tc>
        <w:tc>
          <w:tcPr>
            <w:tcW w:w="0" w:type="auto"/>
            <w:tcBorders>
              <w:top w:val="nil"/>
              <w:left w:val="nil"/>
              <w:bottom w:val="single" w:sz="8" w:space="0" w:color="404040"/>
              <w:right w:val="nil"/>
            </w:tcBorders>
            <w:shd w:val="clear" w:color="auto" w:fill="auto"/>
            <w:vAlign w:val="center"/>
          </w:tcPr>
          <w:p w14:paraId="510FBE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w:t>
            </w:r>
          </w:p>
        </w:tc>
        <w:tc>
          <w:tcPr>
            <w:tcW w:w="0" w:type="auto"/>
            <w:tcBorders>
              <w:top w:val="nil"/>
              <w:left w:val="nil"/>
              <w:bottom w:val="single" w:sz="8" w:space="0" w:color="404040"/>
              <w:right w:val="nil"/>
            </w:tcBorders>
            <w:shd w:val="clear" w:color="auto" w:fill="auto"/>
            <w:vAlign w:val="center"/>
          </w:tcPr>
          <w:p w14:paraId="63FAF33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9,390</w:t>
            </w:r>
          </w:p>
        </w:tc>
        <w:tc>
          <w:tcPr>
            <w:tcW w:w="0" w:type="auto"/>
            <w:tcBorders>
              <w:top w:val="nil"/>
              <w:left w:val="nil"/>
              <w:bottom w:val="single" w:sz="8" w:space="0" w:color="404040"/>
              <w:right w:val="nil"/>
            </w:tcBorders>
            <w:shd w:val="clear" w:color="auto" w:fill="auto"/>
            <w:vAlign w:val="center"/>
          </w:tcPr>
          <w:p w14:paraId="2D51F7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8,911</w:t>
            </w:r>
          </w:p>
        </w:tc>
        <w:tc>
          <w:tcPr>
            <w:tcW w:w="0" w:type="auto"/>
            <w:tcBorders>
              <w:top w:val="nil"/>
              <w:left w:val="nil"/>
              <w:bottom w:val="single" w:sz="8" w:space="0" w:color="404040"/>
              <w:right w:val="nil"/>
            </w:tcBorders>
            <w:shd w:val="clear" w:color="auto" w:fill="auto"/>
            <w:vAlign w:val="center"/>
          </w:tcPr>
          <w:p w14:paraId="3C94884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w:t>
            </w:r>
          </w:p>
        </w:tc>
        <w:tc>
          <w:tcPr>
            <w:tcW w:w="0" w:type="auto"/>
            <w:tcBorders>
              <w:top w:val="nil"/>
              <w:left w:val="nil"/>
              <w:bottom w:val="single" w:sz="8" w:space="0" w:color="404040"/>
              <w:right w:val="nil"/>
            </w:tcBorders>
            <w:shd w:val="clear" w:color="auto" w:fill="auto"/>
            <w:vAlign w:val="center"/>
          </w:tcPr>
          <w:p w14:paraId="293C70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3,825</w:t>
            </w:r>
          </w:p>
        </w:tc>
      </w:tr>
    </w:tbl>
    <w:p w14:paraId="1B3C9787" w14:textId="77777777" w:rsidR="001C2B6A" w:rsidRPr="00646F04" w:rsidRDefault="00000000">
      <w:pPr>
        <w:pStyle w:val="3"/>
        <w:rPr>
          <w:color w:val="000000" w:themeColor="text1"/>
        </w:rPr>
      </w:pPr>
      <w:bookmarkStart w:id="38" w:name="Xfe5c875f9b0e9a0557938393294ca2c98aabdf9"/>
      <w:bookmarkEnd w:id="37"/>
      <w:r w:rsidRPr="00646F04">
        <w:rPr>
          <w:rFonts w:ascii="Arial" w:eastAsia="Source Han Serif SC" w:hAnsi="Arial" w:cs="Arial"/>
          <w:color w:val="000000" w:themeColor="text1"/>
        </w:rPr>
        <w:t>Panel B. Coverage of added non-sensitive contextual domains among completed interviews, by wave (%)</w:t>
      </w:r>
    </w:p>
    <w:tbl>
      <w:tblPr>
        <w:tblStyle w:val="Table"/>
        <w:tblW w:w="5000" w:type="pct"/>
        <w:tblLook w:val="0020" w:firstRow="1" w:lastRow="0" w:firstColumn="0" w:lastColumn="0" w:noHBand="0" w:noVBand="0"/>
      </w:tblPr>
      <w:tblGrid>
        <w:gridCol w:w="2045"/>
        <w:gridCol w:w="4291"/>
        <w:gridCol w:w="5113"/>
        <w:gridCol w:w="3229"/>
      </w:tblGrid>
      <w:tr w:rsidR="00646F04" w:rsidRPr="00646F04" w14:paraId="2D55EE94"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7E8DDBA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Variable</w:t>
            </w:r>
          </w:p>
        </w:tc>
        <w:tc>
          <w:tcPr>
            <w:tcW w:w="0" w:type="auto"/>
            <w:tcBorders>
              <w:top w:val="single" w:sz="8" w:space="0" w:color="404040"/>
              <w:left w:val="nil"/>
              <w:bottom w:val="single" w:sz="5" w:space="0" w:color="707070"/>
              <w:right w:val="nil"/>
            </w:tcBorders>
            <w:shd w:val="clear" w:color="auto" w:fill="auto"/>
            <w:vAlign w:val="center"/>
          </w:tcPr>
          <w:p w14:paraId="233065B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CHARLS coverage sequence by year</w:t>
            </w:r>
          </w:p>
        </w:tc>
        <w:tc>
          <w:tcPr>
            <w:tcW w:w="0" w:type="auto"/>
            <w:tcBorders>
              <w:top w:val="single" w:sz="8" w:space="0" w:color="404040"/>
              <w:left w:val="nil"/>
              <w:bottom w:val="single" w:sz="5" w:space="0" w:color="707070"/>
              <w:right w:val="nil"/>
            </w:tcBorders>
            <w:shd w:val="clear" w:color="auto" w:fill="auto"/>
            <w:vAlign w:val="center"/>
          </w:tcPr>
          <w:p w14:paraId="12BA10D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HRS coverage sequence by year</w:t>
            </w:r>
          </w:p>
        </w:tc>
        <w:tc>
          <w:tcPr>
            <w:tcW w:w="0" w:type="auto"/>
            <w:tcBorders>
              <w:top w:val="single" w:sz="8" w:space="0" w:color="404040"/>
              <w:left w:val="nil"/>
              <w:bottom w:val="single" w:sz="5" w:space="0" w:color="707070"/>
              <w:right w:val="nil"/>
            </w:tcBorders>
            <w:shd w:val="clear" w:color="auto" w:fill="auto"/>
            <w:vAlign w:val="center"/>
          </w:tcPr>
          <w:p w14:paraId="0724E44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Interpretation</w:t>
            </w:r>
          </w:p>
        </w:tc>
      </w:tr>
      <w:tr w:rsidR="00646F04" w:rsidRPr="00646F04" w14:paraId="783EFDAA" w14:textId="77777777" w:rsidTr="00646F04">
        <w:tc>
          <w:tcPr>
            <w:tcW w:w="0" w:type="auto"/>
            <w:tcBorders>
              <w:top w:val="nil"/>
              <w:left w:val="nil"/>
              <w:bottom w:val="nil"/>
              <w:right w:val="nil"/>
            </w:tcBorders>
            <w:shd w:val="clear" w:color="auto" w:fill="auto"/>
            <w:vAlign w:val="center"/>
          </w:tcPr>
          <w:p w14:paraId="54AE70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Wealth quintile</w:t>
            </w:r>
          </w:p>
        </w:tc>
        <w:tc>
          <w:tcPr>
            <w:tcW w:w="0" w:type="auto"/>
            <w:tcBorders>
              <w:top w:val="nil"/>
              <w:left w:val="nil"/>
              <w:bottom w:val="nil"/>
              <w:right w:val="nil"/>
            </w:tcBorders>
            <w:shd w:val="clear" w:color="auto" w:fill="auto"/>
            <w:vAlign w:val="center"/>
          </w:tcPr>
          <w:p w14:paraId="431E6B9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91.13; 2013 70.78; 2015 76.18; 2018 84.59; 2020 NA</w:t>
            </w:r>
          </w:p>
        </w:tc>
        <w:tc>
          <w:tcPr>
            <w:tcW w:w="0" w:type="auto"/>
            <w:tcBorders>
              <w:top w:val="nil"/>
              <w:left w:val="nil"/>
              <w:bottom w:val="nil"/>
              <w:right w:val="nil"/>
            </w:tcBorders>
            <w:shd w:val="clear" w:color="auto" w:fill="auto"/>
            <w:vAlign w:val="center"/>
          </w:tcPr>
          <w:p w14:paraId="011337B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 98.94; 2012 97.95; 2014 97.90; 2016 97.88; 2018 97.88; 2020 97.71</w:t>
            </w:r>
          </w:p>
        </w:tc>
        <w:tc>
          <w:tcPr>
            <w:tcW w:w="0" w:type="auto"/>
            <w:tcBorders>
              <w:top w:val="nil"/>
              <w:left w:val="nil"/>
              <w:bottom w:val="nil"/>
              <w:right w:val="nil"/>
            </w:tcBorders>
            <w:shd w:val="clear" w:color="auto" w:fill="auto"/>
            <w:vAlign w:val="center"/>
          </w:tcPr>
          <w:p w14:paraId="594CF42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Raw currency never pooled.</w:t>
            </w:r>
          </w:p>
        </w:tc>
      </w:tr>
      <w:tr w:rsidR="00646F04" w:rsidRPr="00646F04" w14:paraId="31AEA19F" w14:textId="77777777" w:rsidTr="00646F04">
        <w:tc>
          <w:tcPr>
            <w:tcW w:w="0" w:type="auto"/>
            <w:tcBorders>
              <w:top w:val="nil"/>
              <w:left w:val="nil"/>
              <w:bottom w:val="nil"/>
              <w:right w:val="nil"/>
            </w:tcBorders>
            <w:shd w:val="clear" w:color="auto" w:fill="auto"/>
            <w:vAlign w:val="center"/>
          </w:tcPr>
          <w:p w14:paraId="2396605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CES-D six-item score</w:t>
            </w:r>
          </w:p>
        </w:tc>
        <w:tc>
          <w:tcPr>
            <w:tcW w:w="0" w:type="auto"/>
            <w:tcBorders>
              <w:top w:val="nil"/>
              <w:left w:val="nil"/>
              <w:bottom w:val="nil"/>
              <w:right w:val="nil"/>
            </w:tcBorders>
            <w:shd w:val="clear" w:color="auto" w:fill="auto"/>
            <w:vAlign w:val="center"/>
          </w:tcPr>
          <w:p w14:paraId="5AFAAD9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95.69; 2013 88.57; 2015 89.63; 2018 83.30; 2020 84.23</w:t>
            </w:r>
          </w:p>
        </w:tc>
        <w:tc>
          <w:tcPr>
            <w:tcW w:w="0" w:type="auto"/>
            <w:tcBorders>
              <w:top w:val="nil"/>
              <w:left w:val="nil"/>
              <w:bottom w:val="nil"/>
              <w:right w:val="nil"/>
            </w:tcBorders>
            <w:shd w:val="clear" w:color="auto" w:fill="auto"/>
            <w:vAlign w:val="center"/>
          </w:tcPr>
          <w:p w14:paraId="5DE163D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 99.44; 2012 98.41; 2014 97.09; 2016 95.96; 2018 95.59; 2020 94.36</w:t>
            </w:r>
          </w:p>
        </w:tc>
        <w:tc>
          <w:tcPr>
            <w:tcW w:w="0" w:type="auto"/>
            <w:tcBorders>
              <w:top w:val="nil"/>
              <w:left w:val="nil"/>
              <w:bottom w:val="nil"/>
              <w:right w:val="nil"/>
            </w:tcBorders>
            <w:shd w:val="clear" w:color="auto" w:fill="auto"/>
            <w:vAlign w:val="center"/>
          </w:tcPr>
          <w:p w14:paraId="2AC063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Cohort-standardised for cross-cohort models.</w:t>
            </w:r>
          </w:p>
        </w:tc>
      </w:tr>
      <w:tr w:rsidR="00646F04" w:rsidRPr="00646F04" w14:paraId="3156A207" w14:textId="77777777" w:rsidTr="00646F04">
        <w:tc>
          <w:tcPr>
            <w:tcW w:w="0" w:type="auto"/>
            <w:tcBorders>
              <w:top w:val="nil"/>
              <w:left w:val="nil"/>
              <w:bottom w:val="nil"/>
              <w:right w:val="nil"/>
            </w:tcBorders>
            <w:shd w:val="clear" w:color="auto" w:fill="auto"/>
            <w:vAlign w:val="center"/>
          </w:tcPr>
          <w:p w14:paraId="137B150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Doctor use</w:t>
            </w:r>
          </w:p>
        </w:tc>
        <w:tc>
          <w:tcPr>
            <w:tcW w:w="0" w:type="auto"/>
            <w:tcBorders>
              <w:top w:val="nil"/>
              <w:left w:val="nil"/>
              <w:bottom w:val="nil"/>
              <w:right w:val="nil"/>
            </w:tcBorders>
            <w:shd w:val="clear" w:color="auto" w:fill="auto"/>
            <w:vAlign w:val="center"/>
          </w:tcPr>
          <w:p w14:paraId="73E24CD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99.74; 2013 99.26; 2015 99.49; 2018 99.83; 2020 99.95</w:t>
            </w:r>
          </w:p>
        </w:tc>
        <w:tc>
          <w:tcPr>
            <w:tcW w:w="0" w:type="auto"/>
            <w:tcBorders>
              <w:top w:val="nil"/>
              <w:left w:val="nil"/>
              <w:bottom w:val="nil"/>
              <w:right w:val="nil"/>
            </w:tcBorders>
            <w:shd w:val="clear" w:color="auto" w:fill="auto"/>
            <w:vAlign w:val="center"/>
          </w:tcPr>
          <w:p w14:paraId="4BAB91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 99.94; 2012 99.82; 2014 99.77; 2016 99.78; 2018 99.45; 2020 99.21</w:t>
            </w:r>
          </w:p>
        </w:tc>
        <w:tc>
          <w:tcPr>
            <w:tcW w:w="0" w:type="auto"/>
            <w:tcBorders>
              <w:top w:val="nil"/>
              <w:left w:val="nil"/>
              <w:bottom w:val="nil"/>
              <w:right w:val="nil"/>
            </w:tcBorders>
            <w:shd w:val="clear" w:color="auto" w:fill="auto"/>
            <w:vAlign w:val="center"/>
          </w:tcPr>
          <w:p w14:paraId="0FF126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Recall windows differ across cohorts.</w:t>
            </w:r>
          </w:p>
        </w:tc>
      </w:tr>
      <w:tr w:rsidR="00646F04" w:rsidRPr="00646F04" w14:paraId="087A491D" w14:textId="77777777" w:rsidTr="00646F04">
        <w:tc>
          <w:tcPr>
            <w:tcW w:w="0" w:type="auto"/>
            <w:tcBorders>
              <w:top w:val="nil"/>
              <w:left w:val="nil"/>
              <w:bottom w:val="nil"/>
              <w:right w:val="nil"/>
            </w:tcBorders>
            <w:shd w:val="clear" w:color="auto" w:fill="auto"/>
            <w:vAlign w:val="center"/>
          </w:tcPr>
          <w:p w14:paraId="6392A26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insurance</w:t>
            </w:r>
          </w:p>
        </w:tc>
        <w:tc>
          <w:tcPr>
            <w:tcW w:w="0" w:type="auto"/>
            <w:tcBorders>
              <w:top w:val="nil"/>
              <w:left w:val="nil"/>
              <w:bottom w:val="nil"/>
              <w:right w:val="nil"/>
            </w:tcBorders>
            <w:shd w:val="clear" w:color="auto" w:fill="auto"/>
            <w:vAlign w:val="center"/>
          </w:tcPr>
          <w:p w14:paraId="0B6D750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99.30; 2013 98.64; 2015 99.35; 2018 99.87; 2020 NA</w:t>
            </w:r>
          </w:p>
        </w:tc>
        <w:tc>
          <w:tcPr>
            <w:tcW w:w="0" w:type="auto"/>
            <w:tcBorders>
              <w:top w:val="nil"/>
              <w:left w:val="nil"/>
              <w:bottom w:val="nil"/>
              <w:right w:val="nil"/>
            </w:tcBorders>
            <w:shd w:val="clear" w:color="auto" w:fill="auto"/>
            <w:vAlign w:val="center"/>
          </w:tcPr>
          <w:p w14:paraId="012E7F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 99.09; 2012 98.67; 2014 97.97; 2016 98.02; 2018 97.51; 2020 93.04</w:t>
            </w:r>
          </w:p>
        </w:tc>
        <w:tc>
          <w:tcPr>
            <w:tcW w:w="0" w:type="auto"/>
            <w:tcBorders>
              <w:top w:val="nil"/>
              <w:left w:val="nil"/>
              <w:bottom w:val="nil"/>
              <w:right w:val="nil"/>
            </w:tcBorders>
            <w:shd w:val="clear" w:color="auto" w:fill="auto"/>
            <w:vAlign w:val="center"/>
          </w:tcPr>
          <w:p w14:paraId="6FE03C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 2020 unavailable.</w:t>
            </w:r>
          </w:p>
        </w:tc>
      </w:tr>
      <w:tr w:rsidR="00646F04" w:rsidRPr="00646F04" w14:paraId="4AA95C8F" w14:textId="77777777" w:rsidTr="00646F04">
        <w:tc>
          <w:tcPr>
            <w:tcW w:w="0" w:type="auto"/>
            <w:tcBorders>
              <w:top w:val="nil"/>
              <w:left w:val="nil"/>
              <w:bottom w:val="nil"/>
              <w:right w:val="nil"/>
            </w:tcBorders>
            <w:shd w:val="clear" w:color="auto" w:fill="auto"/>
            <w:vAlign w:val="center"/>
          </w:tcPr>
          <w:p w14:paraId="565388C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Moderate/vigorous activity</w:t>
            </w:r>
          </w:p>
        </w:tc>
        <w:tc>
          <w:tcPr>
            <w:tcW w:w="0" w:type="auto"/>
            <w:tcBorders>
              <w:top w:val="nil"/>
              <w:left w:val="nil"/>
              <w:bottom w:val="nil"/>
              <w:right w:val="nil"/>
            </w:tcBorders>
            <w:shd w:val="clear" w:color="auto" w:fill="auto"/>
            <w:vAlign w:val="center"/>
          </w:tcPr>
          <w:p w14:paraId="5DB2BF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41.92; 2013 34.75; 2015 47.61; 2018 99.77; 2020 99.94</w:t>
            </w:r>
          </w:p>
        </w:tc>
        <w:tc>
          <w:tcPr>
            <w:tcW w:w="0" w:type="auto"/>
            <w:tcBorders>
              <w:top w:val="nil"/>
              <w:left w:val="nil"/>
              <w:bottom w:val="nil"/>
              <w:right w:val="nil"/>
            </w:tcBorders>
            <w:shd w:val="clear" w:color="auto" w:fill="auto"/>
            <w:vAlign w:val="center"/>
          </w:tcPr>
          <w:p w14:paraId="2D7C1F4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 99.99; 2012 99.98; 2014 99.93; 2016 99.88; 2018 99.94; 2020 99.95</w:t>
            </w:r>
          </w:p>
        </w:tc>
        <w:tc>
          <w:tcPr>
            <w:tcW w:w="0" w:type="auto"/>
            <w:tcBorders>
              <w:top w:val="nil"/>
              <w:left w:val="nil"/>
              <w:bottom w:val="nil"/>
              <w:right w:val="nil"/>
            </w:tcBorders>
            <w:shd w:val="clear" w:color="auto" w:fill="auto"/>
            <w:vAlign w:val="center"/>
          </w:tcPr>
          <w:p w14:paraId="0DC7F2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Early CHARLS coverage is limited.</w:t>
            </w:r>
          </w:p>
        </w:tc>
      </w:tr>
      <w:tr w:rsidR="00646F04" w:rsidRPr="00646F04" w14:paraId="32F50EEC" w14:textId="77777777" w:rsidTr="00646F04">
        <w:tc>
          <w:tcPr>
            <w:tcW w:w="0" w:type="auto"/>
            <w:tcBorders>
              <w:top w:val="nil"/>
              <w:left w:val="nil"/>
              <w:bottom w:val="single" w:sz="8" w:space="0" w:color="404040"/>
              <w:right w:val="nil"/>
            </w:tcBorders>
            <w:shd w:val="clear" w:color="auto" w:fill="auto"/>
            <w:vAlign w:val="center"/>
          </w:tcPr>
          <w:p w14:paraId="5E50A91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Proxy interview</w:t>
            </w:r>
          </w:p>
        </w:tc>
        <w:tc>
          <w:tcPr>
            <w:tcW w:w="0" w:type="auto"/>
            <w:tcBorders>
              <w:top w:val="nil"/>
              <w:left w:val="nil"/>
              <w:bottom w:val="single" w:sz="8" w:space="0" w:color="404040"/>
              <w:right w:val="nil"/>
            </w:tcBorders>
            <w:shd w:val="clear" w:color="auto" w:fill="auto"/>
            <w:vAlign w:val="center"/>
          </w:tcPr>
          <w:p w14:paraId="577310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2011 NA; 2013 99.48; 2015 99.75; 2018 99.80; 2020 9.19</w:t>
            </w:r>
          </w:p>
        </w:tc>
        <w:tc>
          <w:tcPr>
            <w:tcW w:w="0" w:type="auto"/>
            <w:tcBorders>
              <w:top w:val="nil"/>
              <w:left w:val="nil"/>
              <w:bottom w:val="single" w:sz="8" w:space="0" w:color="404040"/>
              <w:right w:val="nil"/>
            </w:tcBorders>
            <w:shd w:val="clear" w:color="auto" w:fill="auto"/>
            <w:vAlign w:val="center"/>
          </w:tcPr>
          <w:p w14:paraId="744EB21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2010–2020 100.00 at every listed wave</w:t>
            </w:r>
          </w:p>
        </w:tc>
        <w:tc>
          <w:tcPr>
            <w:tcW w:w="0" w:type="auto"/>
            <w:tcBorders>
              <w:top w:val="nil"/>
              <w:left w:val="nil"/>
              <w:bottom w:val="single" w:sz="8" w:space="0" w:color="404040"/>
              <w:right w:val="nil"/>
            </w:tcBorders>
            <w:shd w:val="clear" w:color="auto" w:fill="auto"/>
            <w:vAlign w:val="center"/>
          </w:tcPr>
          <w:p w14:paraId="0A13C18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 2020 coverage is limited.</w:t>
            </w:r>
          </w:p>
        </w:tc>
      </w:tr>
    </w:tbl>
    <w:p w14:paraId="7E4A3F42" w14:textId="77777777" w:rsidR="001C2B6A" w:rsidRPr="00646F04" w:rsidRDefault="00000000">
      <w:pPr>
        <w:pStyle w:val="3"/>
        <w:rPr>
          <w:color w:val="000000" w:themeColor="text1"/>
        </w:rPr>
      </w:pPr>
      <w:bookmarkStart w:id="39" w:name="X4c40b73a772d1d1d64b0f381bb7881ee5110944"/>
      <w:bookmarkEnd w:id="38"/>
      <w:r w:rsidRPr="00646F04">
        <w:rPr>
          <w:rFonts w:ascii="Arial" w:eastAsia="Source Han Serif SC" w:hAnsi="Arial" w:cs="Arial"/>
          <w:color w:val="000000" w:themeColor="text1"/>
        </w:rPr>
        <w:t>Panel C. CHARLS death-roster linkage audit</w:t>
      </w:r>
    </w:p>
    <w:tbl>
      <w:tblPr>
        <w:tblStyle w:val="Table"/>
        <w:tblW w:w="5000" w:type="pct"/>
        <w:tblLook w:val="0020" w:firstRow="1" w:lastRow="0" w:firstColumn="0" w:lastColumn="0" w:noHBand="0" w:noVBand="0"/>
      </w:tblPr>
      <w:tblGrid>
        <w:gridCol w:w="3970"/>
        <w:gridCol w:w="2060"/>
        <w:gridCol w:w="3538"/>
        <w:gridCol w:w="2694"/>
        <w:gridCol w:w="2416"/>
      </w:tblGrid>
      <w:tr w:rsidR="00646F04" w:rsidRPr="00646F04" w14:paraId="6BB5CEBD"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169CAC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Roster year</w:t>
            </w:r>
          </w:p>
        </w:tc>
        <w:tc>
          <w:tcPr>
            <w:tcW w:w="0" w:type="auto"/>
            <w:tcBorders>
              <w:top w:val="single" w:sz="8" w:space="0" w:color="404040"/>
              <w:left w:val="nil"/>
              <w:bottom w:val="single" w:sz="5" w:space="0" w:color="707070"/>
              <w:right w:val="nil"/>
            </w:tcBorders>
            <w:shd w:val="clear" w:color="auto" w:fill="auto"/>
            <w:vAlign w:val="center"/>
          </w:tcPr>
          <w:p w14:paraId="5294FB4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All roster rows</w:t>
            </w:r>
          </w:p>
        </w:tc>
        <w:tc>
          <w:tcPr>
            <w:tcW w:w="0" w:type="auto"/>
            <w:tcBorders>
              <w:top w:val="single" w:sz="8" w:space="0" w:color="404040"/>
              <w:left w:val="nil"/>
              <w:bottom w:val="single" w:sz="5" w:space="0" w:color="707070"/>
              <w:right w:val="nil"/>
            </w:tcBorders>
            <w:shd w:val="clear" w:color="auto" w:fill="auto"/>
            <w:vAlign w:val="center"/>
          </w:tcPr>
          <w:p w14:paraId="3877A09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Baseline participants linked</w:t>
            </w:r>
          </w:p>
        </w:tc>
        <w:tc>
          <w:tcPr>
            <w:tcW w:w="0" w:type="auto"/>
            <w:tcBorders>
              <w:top w:val="single" w:sz="8" w:space="0" w:color="404040"/>
              <w:left w:val="nil"/>
              <w:bottom w:val="single" w:sz="5" w:space="0" w:color="707070"/>
              <w:right w:val="nil"/>
            </w:tcBorders>
            <w:shd w:val="clear" w:color="auto" w:fill="auto"/>
            <w:vAlign w:val="center"/>
          </w:tcPr>
          <w:p w14:paraId="60598E9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Baseline death flags</w:t>
            </w:r>
          </w:p>
        </w:tc>
        <w:tc>
          <w:tcPr>
            <w:tcW w:w="0" w:type="auto"/>
            <w:tcBorders>
              <w:top w:val="single" w:sz="8" w:space="0" w:color="404040"/>
              <w:left w:val="nil"/>
              <w:bottom w:val="single" w:sz="5" w:space="0" w:color="707070"/>
              <w:right w:val="nil"/>
            </w:tcBorders>
            <w:shd w:val="clear" w:color="auto" w:fill="auto"/>
            <w:vAlign w:val="center"/>
          </w:tcPr>
          <w:p w14:paraId="66BFEB6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death dates</w:t>
            </w:r>
          </w:p>
        </w:tc>
      </w:tr>
      <w:tr w:rsidR="00646F04" w:rsidRPr="00646F04" w14:paraId="69FAEDAB" w14:textId="77777777" w:rsidTr="00646F04">
        <w:tc>
          <w:tcPr>
            <w:tcW w:w="0" w:type="auto"/>
            <w:tcBorders>
              <w:top w:val="nil"/>
              <w:left w:val="nil"/>
              <w:bottom w:val="nil"/>
              <w:right w:val="nil"/>
            </w:tcBorders>
            <w:shd w:val="clear" w:color="auto" w:fill="auto"/>
            <w:vAlign w:val="center"/>
          </w:tcPr>
          <w:p w14:paraId="38C9151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2015</w:t>
            </w:r>
          </w:p>
        </w:tc>
        <w:tc>
          <w:tcPr>
            <w:tcW w:w="0" w:type="auto"/>
            <w:tcBorders>
              <w:top w:val="nil"/>
              <w:left w:val="nil"/>
              <w:bottom w:val="nil"/>
              <w:right w:val="nil"/>
            </w:tcBorders>
            <w:shd w:val="clear" w:color="auto" w:fill="auto"/>
            <w:vAlign w:val="center"/>
          </w:tcPr>
          <w:p w14:paraId="153A9A2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21,789</w:t>
            </w:r>
          </w:p>
        </w:tc>
        <w:tc>
          <w:tcPr>
            <w:tcW w:w="0" w:type="auto"/>
            <w:tcBorders>
              <w:top w:val="nil"/>
              <w:left w:val="nil"/>
              <w:bottom w:val="nil"/>
              <w:right w:val="nil"/>
            </w:tcBorders>
            <w:shd w:val="clear" w:color="auto" w:fill="auto"/>
            <w:vAlign w:val="center"/>
          </w:tcPr>
          <w:p w14:paraId="0439782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9,414</w:t>
            </w:r>
          </w:p>
        </w:tc>
        <w:tc>
          <w:tcPr>
            <w:tcW w:w="0" w:type="auto"/>
            <w:tcBorders>
              <w:top w:val="nil"/>
              <w:left w:val="nil"/>
              <w:bottom w:val="nil"/>
              <w:right w:val="nil"/>
            </w:tcBorders>
            <w:shd w:val="clear" w:color="auto" w:fill="auto"/>
            <w:vAlign w:val="center"/>
          </w:tcPr>
          <w:p w14:paraId="2BC264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379</w:t>
            </w:r>
          </w:p>
        </w:tc>
        <w:tc>
          <w:tcPr>
            <w:tcW w:w="0" w:type="auto"/>
            <w:tcBorders>
              <w:top w:val="nil"/>
              <w:left w:val="nil"/>
              <w:bottom w:val="nil"/>
              <w:right w:val="nil"/>
            </w:tcBorders>
            <w:shd w:val="clear" w:color="auto" w:fill="auto"/>
            <w:vAlign w:val="center"/>
          </w:tcPr>
          <w:p w14:paraId="5B8DCCE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53</w:t>
            </w:r>
          </w:p>
        </w:tc>
      </w:tr>
      <w:tr w:rsidR="00646F04" w:rsidRPr="00646F04" w14:paraId="6A67E68A" w14:textId="77777777" w:rsidTr="00646F04">
        <w:tc>
          <w:tcPr>
            <w:tcW w:w="0" w:type="auto"/>
            <w:tcBorders>
              <w:top w:val="nil"/>
              <w:left w:val="nil"/>
              <w:bottom w:val="nil"/>
              <w:right w:val="nil"/>
            </w:tcBorders>
            <w:shd w:val="clear" w:color="auto" w:fill="auto"/>
            <w:vAlign w:val="center"/>
          </w:tcPr>
          <w:p w14:paraId="5A7CAFF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2018</w:t>
            </w:r>
          </w:p>
        </w:tc>
        <w:tc>
          <w:tcPr>
            <w:tcW w:w="0" w:type="auto"/>
            <w:tcBorders>
              <w:top w:val="nil"/>
              <w:left w:val="nil"/>
              <w:bottom w:val="nil"/>
              <w:right w:val="nil"/>
            </w:tcBorders>
            <w:shd w:val="clear" w:color="auto" w:fill="auto"/>
            <w:vAlign w:val="center"/>
          </w:tcPr>
          <w:p w14:paraId="7C7726F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20,813</w:t>
            </w:r>
          </w:p>
        </w:tc>
        <w:tc>
          <w:tcPr>
            <w:tcW w:w="0" w:type="auto"/>
            <w:tcBorders>
              <w:top w:val="nil"/>
              <w:left w:val="nil"/>
              <w:bottom w:val="nil"/>
              <w:right w:val="nil"/>
            </w:tcBorders>
            <w:shd w:val="clear" w:color="auto" w:fill="auto"/>
            <w:vAlign w:val="center"/>
          </w:tcPr>
          <w:p w14:paraId="021FA1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8,902</w:t>
            </w:r>
          </w:p>
        </w:tc>
        <w:tc>
          <w:tcPr>
            <w:tcW w:w="0" w:type="auto"/>
            <w:tcBorders>
              <w:top w:val="nil"/>
              <w:left w:val="nil"/>
              <w:bottom w:val="nil"/>
              <w:right w:val="nil"/>
            </w:tcBorders>
            <w:shd w:val="clear" w:color="auto" w:fill="auto"/>
            <w:vAlign w:val="center"/>
          </w:tcPr>
          <w:p w14:paraId="128B88E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596</w:t>
            </w:r>
          </w:p>
        </w:tc>
        <w:tc>
          <w:tcPr>
            <w:tcW w:w="0" w:type="auto"/>
            <w:tcBorders>
              <w:top w:val="nil"/>
              <w:left w:val="nil"/>
              <w:bottom w:val="nil"/>
              <w:right w:val="nil"/>
            </w:tcBorders>
            <w:shd w:val="clear" w:color="auto" w:fill="auto"/>
            <w:vAlign w:val="center"/>
          </w:tcPr>
          <w:p w14:paraId="0E0ED75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40</w:t>
            </w:r>
          </w:p>
        </w:tc>
      </w:tr>
      <w:tr w:rsidR="00646F04" w:rsidRPr="00646F04" w14:paraId="3916101B" w14:textId="77777777" w:rsidTr="00646F04">
        <w:tc>
          <w:tcPr>
            <w:tcW w:w="0" w:type="auto"/>
            <w:tcBorders>
              <w:top w:val="nil"/>
              <w:left w:val="nil"/>
              <w:bottom w:val="nil"/>
              <w:right w:val="nil"/>
            </w:tcBorders>
            <w:shd w:val="clear" w:color="auto" w:fill="auto"/>
            <w:vAlign w:val="center"/>
          </w:tcPr>
          <w:p w14:paraId="2F04365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2020</w:t>
            </w:r>
          </w:p>
        </w:tc>
        <w:tc>
          <w:tcPr>
            <w:tcW w:w="0" w:type="auto"/>
            <w:tcBorders>
              <w:top w:val="nil"/>
              <w:left w:val="nil"/>
              <w:bottom w:val="nil"/>
              <w:right w:val="nil"/>
            </w:tcBorders>
            <w:shd w:val="clear" w:color="auto" w:fill="auto"/>
            <w:vAlign w:val="center"/>
          </w:tcPr>
          <w:p w14:paraId="4FA58B4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20,180</w:t>
            </w:r>
          </w:p>
        </w:tc>
        <w:tc>
          <w:tcPr>
            <w:tcW w:w="0" w:type="auto"/>
            <w:tcBorders>
              <w:top w:val="nil"/>
              <w:left w:val="nil"/>
              <w:bottom w:val="nil"/>
              <w:right w:val="nil"/>
            </w:tcBorders>
            <w:shd w:val="clear" w:color="auto" w:fill="auto"/>
            <w:vAlign w:val="center"/>
          </w:tcPr>
          <w:p w14:paraId="1CDC53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8,357</w:t>
            </w:r>
          </w:p>
        </w:tc>
        <w:tc>
          <w:tcPr>
            <w:tcW w:w="0" w:type="auto"/>
            <w:tcBorders>
              <w:top w:val="nil"/>
              <w:left w:val="nil"/>
              <w:bottom w:val="nil"/>
              <w:right w:val="nil"/>
            </w:tcBorders>
            <w:shd w:val="clear" w:color="auto" w:fill="auto"/>
            <w:vAlign w:val="center"/>
          </w:tcPr>
          <w:p w14:paraId="4B6E890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475</w:t>
            </w:r>
          </w:p>
        </w:tc>
        <w:tc>
          <w:tcPr>
            <w:tcW w:w="0" w:type="auto"/>
            <w:tcBorders>
              <w:top w:val="nil"/>
              <w:left w:val="nil"/>
              <w:bottom w:val="nil"/>
              <w:right w:val="nil"/>
            </w:tcBorders>
            <w:shd w:val="clear" w:color="auto" w:fill="auto"/>
            <w:vAlign w:val="center"/>
          </w:tcPr>
          <w:p w14:paraId="6A8CDD6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68</w:t>
            </w:r>
          </w:p>
        </w:tc>
      </w:tr>
      <w:tr w:rsidR="00646F04" w:rsidRPr="00646F04" w14:paraId="0C6EECA0" w14:textId="77777777" w:rsidTr="00646F04">
        <w:tc>
          <w:tcPr>
            <w:tcW w:w="0" w:type="auto"/>
            <w:tcBorders>
              <w:top w:val="nil"/>
              <w:left w:val="nil"/>
              <w:bottom w:val="single" w:sz="8" w:space="0" w:color="404040"/>
              <w:right w:val="nil"/>
            </w:tcBorders>
            <w:shd w:val="clear" w:color="auto" w:fill="auto"/>
            <w:vAlign w:val="center"/>
          </w:tcPr>
          <w:p w14:paraId="1E74C04A" w14:textId="77777777" w:rsidR="001C2B6A" w:rsidRPr="00646F04" w:rsidRDefault="00000000">
            <w:pPr>
              <w:pStyle w:val="Compact"/>
              <w:spacing w:after="0" w:line="240" w:lineRule="auto"/>
              <w:jc w:val="left"/>
              <w:rPr>
                <w:color w:val="000000" w:themeColor="text1"/>
              </w:rPr>
            </w:pPr>
            <w:r w:rsidRPr="00646F04">
              <w:rPr>
                <w:rFonts w:eastAsia="Source Han Serif SC"/>
                <w:bCs/>
                <w:color w:val="000000" w:themeColor="text1"/>
                <w:sz w:val="13"/>
              </w:rPr>
              <w:lastRenderedPageBreak/>
              <w:t>Total death flags/dates across sources</w:t>
            </w:r>
          </w:p>
        </w:tc>
        <w:tc>
          <w:tcPr>
            <w:tcW w:w="0" w:type="auto"/>
            <w:tcBorders>
              <w:top w:val="nil"/>
              <w:left w:val="nil"/>
              <w:bottom w:val="single" w:sz="8" w:space="0" w:color="404040"/>
              <w:right w:val="nil"/>
            </w:tcBorders>
            <w:shd w:val="clear" w:color="auto" w:fill="auto"/>
            <w:vAlign w:val="center"/>
          </w:tcPr>
          <w:p w14:paraId="0001A0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single" w:sz="8" w:space="0" w:color="404040"/>
              <w:right w:val="nil"/>
            </w:tcBorders>
            <w:shd w:val="clear" w:color="auto" w:fill="auto"/>
            <w:vAlign w:val="center"/>
          </w:tcPr>
          <w:p w14:paraId="597B76A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single" w:sz="8" w:space="0" w:color="404040"/>
              <w:right w:val="nil"/>
            </w:tcBorders>
            <w:shd w:val="clear" w:color="auto" w:fill="auto"/>
            <w:vAlign w:val="center"/>
          </w:tcPr>
          <w:p w14:paraId="7084F4A2" w14:textId="77777777" w:rsidR="001C2B6A" w:rsidRPr="00646F04" w:rsidRDefault="00000000">
            <w:pPr>
              <w:pStyle w:val="Compact"/>
              <w:spacing w:after="0" w:line="240" w:lineRule="auto"/>
              <w:jc w:val="left"/>
              <w:rPr>
                <w:color w:val="000000" w:themeColor="text1"/>
              </w:rPr>
            </w:pPr>
            <w:r w:rsidRPr="00646F04">
              <w:rPr>
                <w:rFonts w:eastAsia="Source Han Serif SC"/>
                <w:bCs/>
                <w:color w:val="000000" w:themeColor="text1"/>
                <w:sz w:val="13"/>
              </w:rPr>
              <w:t>1,450</w:t>
            </w:r>
          </w:p>
        </w:tc>
        <w:tc>
          <w:tcPr>
            <w:tcW w:w="0" w:type="auto"/>
            <w:tcBorders>
              <w:top w:val="nil"/>
              <w:left w:val="nil"/>
              <w:bottom w:val="single" w:sz="8" w:space="0" w:color="404040"/>
              <w:right w:val="nil"/>
            </w:tcBorders>
            <w:shd w:val="clear" w:color="auto" w:fill="auto"/>
            <w:vAlign w:val="center"/>
          </w:tcPr>
          <w:p w14:paraId="37A9E97B" w14:textId="77777777" w:rsidR="001C2B6A" w:rsidRPr="00646F04" w:rsidRDefault="00000000">
            <w:pPr>
              <w:pStyle w:val="Compact"/>
              <w:spacing w:after="0" w:line="240" w:lineRule="auto"/>
              <w:jc w:val="left"/>
              <w:rPr>
                <w:color w:val="000000" w:themeColor="text1"/>
              </w:rPr>
            </w:pPr>
            <w:r w:rsidRPr="00646F04">
              <w:rPr>
                <w:rFonts w:eastAsia="Source Han Serif SC"/>
                <w:bCs/>
                <w:color w:val="000000" w:themeColor="text1"/>
                <w:sz w:val="13"/>
              </w:rPr>
              <w:t>161</w:t>
            </w:r>
          </w:p>
        </w:tc>
      </w:tr>
    </w:tbl>
    <w:p w14:paraId="167880E8" w14:textId="77777777" w:rsidR="001C2B6A" w:rsidRPr="00646F04" w:rsidRDefault="00000000">
      <w:pPr>
        <w:pStyle w:val="a0"/>
        <w:rPr>
          <w:color w:val="000000" w:themeColor="text1"/>
        </w:rPr>
      </w:pPr>
      <w:r w:rsidRPr="00646F04">
        <w:rPr>
          <w:rFonts w:eastAsia="Source Han Serif SC"/>
          <w:b/>
          <w:bCs/>
          <w:color w:val="000000" w:themeColor="text1"/>
        </w:rPr>
        <w:t>Notes.</w:t>
      </w:r>
      <w:r w:rsidRPr="00646F04">
        <w:rPr>
          <w:rFonts w:eastAsia="Source Han Serif SC"/>
          <w:color w:val="000000" w:themeColor="text1"/>
        </w:rPr>
        <w:t xml:space="preserve"> *Deaths by wave in Panel A are cumulative integrated death statuses; Panel C reports source-roster linkage rows and is not a mutually exclusive participant count. A zero integrated death status means no linked death record, not active confirmation of survival. Dynamic care states require measured BP and are unavailable in CHARLS 2018/2020 and HRS 2020. Disease-history variables can remain defined for the baseline roster after a disease is first reported; therefore raw disease-item completeness, not an absorbing history flag, governs exact-wave outcome observation. Percentages in Panel B use completed interviews as denominators. Hospital-use coverage and individual interview mode remain in the detailed coverage table; HRS mode is respondent-level, whereas CHARLS 2011–2018 face-to-face CAPI is wave-level design metadata and CHARLS 2020 individual mode is unavailable.</w:t>
      </w:r>
    </w:p>
    <w:p w14:paraId="27F60266" w14:textId="77777777" w:rsidR="001C2B6A" w:rsidRPr="00646F04" w:rsidRDefault="005C035C">
      <w:pPr>
        <w:rPr>
          <w:color w:val="000000" w:themeColor="text1"/>
        </w:rPr>
      </w:pPr>
      <w:r>
        <w:rPr>
          <w:rFonts w:eastAsia="Source Han Serif SC"/>
          <w:noProof/>
          <w:color w:val="000000" w:themeColor="text1"/>
        </w:rPr>
        <w:pict w14:anchorId="34364308">
          <v:rect id="_x0000_i1031" alt="" style="width:415.3pt;height:.05pt;mso-width-percent:0;mso-height-percent:0;mso-width-percent:0;mso-height-percent:0" o:hralign="center" o:hrstd="t" o:hr="t"/>
        </w:pict>
      </w:r>
    </w:p>
    <w:p w14:paraId="23C6CCC9" w14:textId="77777777" w:rsidR="001C2B6A" w:rsidRPr="00646F04" w:rsidRDefault="00000000">
      <w:pPr>
        <w:pStyle w:val="2"/>
        <w:rPr>
          <w:color w:val="000000" w:themeColor="text1"/>
        </w:rPr>
      </w:pPr>
      <w:bookmarkStart w:id="40" w:name="X8cf8ae763826283885c8963c511b3a21a2504d1"/>
      <w:bookmarkEnd w:id="36"/>
      <w:bookmarkEnd w:id="39"/>
      <w:r w:rsidRPr="00646F04">
        <w:rPr>
          <w:rFonts w:ascii="Arial" w:eastAsia="Source Han Serif SC" w:hAnsi="Arial" w:cs="Arial"/>
          <w:color w:val="000000" w:themeColor="text1"/>
        </w:rPr>
        <w:t>Table S4. Outcome-specific denominators, crude four-year burden and full-wave event rates</w:t>
      </w:r>
    </w:p>
    <w:tbl>
      <w:tblPr>
        <w:tblStyle w:val="Table"/>
        <w:tblW w:w="5000" w:type="pct"/>
        <w:tblLook w:val="0020" w:firstRow="1" w:lastRow="0" w:firstColumn="0" w:lastColumn="0" w:noHBand="0" w:noVBand="0"/>
      </w:tblPr>
      <w:tblGrid>
        <w:gridCol w:w="935"/>
        <w:gridCol w:w="2601"/>
        <w:gridCol w:w="1842"/>
        <w:gridCol w:w="1695"/>
        <w:gridCol w:w="1695"/>
        <w:gridCol w:w="4094"/>
        <w:gridCol w:w="908"/>
        <w:gridCol w:w="908"/>
      </w:tblGrid>
      <w:tr w:rsidR="00646F04" w:rsidRPr="00646F04" w14:paraId="4417AA64"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1CAB0AA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68C51F2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Outcome</w:t>
            </w:r>
          </w:p>
        </w:tc>
        <w:tc>
          <w:tcPr>
            <w:tcW w:w="0" w:type="auto"/>
            <w:tcBorders>
              <w:top w:val="single" w:sz="8" w:space="0" w:color="404040"/>
              <w:left w:val="nil"/>
              <w:bottom w:val="single" w:sz="5" w:space="0" w:color="707070"/>
              <w:right w:val="nil"/>
            </w:tcBorders>
            <w:shd w:val="clear" w:color="auto" w:fill="auto"/>
            <w:vAlign w:val="center"/>
          </w:tcPr>
          <w:p w14:paraId="6D4A187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4-y overall</w:t>
            </w:r>
          </w:p>
        </w:tc>
        <w:tc>
          <w:tcPr>
            <w:tcW w:w="0" w:type="auto"/>
            <w:tcBorders>
              <w:top w:val="single" w:sz="8" w:space="0" w:color="404040"/>
              <w:left w:val="nil"/>
              <w:bottom w:val="single" w:sz="5" w:space="0" w:color="707070"/>
              <w:right w:val="nil"/>
            </w:tcBorders>
            <w:shd w:val="clear" w:color="auto" w:fill="auto"/>
            <w:vAlign w:val="center"/>
          </w:tcPr>
          <w:p w14:paraId="4E99E85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4-y H1</w:t>
            </w:r>
          </w:p>
        </w:tc>
        <w:tc>
          <w:tcPr>
            <w:tcW w:w="0" w:type="auto"/>
            <w:tcBorders>
              <w:top w:val="single" w:sz="8" w:space="0" w:color="404040"/>
              <w:left w:val="nil"/>
              <w:bottom w:val="single" w:sz="5" w:space="0" w:color="707070"/>
              <w:right w:val="nil"/>
            </w:tcBorders>
            <w:shd w:val="clear" w:color="auto" w:fill="auto"/>
            <w:vAlign w:val="center"/>
          </w:tcPr>
          <w:p w14:paraId="0172702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Exact 4-y H3</w:t>
            </w:r>
          </w:p>
        </w:tc>
        <w:tc>
          <w:tcPr>
            <w:tcW w:w="0" w:type="auto"/>
            <w:tcBorders>
              <w:top w:val="single" w:sz="8" w:space="0" w:color="404040"/>
              <w:left w:val="nil"/>
              <w:bottom w:val="single" w:sz="5" w:space="0" w:color="707070"/>
              <w:right w:val="nil"/>
            </w:tcBorders>
            <w:shd w:val="clear" w:color="auto" w:fill="auto"/>
            <w:vAlign w:val="center"/>
          </w:tcPr>
          <w:p w14:paraId="1E44496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Full-wave overall intervals/persons/events; rate*</w:t>
            </w:r>
          </w:p>
        </w:tc>
        <w:tc>
          <w:tcPr>
            <w:tcW w:w="0" w:type="auto"/>
            <w:tcBorders>
              <w:top w:val="single" w:sz="8" w:space="0" w:color="404040"/>
              <w:left w:val="nil"/>
              <w:bottom w:val="single" w:sz="5" w:space="0" w:color="707070"/>
              <w:right w:val="nil"/>
            </w:tcBorders>
            <w:shd w:val="clear" w:color="auto" w:fill="auto"/>
            <w:vAlign w:val="center"/>
          </w:tcPr>
          <w:p w14:paraId="3CC0BCB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H1 rate*</w:t>
            </w:r>
          </w:p>
        </w:tc>
        <w:tc>
          <w:tcPr>
            <w:tcW w:w="0" w:type="auto"/>
            <w:tcBorders>
              <w:top w:val="single" w:sz="8" w:space="0" w:color="404040"/>
              <w:left w:val="nil"/>
              <w:bottom w:val="single" w:sz="5" w:space="0" w:color="707070"/>
              <w:right w:val="nil"/>
            </w:tcBorders>
            <w:shd w:val="clear" w:color="auto" w:fill="auto"/>
            <w:vAlign w:val="center"/>
          </w:tcPr>
          <w:p w14:paraId="4914F56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H3 rate*</w:t>
            </w:r>
          </w:p>
        </w:tc>
      </w:tr>
      <w:tr w:rsidR="00646F04" w:rsidRPr="00646F04" w14:paraId="0C7C8CDC" w14:textId="77777777" w:rsidTr="00646F04">
        <w:tc>
          <w:tcPr>
            <w:tcW w:w="0" w:type="auto"/>
            <w:tcBorders>
              <w:top w:val="nil"/>
              <w:left w:val="nil"/>
              <w:bottom w:val="nil"/>
              <w:right w:val="nil"/>
            </w:tcBorders>
            <w:shd w:val="clear" w:color="auto" w:fill="auto"/>
            <w:vAlign w:val="center"/>
          </w:tcPr>
          <w:p w14:paraId="5AF091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5A13466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non-HTN disease</w:t>
            </w:r>
          </w:p>
        </w:tc>
        <w:tc>
          <w:tcPr>
            <w:tcW w:w="0" w:type="auto"/>
            <w:tcBorders>
              <w:top w:val="nil"/>
              <w:left w:val="nil"/>
              <w:bottom w:val="nil"/>
              <w:right w:val="nil"/>
            </w:tcBorders>
            <w:shd w:val="clear" w:color="auto" w:fill="auto"/>
            <w:vAlign w:val="center"/>
          </w:tcPr>
          <w:p w14:paraId="3081330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2,379/8,503; 27.974%</w:t>
            </w:r>
          </w:p>
        </w:tc>
        <w:tc>
          <w:tcPr>
            <w:tcW w:w="0" w:type="auto"/>
            <w:tcBorders>
              <w:top w:val="nil"/>
              <w:left w:val="nil"/>
              <w:bottom w:val="nil"/>
              <w:right w:val="nil"/>
            </w:tcBorders>
            <w:shd w:val="clear" w:color="auto" w:fill="auto"/>
            <w:vAlign w:val="center"/>
          </w:tcPr>
          <w:p w14:paraId="678FDB0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367/1,272; 27.651%</w:t>
            </w:r>
          </w:p>
        </w:tc>
        <w:tc>
          <w:tcPr>
            <w:tcW w:w="0" w:type="auto"/>
            <w:tcBorders>
              <w:top w:val="nil"/>
              <w:left w:val="nil"/>
              <w:bottom w:val="nil"/>
              <w:right w:val="nil"/>
            </w:tcBorders>
            <w:shd w:val="clear" w:color="auto" w:fill="auto"/>
            <w:vAlign w:val="center"/>
          </w:tcPr>
          <w:p w14:paraId="14D17D1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303/914; 35.398%</w:t>
            </w:r>
          </w:p>
        </w:tc>
        <w:tc>
          <w:tcPr>
            <w:tcW w:w="0" w:type="auto"/>
            <w:tcBorders>
              <w:top w:val="nil"/>
              <w:left w:val="nil"/>
              <w:bottom w:val="nil"/>
              <w:right w:val="nil"/>
            </w:tcBorders>
            <w:shd w:val="clear" w:color="auto" w:fill="auto"/>
            <w:vAlign w:val="center"/>
          </w:tcPr>
          <w:p w14:paraId="43B7EED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28,814/9,869/5,769; 8.061</w:t>
            </w:r>
          </w:p>
        </w:tc>
        <w:tc>
          <w:tcPr>
            <w:tcW w:w="0" w:type="auto"/>
            <w:tcBorders>
              <w:top w:val="nil"/>
              <w:left w:val="nil"/>
              <w:bottom w:val="nil"/>
              <w:right w:val="nil"/>
            </w:tcBorders>
            <w:shd w:val="clear" w:color="auto" w:fill="auto"/>
            <w:vAlign w:val="center"/>
          </w:tcPr>
          <w:p w14:paraId="0253472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7.031</w:t>
            </w:r>
          </w:p>
        </w:tc>
        <w:tc>
          <w:tcPr>
            <w:tcW w:w="0" w:type="auto"/>
            <w:tcBorders>
              <w:top w:val="nil"/>
              <w:left w:val="nil"/>
              <w:bottom w:val="nil"/>
              <w:right w:val="nil"/>
            </w:tcBorders>
            <w:shd w:val="clear" w:color="auto" w:fill="auto"/>
            <w:vAlign w:val="center"/>
          </w:tcPr>
          <w:p w14:paraId="4FDDD6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10.211</w:t>
            </w:r>
          </w:p>
        </w:tc>
      </w:tr>
      <w:tr w:rsidR="00646F04" w:rsidRPr="00646F04" w14:paraId="06739F36" w14:textId="77777777" w:rsidTr="00646F04">
        <w:tc>
          <w:tcPr>
            <w:tcW w:w="0" w:type="auto"/>
            <w:tcBorders>
              <w:top w:val="nil"/>
              <w:left w:val="nil"/>
              <w:bottom w:val="nil"/>
              <w:right w:val="nil"/>
            </w:tcBorders>
            <w:shd w:val="clear" w:color="auto" w:fill="auto"/>
            <w:vAlign w:val="center"/>
          </w:tcPr>
          <w:p w14:paraId="21348FC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87D173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Number of new non-HTN diseases</w:t>
            </w:r>
          </w:p>
        </w:tc>
        <w:tc>
          <w:tcPr>
            <w:tcW w:w="0" w:type="auto"/>
            <w:tcBorders>
              <w:top w:val="nil"/>
              <w:left w:val="nil"/>
              <w:bottom w:val="nil"/>
              <w:right w:val="nil"/>
            </w:tcBorders>
            <w:shd w:val="clear" w:color="auto" w:fill="auto"/>
            <w:vAlign w:val="center"/>
          </w:tcPr>
          <w:p w14:paraId="71F17DB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n=8,503; mean 0.331</w:t>
            </w:r>
          </w:p>
        </w:tc>
        <w:tc>
          <w:tcPr>
            <w:tcW w:w="0" w:type="auto"/>
            <w:tcBorders>
              <w:top w:val="nil"/>
              <w:left w:val="nil"/>
              <w:bottom w:val="nil"/>
              <w:right w:val="nil"/>
            </w:tcBorders>
            <w:shd w:val="clear" w:color="auto" w:fill="auto"/>
            <w:vAlign w:val="center"/>
          </w:tcPr>
          <w:p w14:paraId="5870A76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n=1,272; mean 0.332</w:t>
            </w:r>
          </w:p>
        </w:tc>
        <w:tc>
          <w:tcPr>
            <w:tcW w:w="0" w:type="auto"/>
            <w:tcBorders>
              <w:top w:val="nil"/>
              <w:left w:val="nil"/>
              <w:bottom w:val="nil"/>
              <w:right w:val="nil"/>
            </w:tcBorders>
            <w:shd w:val="clear" w:color="auto" w:fill="auto"/>
            <w:vAlign w:val="center"/>
          </w:tcPr>
          <w:p w14:paraId="74D1FC3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n=914; mean 0.419</w:t>
            </w:r>
          </w:p>
        </w:tc>
        <w:tc>
          <w:tcPr>
            <w:tcW w:w="0" w:type="auto"/>
            <w:tcBorders>
              <w:top w:val="nil"/>
              <w:left w:val="nil"/>
              <w:bottom w:val="nil"/>
              <w:right w:val="nil"/>
            </w:tcBorders>
            <w:shd w:val="clear" w:color="auto" w:fill="auto"/>
            <w:vAlign w:val="center"/>
          </w:tcPr>
          <w:p w14:paraId="36C6C5B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nil"/>
              <w:right w:val="nil"/>
            </w:tcBorders>
            <w:shd w:val="clear" w:color="auto" w:fill="auto"/>
            <w:vAlign w:val="center"/>
          </w:tcPr>
          <w:p w14:paraId="029BEC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nil"/>
              <w:right w:val="nil"/>
            </w:tcBorders>
            <w:shd w:val="clear" w:color="auto" w:fill="auto"/>
            <w:vAlign w:val="center"/>
          </w:tcPr>
          <w:p w14:paraId="32D091B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r>
      <w:tr w:rsidR="00646F04" w:rsidRPr="00646F04" w14:paraId="53BFB23D" w14:textId="77777777" w:rsidTr="00646F04">
        <w:tc>
          <w:tcPr>
            <w:tcW w:w="0" w:type="auto"/>
            <w:tcBorders>
              <w:top w:val="nil"/>
              <w:left w:val="nil"/>
              <w:bottom w:val="nil"/>
              <w:right w:val="nil"/>
            </w:tcBorders>
            <w:shd w:val="clear" w:color="auto" w:fill="auto"/>
            <w:vAlign w:val="center"/>
          </w:tcPr>
          <w:p w14:paraId="1CAF90C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6527BB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ADL disability</w:t>
            </w:r>
          </w:p>
        </w:tc>
        <w:tc>
          <w:tcPr>
            <w:tcW w:w="0" w:type="auto"/>
            <w:tcBorders>
              <w:top w:val="nil"/>
              <w:left w:val="nil"/>
              <w:bottom w:val="nil"/>
              <w:right w:val="nil"/>
            </w:tcBorders>
            <w:shd w:val="clear" w:color="auto" w:fill="auto"/>
            <w:vAlign w:val="center"/>
          </w:tcPr>
          <w:p w14:paraId="7561B9C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1,352/7,420; 17.118%</w:t>
            </w:r>
          </w:p>
        </w:tc>
        <w:tc>
          <w:tcPr>
            <w:tcW w:w="0" w:type="auto"/>
            <w:tcBorders>
              <w:top w:val="nil"/>
              <w:left w:val="nil"/>
              <w:bottom w:val="nil"/>
              <w:right w:val="nil"/>
            </w:tcBorders>
            <w:shd w:val="clear" w:color="auto" w:fill="auto"/>
            <w:vAlign w:val="center"/>
          </w:tcPr>
          <w:p w14:paraId="412109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210/1,134; 18.854%</w:t>
            </w:r>
          </w:p>
        </w:tc>
        <w:tc>
          <w:tcPr>
            <w:tcW w:w="0" w:type="auto"/>
            <w:tcBorders>
              <w:top w:val="nil"/>
              <w:left w:val="nil"/>
              <w:bottom w:val="nil"/>
              <w:right w:val="nil"/>
            </w:tcBorders>
            <w:shd w:val="clear" w:color="auto" w:fill="auto"/>
            <w:vAlign w:val="center"/>
          </w:tcPr>
          <w:p w14:paraId="2B71419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205/753; 23.786%</w:t>
            </w:r>
          </w:p>
        </w:tc>
        <w:tc>
          <w:tcPr>
            <w:tcW w:w="0" w:type="auto"/>
            <w:tcBorders>
              <w:top w:val="nil"/>
              <w:left w:val="nil"/>
              <w:bottom w:val="nil"/>
              <w:right w:val="nil"/>
            </w:tcBorders>
            <w:shd w:val="clear" w:color="auto" w:fill="auto"/>
            <w:vAlign w:val="center"/>
          </w:tcPr>
          <w:p w14:paraId="32ED89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27,509/9,367/4,360; 6.441</w:t>
            </w:r>
          </w:p>
        </w:tc>
        <w:tc>
          <w:tcPr>
            <w:tcW w:w="0" w:type="auto"/>
            <w:tcBorders>
              <w:top w:val="nil"/>
              <w:left w:val="nil"/>
              <w:bottom w:val="nil"/>
              <w:right w:val="nil"/>
            </w:tcBorders>
            <w:shd w:val="clear" w:color="auto" w:fill="auto"/>
            <w:vAlign w:val="center"/>
          </w:tcPr>
          <w:p w14:paraId="5DCE6E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6.571</w:t>
            </w:r>
          </w:p>
        </w:tc>
        <w:tc>
          <w:tcPr>
            <w:tcW w:w="0" w:type="auto"/>
            <w:tcBorders>
              <w:top w:val="nil"/>
              <w:left w:val="nil"/>
              <w:bottom w:val="nil"/>
              <w:right w:val="nil"/>
            </w:tcBorders>
            <w:shd w:val="clear" w:color="auto" w:fill="auto"/>
            <w:vAlign w:val="center"/>
          </w:tcPr>
          <w:p w14:paraId="53648E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8.758</w:t>
            </w:r>
          </w:p>
        </w:tc>
      </w:tr>
      <w:tr w:rsidR="00646F04" w:rsidRPr="00646F04" w14:paraId="3A38D083" w14:textId="77777777" w:rsidTr="00646F04">
        <w:tc>
          <w:tcPr>
            <w:tcW w:w="0" w:type="auto"/>
            <w:tcBorders>
              <w:top w:val="nil"/>
              <w:left w:val="nil"/>
              <w:bottom w:val="nil"/>
              <w:right w:val="nil"/>
            </w:tcBorders>
            <w:shd w:val="clear" w:color="auto" w:fill="auto"/>
            <w:vAlign w:val="center"/>
          </w:tcPr>
          <w:p w14:paraId="7C25B7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DFDDEE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IADL disability</w:t>
            </w:r>
          </w:p>
        </w:tc>
        <w:tc>
          <w:tcPr>
            <w:tcW w:w="0" w:type="auto"/>
            <w:tcBorders>
              <w:top w:val="nil"/>
              <w:left w:val="nil"/>
              <w:bottom w:val="nil"/>
              <w:right w:val="nil"/>
            </w:tcBorders>
            <w:shd w:val="clear" w:color="auto" w:fill="auto"/>
            <w:vAlign w:val="center"/>
          </w:tcPr>
          <w:p w14:paraId="1F5D14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1,210/6,912; 15.739%</w:t>
            </w:r>
          </w:p>
        </w:tc>
        <w:tc>
          <w:tcPr>
            <w:tcW w:w="0" w:type="auto"/>
            <w:tcBorders>
              <w:top w:val="nil"/>
              <w:left w:val="nil"/>
              <w:bottom w:val="nil"/>
              <w:right w:val="nil"/>
            </w:tcBorders>
            <w:shd w:val="clear" w:color="auto" w:fill="auto"/>
            <w:vAlign w:val="center"/>
          </w:tcPr>
          <w:p w14:paraId="50E13D7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173/1,028; 15.750%</w:t>
            </w:r>
          </w:p>
        </w:tc>
        <w:tc>
          <w:tcPr>
            <w:tcW w:w="0" w:type="auto"/>
            <w:tcBorders>
              <w:top w:val="nil"/>
              <w:left w:val="nil"/>
              <w:bottom w:val="nil"/>
              <w:right w:val="nil"/>
            </w:tcBorders>
            <w:shd w:val="clear" w:color="auto" w:fill="auto"/>
            <w:vAlign w:val="center"/>
          </w:tcPr>
          <w:p w14:paraId="6BFF05F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154/676; 20.002%</w:t>
            </w:r>
          </w:p>
        </w:tc>
        <w:tc>
          <w:tcPr>
            <w:tcW w:w="0" w:type="auto"/>
            <w:tcBorders>
              <w:top w:val="nil"/>
              <w:left w:val="nil"/>
              <w:bottom w:val="nil"/>
              <w:right w:val="nil"/>
            </w:tcBorders>
            <w:shd w:val="clear" w:color="auto" w:fill="auto"/>
            <w:vAlign w:val="center"/>
          </w:tcPr>
          <w:p w14:paraId="3194E6D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26,325/9,191/4,187; 6.055</w:t>
            </w:r>
          </w:p>
        </w:tc>
        <w:tc>
          <w:tcPr>
            <w:tcW w:w="0" w:type="auto"/>
            <w:tcBorders>
              <w:top w:val="nil"/>
              <w:left w:val="nil"/>
              <w:bottom w:val="nil"/>
              <w:right w:val="nil"/>
            </w:tcBorders>
            <w:shd w:val="clear" w:color="auto" w:fill="auto"/>
            <w:vAlign w:val="center"/>
          </w:tcPr>
          <w:p w14:paraId="3868A7B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5.857</w:t>
            </w:r>
          </w:p>
        </w:tc>
        <w:tc>
          <w:tcPr>
            <w:tcW w:w="0" w:type="auto"/>
            <w:tcBorders>
              <w:top w:val="nil"/>
              <w:left w:val="nil"/>
              <w:bottom w:val="nil"/>
              <w:right w:val="nil"/>
            </w:tcBorders>
            <w:shd w:val="clear" w:color="auto" w:fill="auto"/>
            <w:vAlign w:val="center"/>
          </w:tcPr>
          <w:p w14:paraId="21F7CB2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7.587</w:t>
            </w:r>
          </w:p>
        </w:tc>
      </w:tr>
      <w:tr w:rsidR="00646F04" w:rsidRPr="00646F04" w14:paraId="43648790" w14:textId="77777777" w:rsidTr="00646F04">
        <w:tc>
          <w:tcPr>
            <w:tcW w:w="0" w:type="auto"/>
            <w:tcBorders>
              <w:top w:val="nil"/>
              <w:left w:val="nil"/>
              <w:bottom w:val="nil"/>
              <w:right w:val="nil"/>
            </w:tcBorders>
            <w:shd w:val="clear" w:color="auto" w:fill="auto"/>
            <w:vAlign w:val="center"/>
          </w:tcPr>
          <w:p w14:paraId="30A4006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EB0BFA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Linked/ascertained death</w:t>
            </w:r>
          </w:p>
        </w:tc>
        <w:tc>
          <w:tcPr>
            <w:tcW w:w="0" w:type="auto"/>
            <w:tcBorders>
              <w:top w:val="nil"/>
              <w:left w:val="nil"/>
              <w:bottom w:val="nil"/>
              <w:right w:val="nil"/>
            </w:tcBorders>
            <w:shd w:val="clear" w:color="auto" w:fill="auto"/>
            <w:vAlign w:val="center"/>
          </w:tcPr>
          <w:p w14:paraId="7DB4EE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678/10,553; 6.565%</w:t>
            </w:r>
          </w:p>
        </w:tc>
        <w:tc>
          <w:tcPr>
            <w:tcW w:w="0" w:type="auto"/>
            <w:tcBorders>
              <w:top w:val="nil"/>
              <w:left w:val="nil"/>
              <w:bottom w:val="nil"/>
              <w:right w:val="nil"/>
            </w:tcBorders>
            <w:shd w:val="clear" w:color="auto" w:fill="auto"/>
            <w:vAlign w:val="center"/>
          </w:tcPr>
          <w:p w14:paraId="212756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139/1,629; 8.409%</w:t>
            </w:r>
          </w:p>
        </w:tc>
        <w:tc>
          <w:tcPr>
            <w:tcW w:w="0" w:type="auto"/>
            <w:tcBorders>
              <w:top w:val="nil"/>
              <w:left w:val="nil"/>
              <w:bottom w:val="nil"/>
              <w:right w:val="nil"/>
            </w:tcBorders>
            <w:shd w:val="clear" w:color="auto" w:fill="auto"/>
            <w:vAlign w:val="center"/>
          </w:tcPr>
          <w:p w14:paraId="7D3F3A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142/1,245; 10.784%</w:t>
            </w:r>
          </w:p>
        </w:tc>
        <w:tc>
          <w:tcPr>
            <w:tcW w:w="0" w:type="auto"/>
            <w:tcBorders>
              <w:top w:val="nil"/>
              <w:left w:val="nil"/>
              <w:bottom w:val="nil"/>
              <w:right w:val="nil"/>
            </w:tcBorders>
            <w:shd w:val="clear" w:color="auto" w:fill="auto"/>
            <w:vAlign w:val="center"/>
          </w:tcPr>
          <w:p w14:paraId="7DADC6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37,267/10,511/1,687; 1.869</w:t>
            </w:r>
          </w:p>
        </w:tc>
        <w:tc>
          <w:tcPr>
            <w:tcW w:w="0" w:type="auto"/>
            <w:tcBorders>
              <w:top w:val="nil"/>
              <w:left w:val="nil"/>
              <w:bottom w:val="nil"/>
              <w:right w:val="nil"/>
            </w:tcBorders>
            <w:shd w:val="clear" w:color="auto" w:fill="auto"/>
            <w:vAlign w:val="center"/>
          </w:tcPr>
          <w:p w14:paraId="0EA3992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2.402</w:t>
            </w:r>
          </w:p>
        </w:tc>
        <w:tc>
          <w:tcPr>
            <w:tcW w:w="0" w:type="auto"/>
            <w:tcBorders>
              <w:top w:val="nil"/>
              <w:left w:val="nil"/>
              <w:bottom w:val="nil"/>
              <w:right w:val="nil"/>
            </w:tcBorders>
            <w:shd w:val="clear" w:color="auto" w:fill="auto"/>
            <w:vAlign w:val="center"/>
          </w:tcPr>
          <w:p w14:paraId="3538140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2.789</w:t>
            </w:r>
          </w:p>
        </w:tc>
      </w:tr>
      <w:tr w:rsidR="00646F04" w:rsidRPr="00646F04" w14:paraId="074FCDBE" w14:textId="77777777" w:rsidTr="00646F04">
        <w:tc>
          <w:tcPr>
            <w:tcW w:w="0" w:type="auto"/>
            <w:tcBorders>
              <w:top w:val="nil"/>
              <w:left w:val="nil"/>
              <w:bottom w:val="nil"/>
              <w:right w:val="nil"/>
            </w:tcBorders>
            <w:shd w:val="clear" w:color="auto" w:fill="auto"/>
            <w:vAlign w:val="center"/>
          </w:tcPr>
          <w:p w14:paraId="02B17C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DFA59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non-HTN disease</w:t>
            </w:r>
          </w:p>
        </w:tc>
        <w:tc>
          <w:tcPr>
            <w:tcW w:w="0" w:type="auto"/>
            <w:tcBorders>
              <w:top w:val="nil"/>
              <w:left w:val="nil"/>
              <w:bottom w:val="nil"/>
              <w:right w:val="nil"/>
            </w:tcBorders>
            <w:shd w:val="clear" w:color="auto" w:fill="auto"/>
            <w:vAlign w:val="center"/>
          </w:tcPr>
          <w:p w14:paraId="3844D6E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3,460/12,674; 26.548%</w:t>
            </w:r>
          </w:p>
        </w:tc>
        <w:tc>
          <w:tcPr>
            <w:tcW w:w="0" w:type="auto"/>
            <w:tcBorders>
              <w:top w:val="nil"/>
              <w:left w:val="nil"/>
              <w:bottom w:val="nil"/>
              <w:right w:val="nil"/>
            </w:tcBorders>
            <w:shd w:val="clear" w:color="auto" w:fill="auto"/>
            <w:vAlign w:val="center"/>
          </w:tcPr>
          <w:p w14:paraId="43F550E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339/1,276; 25.885%</w:t>
            </w:r>
          </w:p>
        </w:tc>
        <w:tc>
          <w:tcPr>
            <w:tcW w:w="0" w:type="auto"/>
            <w:tcBorders>
              <w:top w:val="nil"/>
              <w:left w:val="nil"/>
              <w:bottom w:val="nil"/>
              <w:right w:val="nil"/>
            </w:tcBorders>
            <w:shd w:val="clear" w:color="auto" w:fill="auto"/>
            <w:vAlign w:val="center"/>
          </w:tcPr>
          <w:p w14:paraId="352CB6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777/2,431; 30.829%</w:t>
            </w:r>
          </w:p>
        </w:tc>
        <w:tc>
          <w:tcPr>
            <w:tcW w:w="0" w:type="auto"/>
            <w:tcBorders>
              <w:top w:val="nil"/>
              <w:left w:val="nil"/>
              <w:bottom w:val="nil"/>
              <w:right w:val="nil"/>
            </w:tcBorders>
            <w:shd w:val="clear" w:color="auto" w:fill="auto"/>
            <w:vAlign w:val="center"/>
          </w:tcPr>
          <w:p w14:paraId="0F5BB8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52,180/14,355/7,783; 7.022</w:t>
            </w:r>
          </w:p>
        </w:tc>
        <w:tc>
          <w:tcPr>
            <w:tcW w:w="0" w:type="auto"/>
            <w:tcBorders>
              <w:top w:val="nil"/>
              <w:left w:val="nil"/>
              <w:bottom w:val="nil"/>
              <w:right w:val="nil"/>
            </w:tcBorders>
            <w:shd w:val="clear" w:color="auto" w:fill="auto"/>
            <w:vAlign w:val="center"/>
          </w:tcPr>
          <w:p w14:paraId="4CC641C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6.855</w:t>
            </w:r>
          </w:p>
        </w:tc>
        <w:tc>
          <w:tcPr>
            <w:tcW w:w="0" w:type="auto"/>
            <w:tcBorders>
              <w:top w:val="nil"/>
              <w:left w:val="nil"/>
              <w:bottom w:val="nil"/>
              <w:right w:val="nil"/>
            </w:tcBorders>
            <w:shd w:val="clear" w:color="auto" w:fill="auto"/>
            <w:vAlign w:val="center"/>
          </w:tcPr>
          <w:p w14:paraId="6CD6CB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8.177</w:t>
            </w:r>
          </w:p>
        </w:tc>
      </w:tr>
      <w:tr w:rsidR="00646F04" w:rsidRPr="00646F04" w14:paraId="64D688AF" w14:textId="77777777" w:rsidTr="00646F04">
        <w:tc>
          <w:tcPr>
            <w:tcW w:w="0" w:type="auto"/>
            <w:tcBorders>
              <w:top w:val="nil"/>
              <w:left w:val="nil"/>
              <w:bottom w:val="nil"/>
              <w:right w:val="nil"/>
            </w:tcBorders>
            <w:shd w:val="clear" w:color="auto" w:fill="auto"/>
            <w:vAlign w:val="center"/>
          </w:tcPr>
          <w:p w14:paraId="1B94A01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FCEFA7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Number of new non-HTN diseases</w:t>
            </w:r>
          </w:p>
        </w:tc>
        <w:tc>
          <w:tcPr>
            <w:tcW w:w="0" w:type="auto"/>
            <w:tcBorders>
              <w:top w:val="nil"/>
              <w:left w:val="nil"/>
              <w:bottom w:val="nil"/>
              <w:right w:val="nil"/>
            </w:tcBorders>
            <w:shd w:val="clear" w:color="auto" w:fill="auto"/>
            <w:vAlign w:val="center"/>
          </w:tcPr>
          <w:p w14:paraId="326C363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n=12,674; mean 0.316</w:t>
            </w:r>
          </w:p>
        </w:tc>
        <w:tc>
          <w:tcPr>
            <w:tcW w:w="0" w:type="auto"/>
            <w:tcBorders>
              <w:top w:val="nil"/>
              <w:left w:val="nil"/>
              <w:bottom w:val="nil"/>
              <w:right w:val="nil"/>
            </w:tcBorders>
            <w:shd w:val="clear" w:color="auto" w:fill="auto"/>
            <w:vAlign w:val="center"/>
          </w:tcPr>
          <w:p w14:paraId="7C69E8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n=1,276; mean 0.301</w:t>
            </w:r>
          </w:p>
        </w:tc>
        <w:tc>
          <w:tcPr>
            <w:tcW w:w="0" w:type="auto"/>
            <w:tcBorders>
              <w:top w:val="nil"/>
              <w:left w:val="nil"/>
              <w:bottom w:val="nil"/>
              <w:right w:val="nil"/>
            </w:tcBorders>
            <w:shd w:val="clear" w:color="auto" w:fill="auto"/>
            <w:vAlign w:val="center"/>
          </w:tcPr>
          <w:p w14:paraId="060959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n=2,431; mean 0.386</w:t>
            </w:r>
          </w:p>
        </w:tc>
        <w:tc>
          <w:tcPr>
            <w:tcW w:w="0" w:type="auto"/>
            <w:tcBorders>
              <w:top w:val="nil"/>
              <w:left w:val="nil"/>
              <w:bottom w:val="nil"/>
              <w:right w:val="nil"/>
            </w:tcBorders>
            <w:shd w:val="clear" w:color="auto" w:fill="auto"/>
            <w:vAlign w:val="center"/>
          </w:tcPr>
          <w:p w14:paraId="2FC05B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nil"/>
              <w:right w:val="nil"/>
            </w:tcBorders>
            <w:shd w:val="clear" w:color="auto" w:fill="auto"/>
            <w:vAlign w:val="center"/>
          </w:tcPr>
          <w:p w14:paraId="017C068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c>
          <w:tcPr>
            <w:tcW w:w="0" w:type="auto"/>
            <w:tcBorders>
              <w:top w:val="nil"/>
              <w:left w:val="nil"/>
              <w:bottom w:val="nil"/>
              <w:right w:val="nil"/>
            </w:tcBorders>
            <w:shd w:val="clear" w:color="auto" w:fill="auto"/>
            <w:vAlign w:val="center"/>
          </w:tcPr>
          <w:p w14:paraId="0E12085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t>
            </w:r>
          </w:p>
        </w:tc>
      </w:tr>
      <w:tr w:rsidR="00646F04" w:rsidRPr="00646F04" w14:paraId="38F923F6" w14:textId="77777777" w:rsidTr="00646F04">
        <w:tc>
          <w:tcPr>
            <w:tcW w:w="0" w:type="auto"/>
            <w:tcBorders>
              <w:top w:val="nil"/>
              <w:left w:val="nil"/>
              <w:bottom w:val="nil"/>
              <w:right w:val="nil"/>
            </w:tcBorders>
            <w:shd w:val="clear" w:color="auto" w:fill="auto"/>
            <w:vAlign w:val="center"/>
          </w:tcPr>
          <w:p w14:paraId="154684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4D6222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ADL disability</w:t>
            </w:r>
          </w:p>
        </w:tc>
        <w:tc>
          <w:tcPr>
            <w:tcW w:w="0" w:type="auto"/>
            <w:tcBorders>
              <w:top w:val="nil"/>
              <w:left w:val="nil"/>
              <w:bottom w:val="nil"/>
              <w:right w:val="nil"/>
            </w:tcBorders>
            <w:shd w:val="clear" w:color="auto" w:fill="auto"/>
            <w:vAlign w:val="center"/>
          </w:tcPr>
          <w:p w14:paraId="48E50E5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1,166/10,941; 9.131%</w:t>
            </w:r>
          </w:p>
        </w:tc>
        <w:tc>
          <w:tcPr>
            <w:tcW w:w="0" w:type="auto"/>
            <w:tcBorders>
              <w:top w:val="nil"/>
              <w:left w:val="nil"/>
              <w:bottom w:val="nil"/>
              <w:right w:val="nil"/>
            </w:tcBorders>
            <w:shd w:val="clear" w:color="auto" w:fill="auto"/>
            <w:vAlign w:val="center"/>
          </w:tcPr>
          <w:p w14:paraId="1662FB1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120/1,163; 8.629%</w:t>
            </w:r>
          </w:p>
        </w:tc>
        <w:tc>
          <w:tcPr>
            <w:tcW w:w="0" w:type="auto"/>
            <w:tcBorders>
              <w:top w:val="nil"/>
              <w:left w:val="nil"/>
              <w:bottom w:val="nil"/>
              <w:right w:val="nil"/>
            </w:tcBorders>
            <w:shd w:val="clear" w:color="auto" w:fill="auto"/>
            <w:vAlign w:val="center"/>
          </w:tcPr>
          <w:p w14:paraId="6E4673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277/2,003; 12.829%</w:t>
            </w:r>
          </w:p>
        </w:tc>
        <w:tc>
          <w:tcPr>
            <w:tcW w:w="0" w:type="auto"/>
            <w:tcBorders>
              <w:top w:val="nil"/>
              <w:left w:val="nil"/>
              <w:bottom w:val="nil"/>
              <w:right w:val="nil"/>
            </w:tcBorders>
            <w:shd w:val="clear" w:color="auto" w:fill="auto"/>
            <w:vAlign w:val="center"/>
          </w:tcPr>
          <w:p w14:paraId="1FBC46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44,277/13,304/4,008; 3.820</w:t>
            </w:r>
          </w:p>
        </w:tc>
        <w:tc>
          <w:tcPr>
            <w:tcW w:w="0" w:type="auto"/>
            <w:tcBorders>
              <w:top w:val="nil"/>
              <w:left w:val="nil"/>
              <w:bottom w:val="nil"/>
              <w:right w:val="nil"/>
            </w:tcBorders>
            <w:shd w:val="clear" w:color="auto" w:fill="auto"/>
            <w:vAlign w:val="center"/>
          </w:tcPr>
          <w:p w14:paraId="14EC8A9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3.249</w:t>
            </w:r>
          </w:p>
        </w:tc>
        <w:tc>
          <w:tcPr>
            <w:tcW w:w="0" w:type="auto"/>
            <w:tcBorders>
              <w:top w:val="nil"/>
              <w:left w:val="nil"/>
              <w:bottom w:val="nil"/>
              <w:right w:val="nil"/>
            </w:tcBorders>
            <w:shd w:val="clear" w:color="auto" w:fill="auto"/>
            <w:vAlign w:val="center"/>
          </w:tcPr>
          <w:p w14:paraId="518D68C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5.214</w:t>
            </w:r>
          </w:p>
        </w:tc>
      </w:tr>
      <w:tr w:rsidR="00646F04" w:rsidRPr="00646F04" w14:paraId="65259496" w14:textId="77777777" w:rsidTr="00646F04">
        <w:tc>
          <w:tcPr>
            <w:tcW w:w="0" w:type="auto"/>
            <w:tcBorders>
              <w:top w:val="nil"/>
              <w:left w:val="nil"/>
              <w:bottom w:val="nil"/>
              <w:right w:val="nil"/>
            </w:tcBorders>
            <w:shd w:val="clear" w:color="auto" w:fill="auto"/>
            <w:vAlign w:val="center"/>
          </w:tcPr>
          <w:p w14:paraId="48E5586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17D3E9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IADL disability</w:t>
            </w:r>
          </w:p>
        </w:tc>
        <w:tc>
          <w:tcPr>
            <w:tcW w:w="0" w:type="auto"/>
            <w:tcBorders>
              <w:top w:val="nil"/>
              <w:left w:val="nil"/>
              <w:bottom w:val="nil"/>
              <w:right w:val="nil"/>
            </w:tcBorders>
            <w:shd w:val="clear" w:color="auto" w:fill="auto"/>
            <w:vAlign w:val="center"/>
          </w:tcPr>
          <w:p w14:paraId="5CD5D7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930/10,419; 7.274%</w:t>
            </w:r>
          </w:p>
        </w:tc>
        <w:tc>
          <w:tcPr>
            <w:tcW w:w="0" w:type="auto"/>
            <w:tcBorders>
              <w:top w:val="nil"/>
              <w:left w:val="nil"/>
              <w:bottom w:val="nil"/>
              <w:right w:val="nil"/>
            </w:tcBorders>
            <w:shd w:val="clear" w:color="auto" w:fill="auto"/>
            <w:vAlign w:val="center"/>
          </w:tcPr>
          <w:p w14:paraId="12B19F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83/1,109; 6.651%</w:t>
            </w:r>
          </w:p>
        </w:tc>
        <w:tc>
          <w:tcPr>
            <w:tcW w:w="0" w:type="auto"/>
            <w:tcBorders>
              <w:top w:val="nil"/>
              <w:left w:val="nil"/>
              <w:bottom w:val="nil"/>
              <w:right w:val="nil"/>
            </w:tcBorders>
            <w:shd w:val="clear" w:color="auto" w:fill="auto"/>
            <w:vAlign w:val="center"/>
          </w:tcPr>
          <w:p w14:paraId="4345CA9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243/1,906; 10.445%</w:t>
            </w:r>
          </w:p>
        </w:tc>
        <w:tc>
          <w:tcPr>
            <w:tcW w:w="0" w:type="auto"/>
            <w:tcBorders>
              <w:top w:val="nil"/>
              <w:left w:val="nil"/>
              <w:bottom w:val="nil"/>
              <w:right w:val="nil"/>
            </w:tcBorders>
            <w:shd w:val="clear" w:color="auto" w:fill="auto"/>
            <w:vAlign w:val="center"/>
          </w:tcPr>
          <w:p w14:paraId="6779DA4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42,159/12,817/3,084; 2.991</w:t>
            </w:r>
          </w:p>
        </w:tc>
        <w:tc>
          <w:tcPr>
            <w:tcW w:w="0" w:type="auto"/>
            <w:tcBorders>
              <w:top w:val="nil"/>
              <w:left w:val="nil"/>
              <w:bottom w:val="nil"/>
              <w:right w:val="nil"/>
            </w:tcBorders>
            <w:shd w:val="clear" w:color="auto" w:fill="auto"/>
            <w:vAlign w:val="center"/>
          </w:tcPr>
          <w:p w14:paraId="48B86E7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2.542</w:t>
            </w:r>
          </w:p>
        </w:tc>
        <w:tc>
          <w:tcPr>
            <w:tcW w:w="0" w:type="auto"/>
            <w:tcBorders>
              <w:top w:val="nil"/>
              <w:left w:val="nil"/>
              <w:bottom w:val="nil"/>
              <w:right w:val="nil"/>
            </w:tcBorders>
            <w:shd w:val="clear" w:color="auto" w:fill="auto"/>
            <w:vAlign w:val="center"/>
          </w:tcPr>
          <w:p w14:paraId="6673022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4.162</w:t>
            </w:r>
          </w:p>
        </w:tc>
      </w:tr>
      <w:tr w:rsidR="00646F04" w:rsidRPr="00646F04" w14:paraId="2BE32140" w14:textId="77777777" w:rsidTr="00646F04">
        <w:tc>
          <w:tcPr>
            <w:tcW w:w="0" w:type="auto"/>
            <w:tcBorders>
              <w:top w:val="nil"/>
              <w:left w:val="nil"/>
              <w:bottom w:val="single" w:sz="8" w:space="0" w:color="404040"/>
              <w:right w:val="nil"/>
            </w:tcBorders>
            <w:shd w:val="clear" w:color="auto" w:fill="auto"/>
            <w:vAlign w:val="center"/>
          </w:tcPr>
          <w:p w14:paraId="6DC22E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4D73A0C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Linked/ascertained death</w:t>
            </w:r>
          </w:p>
        </w:tc>
        <w:tc>
          <w:tcPr>
            <w:tcW w:w="0" w:type="auto"/>
            <w:tcBorders>
              <w:top w:val="nil"/>
              <w:left w:val="nil"/>
              <w:bottom w:val="single" w:sz="8" w:space="0" w:color="404040"/>
              <w:right w:val="nil"/>
            </w:tcBorders>
            <w:shd w:val="clear" w:color="auto" w:fill="auto"/>
            <w:vAlign w:val="center"/>
          </w:tcPr>
          <w:p w14:paraId="67EC30D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1,547/15,383; 9.019%</w:t>
            </w:r>
          </w:p>
        </w:tc>
        <w:tc>
          <w:tcPr>
            <w:tcW w:w="0" w:type="auto"/>
            <w:tcBorders>
              <w:top w:val="nil"/>
              <w:left w:val="nil"/>
              <w:bottom w:val="single" w:sz="8" w:space="0" w:color="404040"/>
              <w:right w:val="nil"/>
            </w:tcBorders>
            <w:shd w:val="clear" w:color="auto" w:fill="auto"/>
            <w:vAlign w:val="center"/>
          </w:tcPr>
          <w:p w14:paraId="6B1A58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123/1,521; 7.890%</w:t>
            </w:r>
          </w:p>
        </w:tc>
        <w:tc>
          <w:tcPr>
            <w:tcW w:w="0" w:type="auto"/>
            <w:tcBorders>
              <w:top w:val="nil"/>
              <w:left w:val="nil"/>
              <w:bottom w:val="single" w:sz="8" w:space="0" w:color="404040"/>
              <w:right w:val="nil"/>
            </w:tcBorders>
            <w:shd w:val="clear" w:color="auto" w:fill="auto"/>
            <w:vAlign w:val="center"/>
          </w:tcPr>
          <w:p w14:paraId="6CB6DA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409/3,070; 12.744%</w:t>
            </w:r>
          </w:p>
        </w:tc>
        <w:tc>
          <w:tcPr>
            <w:tcW w:w="0" w:type="auto"/>
            <w:tcBorders>
              <w:top w:val="nil"/>
              <w:left w:val="nil"/>
              <w:bottom w:val="single" w:sz="8" w:space="0" w:color="404040"/>
              <w:right w:val="nil"/>
            </w:tcBorders>
            <w:shd w:val="clear" w:color="auto" w:fill="auto"/>
            <w:vAlign w:val="center"/>
          </w:tcPr>
          <w:p w14:paraId="3DEDD8D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57,929/15,309/3,247; 2.252</w:t>
            </w:r>
          </w:p>
        </w:tc>
        <w:tc>
          <w:tcPr>
            <w:tcW w:w="0" w:type="auto"/>
            <w:tcBorders>
              <w:top w:val="nil"/>
              <w:left w:val="nil"/>
              <w:bottom w:val="single" w:sz="8" w:space="0" w:color="404040"/>
              <w:right w:val="nil"/>
            </w:tcBorders>
            <w:shd w:val="clear" w:color="auto" w:fill="auto"/>
            <w:vAlign w:val="center"/>
          </w:tcPr>
          <w:p w14:paraId="68A5345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1.943</w:t>
            </w:r>
          </w:p>
        </w:tc>
        <w:tc>
          <w:tcPr>
            <w:tcW w:w="0" w:type="auto"/>
            <w:tcBorders>
              <w:top w:val="nil"/>
              <w:left w:val="nil"/>
              <w:bottom w:val="single" w:sz="8" w:space="0" w:color="404040"/>
              <w:right w:val="nil"/>
            </w:tcBorders>
            <w:shd w:val="clear" w:color="auto" w:fill="auto"/>
            <w:vAlign w:val="center"/>
          </w:tcPr>
          <w:p w14:paraId="24D5748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3.636</w:t>
            </w:r>
          </w:p>
        </w:tc>
      </w:tr>
    </w:tbl>
    <w:p w14:paraId="437F6A6B" w14:textId="77777777" w:rsidR="001C2B6A" w:rsidRPr="00646F04" w:rsidRDefault="00000000">
      <w:pPr>
        <w:pStyle w:val="a0"/>
        <w:rPr>
          <w:color w:val="000000" w:themeColor="text1"/>
        </w:rPr>
      </w:pPr>
      <w:r w:rsidRPr="00646F04">
        <w:rPr>
          <w:rFonts w:eastAsia="Source Han Serif SC"/>
          <w:b/>
          <w:bCs/>
          <w:color w:val="000000" w:themeColor="text1"/>
        </w:rPr>
        <w:t>Notes.</w:t>
      </w:r>
      <w:r w:rsidRPr="00646F04">
        <w:rPr>
          <w:rFonts w:eastAsia="Source Han Serif SC"/>
          <w:color w:val="000000" w:themeColor="text1"/>
        </w:rPr>
        <w:t xml:space="preserve"> Exact-four-year cells show unweighted events/eligible denominator and survey-weighted risk; disease count cells show the survey-weighted mean. *Full-wave rates are survey-weighted events per 100 weighted person-years and are descriptive, not adjusted hazard ratios. ADL/IADL risk sets start disability-free. CHARLS mortality values include linked or ascertained deaths and do not provide complete mortality follow-up. H0/H2/H4/H5 state-specific rows are available from the corresponding author on reasonable request.</w:t>
      </w:r>
    </w:p>
    <w:p w14:paraId="0A22605E" w14:textId="77777777" w:rsidR="001C2B6A" w:rsidRPr="00646F04" w:rsidRDefault="005C035C">
      <w:pPr>
        <w:rPr>
          <w:color w:val="000000" w:themeColor="text1"/>
        </w:rPr>
      </w:pPr>
      <w:r>
        <w:rPr>
          <w:rFonts w:eastAsia="Source Han Serif SC"/>
          <w:noProof/>
          <w:color w:val="000000" w:themeColor="text1"/>
        </w:rPr>
        <w:lastRenderedPageBreak/>
        <w:pict w14:anchorId="0C7A11F7">
          <v:rect id="_x0000_i1030" alt="" style="width:415.3pt;height:.05pt;mso-width-percent:0;mso-height-percent:0;mso-width-percent:0;mso-height-percent:0" o:hralign="center" o:hrstd="t" o:hr="t"/>
        </w:pict>
      </w:r>
    </w:p>
    <w:p w14:paraId="63D7B34A" w14:textId="77777777" w:rsidR="001C2B6A" w:rsidRPr="00646F04" w:rsidRDefault="00000000">
      <w:pPr>
        <w:pStyle w:val="2"/>
        <w:rPr>
          <w:color w:val="000000" w:themeColor="text1"/>
        </w:rPr>
      </w:pPr>
      <w:bookmarkStart w:id="41" w:name="X520cef987c060c70b174b10599fc5b05e962805"/>
      <w:bookmarkEnd w:id="40"/>
      <w:r w:rsidRPr="00646F04">
        <w:rPr>
          <w:rFonts w:ascii="Arial" w:eastAsia="Source Han Serif SC" w:hAnsi="Arial" w:cs="Arial"/>
          <w:color w:val="000000" w:themeColor="text1"/>
        </w:rPr>
        <w:t>Table S5. Common BP support, overlap balance and IPCW diagnostics</w:t>
      </w:r>
    </w:p>
    <w:p w14:paraId="6506001D" w14:textId="77777777" w:rsidR="001C2B6A" w:rsidRPr="00646F04" w:rsidRDefault="00000000">
      <w:pPr>
        <w:pStyle w:val="3"/>
        <w:rPr>
          <w:color w:val="000000" w:themeColor="text1"/>
        </w:rPr>
      </w:pPr>
      <w:bookmarkStart w:id="42" w:name="Xdad0c5e3f2663b6744109ea04c81e683c65a0a4"/>
      <w:r w:rsidRPr="00646F04">
        <w:rPr>
          <w:rFonts w:ascii="Arial" w:eastAsia="Source Han Serif SC" w:hAnsi="Arial" w:cs="Arial"/>
          <w:color w:val="000000" w:themeColor="text1"/>
        </w:rPr>
        <w:t>Panel A. Prespecified common SBP/DBP support</w:t>
      </w:r>
    </w:p>
    <w:tbl>
      <w:tblPr>
        <w:tblStyle w:val="Table"/>
        <w:tblW w:w="5000" w:type="pct"/>
        <w:tblLook w:val="0020" w:firstRow="1" w:lastRow="0" w:firstColumn="0" w:lastColumn="0" w:noHBand="0" w:noVBand="0"/>
      </w:tblPr>
      <w:tblGrid>
        <w:gridCol w:w="1351"/>
        <w:gridCol w:w="990"/>
        <w:gridCol w:w="1525"/>
        <w:gridCol w:w="1807"/>
        <w:gridCol w:w="1766"/>
        <w:gridCol w:w="3613"/>
        <w:gridCol w:w="3626"/>
      </w:tblGrid>
      <w:tr w:rsidR="00646F04" w:rsidRPr="00646F04" w14:paraId="2EC53121"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323F376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3E3CF5E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State</w:t>
            </w:r>
          </w:p>
        </w:tc>
        <w:tc>
          <w:tcPr>
            <w:tcW w:w="0" w:type="auto"/>
            <w:tcBorders>
              <w:top w:val="single" w:sz="8" w:space="0" w:color="404040"/>
              <w:left w:val="nil"/>
              <w:bottom w:val="single" w:sz="5" w:space="0" w:color="707070"/>
              <w:right w:val="nil"/>
            </w:tcBorders>
            <w:shd w:val="clear" w:color="auto" w:fill="auto"/>
            <w:vAlign w:val="center"/>
          </w:tcPr>
          <w:p w14:paraId="43B1B0E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Original n</w:t>
            </w:r>
          </w:p>
        </w:tc>
        <w:tc>
          <w:tcPr>
            <w:tcW w:w="0" w:type="auto"/>
            <w:tcBorders>
              <w:top w:val="single" w:sz="8" w:space="0" w:color="404040"/>
              <w:left w:val="nil"/>
              <w:bottom w:val="single" w:sz="5" w:space="0" w:color="707070"/>
              <w:right w:val="nil"/>
            </w:tcBorders>
            <w:shd w:val="clear" w:color="auto" w:fill="auto"/>
            <w:vAlign w:val="center"/>
          </w:tcPr>
          <w:p w14:paraId="12DD351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In-support n</w:t>
            </w:r>
          </w:p>
        </w:tc>
        <w:tc>
          <w:tcPr>
            <w:tcW w:w="0" w:type="auto"/>
            <w:tcBorders>
              <w:top w:val="single" w:sz="8" w:space="0" w:color="404040"/>
              <w:left w:val="nil"/>
              <w:bottom w:val="single" w:sz="5" w:space="0" w:color="707070"/>
              <w:right w:val="nil"/>
            </w:tcBorders>
            <w:shd w:val="clear" w:color="auto" w:fill="auto"/>
            <w:vAlign w:val="center"/>
          </w:tcPr>
          <w:p w14:paraId="4B496CC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Retained, %</w:t>
            </w:r>
          </w:p>
        </w:tc>
        <w:tc>
          <w:tcPr>
            <w:tcW w:w="0" w:type="auto"/>
            <w:tcBorders>
              <w:top w:val="single" w:sz="8" w:space="0" w:color="404040"/>
              <w:left w:val="nil"/>
              <w:bottom w:val="single" w:sz="5" w:space="0" w:color="707070"/>
              <w:right w:val="nil"/>
            </w:tcBorders>
            <w:shd w:val="clear" w:color="auto" w:fill="auto"/>
            <w:vAlign w:val="center"/>
          </w:tcPr>
          <w:p w14:paraId="5ADF9A9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Common SBP range, mmHg</w:t>
            </w:r>
          </w:p>
        </w:tc>
        <w:tc>
          <w:tcPr>
            <w:tcW w:w="0" w:type="auto"/>
            <w:tcBorders>
              <w:top w:val="single" w:sz="8" w:space="0" w:color="404040"/>
              <w:left w:val="nil"/>
              <w:bottom w:val="single" w:sz="5" w:space="0" w:color="707070"/>
              <w:right w:val="nil"/>
            </w:tcBorders>
            <w:shd w:val="clear" w:color="auto" w:fill="auto"/>
            <w:vAlign w:val="center"/>
          </w:tcPr>
          <w:p w14:paraId="4F3B3DF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Common DBP range, mmHg</w:t>
            </w:r>
          </w:p>
        </w:tc>
      </w:tr>
      <w:tr w:rsidR="00646F04" w:rsidRPr="00646F04" w14:paraId="1A5EF36A" w14:textId="77777777" w:rsidTr="00646F04">
        <w:tc>
          <w:tcPr>
            <w:tcW w:w="0" w:type="auto"/>
            <w:tcBorders>
              <w:top w:val="nil"/>
              <w:left w:val="nil"/>
              <w:bottom w:val="nil"/>
              <w:right w:val="nil"/>
            </w:tcBorders>
            <w:shd w:val="clear" w:color="auto" w:fill="auto"/>
            <w:vAlign w:val="center"/>
          </w:tcPr>
          <w:p w14:paraId="5DFA974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189716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w:t>
            </w:r>
          </w:p>
        </w:tc>
        <w:tc>
          <w:tcPr>
            <w:tcW w:w="0" w:type="auto"/>
            <w:tcBorders>
              <w:top w:val="nil"/>
              <w:left w:val="nil"/>
              <w:bottom w:val="nil"/>
              <w:right w:val="nil"/>
            </w:tcBorders>
            <w:shd w:val="clear" w:color="auto" w:fill="auto"/>
            <w:vAlign w:val="center"/>
          </w:tcPr>
          <w:p w14:paraId="40D05F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1,629</w:t>
            </w:r>
          </w:p>
        </w:tc>
        <w:tc>
          <w:tcPr>
            <w:tcW w:w="0" w:type="auto"/>
            <w:tcBorders>
              <w:top w:val="nil"/>
              <w:left w:val="nil"/>
              <w:bottom w:val="nil"/>
              <w:right w:val="nil"/>
            </w:tcBorders>
            <w:shd w:val="clear" w:color="auto" w:fill="auto"/>
            <w:vAlign w:val="center"/>
          </w:tcPr>
          <w:p w14:paraId="14F1437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871</w:t>
            </w:r>
          </w:p>
        </w:tc>
        <w:tc>
          <w:tcPr>
            <w:tcW w:w="0" w:type="auto"/>
            <w:tcBorders>
              <w:top w:val="nil"/>
              <w:left w:val="nil"/>
              <w:bottom w:val="nil"/>
              <w:right w:val="nil"/>
            </w:tcBorders>
            <w:shd w:val="clear" w:color="auto" w:fill="auto"/>
            <w:vAlign w:val="center"/>
          </w:tcPr>
          <w:p w14:paraId="06B6B50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53.47</w:t>
            </w:r>
          </w:p>
        </w:tc>
        <w:tc>
          <w:tcPr>
            <w:tcW w:w="0" w:type="auto"/>
            <w:tcBorders>
              <w:top w:val="nil"/>
              <w:left w:val="nil"/>
              <w:bottom w:val="nil"/>
              <w:right w:val="nil"/>
            </w:tcBorders>
            <w:shd w:val="clear" w:color="auto" w:fill="auto"/>
            <w:vAlign w:val="center"/>
          </w:tcPr>
          <w:p w14:paraId="2A4BA43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nil"/>
              <w:right w:val="nil"/>
            </w:tcBorders>
            <w:shd w:val="clear" w:color="auto" w:fill="auto"/>
            <w:vAlign w:val="center"/>
          </w:tcPr>
          <w:p w14:paraId="32E871B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r w:rsidR="00646F04" w:rsidRPr="00646F04" w14:paraId="07505DC7" w14:textId="77777777" w:rsidTr="00646F04">
        <w:tc>
          <w:tcPr>
            <w:tcW w:w="0" w:type="auto"/>
            <w:tcBorders>
              <w:top w:val="nil"/>
              <w:left w:val="nil"/>
              <w:bottom w:val="nil"/>
              <w:right w:val="nil"/>
            </w:tcBorders>
            <w:shd w:val="clear" w:color="auto" w:fill="auto"/>
            <w:vAlign w:val="center"/>
          </w:tcPr>
          <w:p w14:paraId="47ACE7F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F4D0E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H2</w:t>
            </w:r>
          </w:p>
        </w:tc>
        <w:tc>
          <w:tcPr>
            <w:tcW w:w="0" w:type="auto"/>
            <w:tcBorders>
              <w:top w:val="nil"/>
              <w:left w:val="nil"/>
              <w:bottom w:val="nil"/>
              <w:right w:val="nil"/>
            </w:tcBorders>
            <w:shd w:val="clear" w:color="auto" w:fill="auto"/>
            <w:vAlign w:val="center"/>
          </w:tcPr>
          <w:p w14:paraId="5A26E8A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562</w:t>
            </w:r>
          </w:p>
        </w:tc>
        <w:tc>
          <w:tcPr>
            <w:tcW w:w="0" w:type="auto"/>
            <w:tcBorders>
              <w:top w:val="nil"/>
              <w:left w:val="nil"/>
              <w:bottom w:val="nil"/>
              <w:right w:val="nil"/>
            </w:tcBorders>
            <w:shd w:val="clear" w:color="auto" w:fill="auto"/>
            <w:vAlign w:val="center"/>
          </w:tcPr>
          <w:p w14:paraId="21B87A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316</w:t>
            </w:r>
          </w:p>
        </w:tc>
        <w:tc>
          <w:tcPr>
            <w:tcW w:w="0" w:type="auto"/>
            <w:tcBorders>
              <w:top w:val="nil"/>
              <w:left w:val="nil"/>
              <w:bottom w:val="nil"/>
              <w:right w:val="nil"/>
            </w:tcBorders>
            <w:shd w:val="clear" w:color="auto" w:fill="auto"/>
            <w:vAlign w:val="center"/>
          </w:tcPr>
          <w:p w14:paraId="3D39C7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56.23</w:t>
            </w:r>
          </w:p>
        </w:tc>
        <w:tc>
          <w:tcPr>
            <w:tcW w:w="0" w:type="auto"/>
            <w:tcBorders>
              <w:top w:val="nil"/>
              <w:left w:val="nil"/>
              <w:bottom w:val="nil"/>
              <w:right w:val="nil"/>
            </w:tcBorders>
            <w:shd w:val="clear" w:color="auto" w:fill="auto"/>
            <w:vAlign w:val="center"/>
          </w:tcPr>
          <w:p w14:paraId="6CAE05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nil"/>
              <w:right w:val="nil"/>
            </w:tcBorders>
            <w:shd w:val="clear" w:color="auto" w:fill="auto"/>
            <w:vAlign w:val="center"/>
          </w:tcPr>
          <w:p w14:paraId="6B17B3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r w:rsidR="00646F04" w:rsidRPr="00646F04" w14:paraId="77E3F606" w14:textId="77777777" w:rsidTr="00646F04">
        <w:tc>
          <w:tcPr>
            <w:tcW w:w="0" w:type="auto"/>
            <w:tcBorders>
              <w:top w:val="nil"/>
              <w:left w:val="nil"/>
              <w:bottom w:val="nil"/>
              <w:right w:val="nil"/>
            </w:tcBorders>
            <w:shd w:val="clear" w:color="auto" w:fill="auto"/>
            <w:vAlign w:val="center"/>
          </w:tcPr>
          <w:p w14:paraId="312A534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FC9257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w:t>
            </w:r>
          </w:p>
        </w:tc>
        <w:tc>
          <w:tcPr>
            <w:tcW w:w="0" w:type="auto"/>
            <w:tcBorders>
              <w:top w:val="nil"/>
              <w:left w:val="nil"/>
              <w:bottom w:val="nil"/>
              <w:right w:val="nil"/>
            </w:tcBorders>
            <w:shd w:val="clear" w:color="auto" w:fill="auto"/>
            <w:vAlign w:val="center"/>
          </w:tcPr>
          <w:p w14:paraId="22AFA7F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1,245</w:t>
            </w:r>
          </w:p>
        </w:tc>
        <w:tc>
          <w:tcPr>
            <w:tcW w:w="0" w:type="auto"/>
            <w:tcBorders>
              <w:top w:val="nil"/>
              <w:left w:val="nil"/>
              <w:bottom w:val="nil"/>
              <w:right w:val="nil"/>
            </w:tcBorders>
            <w:shd w:val="clear" w:color="auto" w:fill="auto"/>
            <w:vAlign w:val="center"/>
          </w:tcPr>
          <w:p w14:paraId="47CC799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641</w:t>
            </w:r>
          </w:p>
        </w:tc>
        <w:tc>
          <w:tcPr>
            <w:tcW w:w="0" w:type="auto"/>
            <w:tcBorders>
              <w:top w:val="nil"/>
              <w:left w:val="nil"/>
              <w:bottom w:val="nil"/>
              <w:right w:val="nil"/>
            </w:tcBorders>
            <w:shd w:val="clear" w:color="auto" w:fill="auto"/>
            <w:vAlign w:val="center"/>
          </w:tcPr>
          <w:p w14:paraId="0A625AA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51.49</w:t>
            </w:r>
          </w:p>
        </w:tc>
        <w:tc>
          <w:tcPr>
            <w:tcW w:w="0" w:type="auto"/>
            <w:tcBorders>
              <w:top w:val="nil"/>
              <w:left w:val="nil"/>
              <w:bottom w:val="nil"/>
              <w:right w:val="nil"/>
            </w:tcBorders>
            <w:shd w:val="clear" w:color="auto" w:fill="auto"/>
            <w:vAlign w:val="center"/>
          </w:tcPr>
          <w:p w14:paraId="7A3D3BC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nil"/>
              <w:right w:val="nil"/>
            </w:tcBorders>
            <w:shd w:val="clear" w:color="auto" w:fill="auto"/>
            <w:vAlign w:val="center"/>
          </w:tcPr>
          <w:p w14:paraId="1A2AD2C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r w:rsidR="00646F04" w:rsidRPr="00646F04" w14:paraId="3E878162" w14:textId="77777777" w:rsidTr="00646F04">
        <w:tc>
          <w:tcPr>
            <w:tcW w:w="0" w:type="auto"/>
            <w:tcBorders>
              <w:top w:val="nil"/>
              <w:left w:val="nil"/>
              <w:bottom w:val="nil"/>
              <w:right w:val="nil"/>
            </w:tcBorders>
            <w:shd w:val="clear" w:color="auto" w:fill="auto"/>
            <w:vAlign w:val="center"/>
          </w:tcPr>
          <w:p w14:paraId="7F6242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778D194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w:t>
            </w:r>
          </w:p>
        </w:tc>
        <w:tc>
          <w:tcPr>
            <w:tcW w:w="0" w:type="auto"/>
            <w:tcBorders>
              <w:top w:val="nil"/>
              <w:left w:val="nil"/>
              <w:bottom w:val="nil"/>
              <w:right w:val="nil"/>
            </w:tcBorders>
            <w:shd w:val="clear" w:color="auto" w:fill="auto"/>
            <w:vAlign w:val="center"/>
          </w:tcPr>
          <w:p w14:paraId="7B0FC54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1,554</w:t>
            </w:r>
          </w:p>
        </w:tc>
        <w:tc>
          <w:tcPr>
            <w:tcW w:w="0" w:type="auto"/>
            <w:tcBorders>
              <w:top w:val="nil"/>
              <w:left w:val="nil"/>
              <w:bottom w:val="nil"/>
              <w:right w:val="nil"/>
            </w:tcBorders>
            <w:shd w:val="clear" w:color="auto" w:fill="auto"/>
            <w:vAlign w:val="center"/>
          </w:tcPr>
          <w:p w14:paraId="27104B2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885</w:t>
            </w:r>
          </w:p>
        </w:tc>
        <w:tc>
          <w:tcPr>
            <w:tcW w:w="0" w:type="auto"/>
            <w:tcBorders>
              <w:top w:val="nil"/>
              <w:left w:val="nil"/>
              <w:bottom w:val="nil"/>
              <w:right w:val="nil"/>
            </w:tcBorders>
            <w:shd w:val="clear" w:color="auto" w:fill="auto"/>
            <w:vAlign w:val="center"/>
          </w:tcPr>
          <w:p w14:paraId="3720C61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56.95</w:t>
            </w:r>
          </w:p>
        </w:tc>
        <w:tc>
          <w:tcPr>
            <w:tcW w:w="0" w:type="auto"/>
            <w:tcBorders>
              <w:top w:val="nil"/>
              <w:left w:val="nil"/>
              <w:bottom w:val="nil"/>
              <w:right w:val="nil"/>
            </w:tcBorders>
            <w:shd w:val="clear" w:color="auto" w:fill="auto"/>
            <w:vAlign w:val="center"/>
          </w:tcPr>
          <w:p w14:paraId="7F5CBB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nil"/>
              <w:right w:val="nil"/>
            </w:tcBorders>
            <w:shd w:val="clear" w:color="auto" w:fill="auto"/>
            <w:vAlign w:val="center"/>
          </w:tcPr>
          <w:p w14:paraId="2395A2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r w:rsidR="00646F04" w:rsidRPr="00646F04" w14:paraId="32D6837E" w14:textId="77777777" w:rsidTr="00646F04">
        <w:tc>
          <w:tcPr>
            <w:tcW w:w="0" w:type="auto"/>
            <w:tcBorders>
              <w:top w:val="nil"/>
              <w:left w:val="nil"/>
              <w:bottom w:val="nil"/>
              <w:right w:val="nil"/>
            </w:tcBorders>
            <w:shd w:val="clear" w:color="auto" w:fill="auto"/>
            <w:vAlign w:val="center"/>
          </w:tcPr>
          <w:p w14:paraId="6F7B5C9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A9D3FA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H2</w:t>
            </w:r>
          </w:p>
        </w:tc>
        <w:tc>
          <w:tcPr>
            <w:tcW w:w="0" w:type="auto"/>
            <w:tcBorders>
              <w:top w:val="nil"/>
              <w:left w:val="nil"/>
              <w:bottom w:val="nil"/>
              <w:right w:val="nil"/>
            </w:tcBorders>
            <w:shd w:val="clear" w:color="auto" w:fill="auto"/>
            <w:vAlign w:val="center"/>
          </w:tcPr>
          <w:p w14:paraId="2DA038F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436</w:t>
            </w:r>
          </w:p>
        </w:tc>
        <w:tc>
          <w:tcPr>
            <w:tcW w:w="0" w:type="auto"/>
            <w:tcBorders>
              <w:top w:val="nil"/>
              <w:left w:val="nil"/>
              <w:bottom w:val="nil"/>
              <w:right w:val="nil"/>
            </w:tcBorders>
            <w:shd w:val="clear" w:color="auto" w:fill="auto"/>
            <w:vAlign w:val="center"/>
          </w:tcPr>
          <w:p w14:paraId="76B7591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227</w:t>
            </w:r>
          </w:p>
        </w:tc>
        <w:tc>
          <w:tcPr>
            <w:tcW w:w="0" w:type="auto"/>
            <w:tcBorders>
              <w:top w:val="nil"/>
              <w:left w:val="nil"/>
              <w:bottom w:val="nil"/>
              <w:right w:val="nil"/>
            </w:tcBorders>
            <w:shd w:val="clear" w:color="auto" w:fill="auto"/>
            <w:vAlign w:val="center"/>
          </w:tcPr>
          <w:p w14:paraId="72E29C8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52.06</w:t>
            </w:r>
          </w:p>
        </w:tc>
        <w:tc>
          <w:tcPr>
            <w:tcW w:w="0" w:type="auto"/>
            <w:tcBorders>
              <w:top w:val="nil"/>
              <w:left w:val="nil"/>
              <w:bottom w:val="nil"/>
              <w:right w:val="nil"/>
            </w:tcBorders>
            <w:shd w:val="clear" w:color="auto" w:fill="auto"/>
            <w:vAlign w:val="center"/>
          </w:tcPr>
          <w:p w14:paraId="7A9ADB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nil"/>
              <w:right w:val="nil"/>
            </w:tcBorders>
            <w:shd w:val="clear" w:color="auto" w:fill="auto"/>
            <w:vAlign w:val="center"/>
          </w:tcPr>
          <w:p w14:paraId="21D63C5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r w:rsidR="00646F04" w:rsidRPr="00646F04" w14:paraId="520CA2F9" w14:textId="77777777" w:rsidTr="00646F04">
        <w:tc>
          <w:tcPr>
            <w:tcW w:w="0" w:type="auto"/>
            <w:tcBorders>
              <w:top w:val="nil"/>
              <w:left w:val="nil"/>
              <w:bottom w:val="single" w:sz="8" w:space="0" w:color="404040"/>
              <w:right w:val="nil"/>
            </w:tcBorders>
            <w:shd w:val="clear" w:color="auto" w:fill="auto"/>
            <w:vAlign w:val="center"/>
          </w:tcPr>
          <w:p w14:paraId="6A7F4C1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30970DF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w:t>
            </w:r>
          </w:p>
        </w:tc>
        <w:tc>
          <w:tcPr>
            <w:tcW w:w="0" w:type="auto"/>
            <w:tcBorders>
              <w:top w:val="nil"/>
              <w:left w:val="nil"/>
              <w:bottom w:val="single" w:sz="8" w:space="0" w:color="404040"/>
              <w:right w:val="nil"/>
            </w:tcBorders>
            <w:shd w:val="clear" w:color="auto" w:fill="auto"/>
            <w:vAlign w:val="center"/>
          </w:tcPr>
          <w:p w14:paraId="2DFF56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3,101</w:t>
            </w:r>
          </w:p>
        </w:tc>
        <w:tc>
          <w:tcPr>
            <w:tcW w:w="0" w:type="auto"/>
            <w:tcBorders>
              <w:top w:val="nil"/>
              <w:left w:val="nil"/>
              <w:bottom w:val="single" w:sz="8" w:space="0" w:color="404040"/>
              <w:right w:val="nil"/>
            </w:tcBorders>
            <w:shd w:val="clear" w:color="auto" w:fill="auto"/>
            <w:vAlign w:val="center"/>
          </w:tcPr>
          <w:p w14:paraId="37AC3F0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1,767</w:t>
            </w:r>
          </w:p>
        </w:tc>
        <w:tc>
          <w:tcPr>
            <w:tcW w:w="0" w:type="auto"/>
            <w:tcBorders>
              <w:top w:val="nil"/>
              <w:left w:val="nil"/>
              <w:bottom w:val="single" w:sz="8" w:space="0" w:color="404040"/>
              <w:right w:val="nil"/>
            </w:tcBorders>
            <w:shd w:val="clear" w:color="auto" w:fill="auto"/>
            <w:vAlign w:val="center"/>
          </w:tcPr>
          <w:p w14:paraId="65FABAC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56.98</w:t>
            </w:r>
          </w:p>
        </w:tc>
        <w:tc>
          <w:tcPr>
            <w:tcW w:w="0" w:type="auto"/>
            <w:tcBorders>
              <w:top w:val="nil"/>
              <w:left w:val="nil"/>
              <w:bottom w:val="single" w:sz="8" w:space="0" w:color="404040"/>
              <w:right w:val="nil"/>
            </w:tcBorders>
            <w:shd w:val="clear" w:color="auto" w:fill="auto"/>
            <w:vAlign w:val="center"/>
          </w:tcPr>
          <w:p w14:paraId="5EDBFF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141.0–177.2</w:t>
            </w:r>
          </w:p>
        </w:tc>
        <w:tc>
          <w:tcPr>
            <w:tcW w:w="0" w:type="auto"/>
            <w:tcBorders>
              <w:top w:val="nil"/>
              <w:left w:val="nil"/>
              <w:bottom w:val="single" w:sz="8" w:space="0" w:color="404040"/>
              <w:right w:val="nil"/>
            </w:tcBorders>
            <w:shd w:val="clear" w:color="auto" w:fill="auto"/>
            <w:vAlign w:val="center"/>
          </w:tcPr>
          <w:p w14:paraId="38E55C2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78.4–102.0</w:t>
            </w:r>
          </w:p>
        </w:tc>
      </w:tr>
    </w:tbl>
    <w:p w14:paraId="49D518C0" w14:textId="77777777" w:rsidR="001C2B6A" w:rsidRPr="00646F04" w:rsidRDefault="00000000">
      <w:pPr>
        <w:pStyle w:val="3"/>
        <w:rPr>
          <w:color w:val="000000" w:themeColor="text1"/>
        </w:rPr>
      </w:pPr>
      <w:bookmarkStart w:id="43" w:name="Xd94f230e1f4853353e77c05a08ca41a2f616e47"/>
      <w:bookmarkEnd w:id="42"/>
      <w:r w:rsidRPr="00646F04">
        <w:rPr>
          <w:rFonts w:ascii="Arial" w:eastAsia="Source Han Serif SC" w:hAnsi="Arial" w:cs="Arial"/>
          <w:color w:val="000000" w:themeColor="text1"/>
        </w:rPr>
        <w:t>Panel B. Overlap-weight diagnostics within common support</w:t>
      </w:r>
    </w:p>
    <w:tbl>
      <w:tblPr>
        <w:tblStyle w:val="Table"/>
        <w:tblW w:w="5000" w:type="pct"/>
        <w:tblLook w:val="0020" w:firstRow="1" w:lastRow="0" w:firstColumn="0" w:lastColumn="0" w:noHBand="0" w:noVBand="0"/>
      </w:tblPr>
      <w:tblGrid>
        <w:gridCol w:w="1314"/>
        <w:gridCol w:w="1757"/>
        <w:gridCol w:w="3370"/>
        <w:gridCol w:w="2604"/>
        <w:gridCol w:w="2577"/>
        <w:gridCol w:w="2146"/>
        <w:gridCol w:w="910"/>
      </w:tblGrid>
      <w:tr w:rsidR="00646F04" w:rsidRPr="00646F04" w14:paraId="346610EC"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F2365F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5C0BF4B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Comparison</w:t>
            </w:r>
          </w:p>
        </w:tc>
        <w:tc>
          <w:tcPr>
            <w:tcW w:w="0" w:type="auto"/>
            <w:tcBorders>
              <w:top w:val="single" w:sz="8" w:space="0" w:color="404040"/>
              <w:left w:val="nil"/>
              <w:bottom w:val="single" w:sz="5" w:space="0" w:color="707070"/>
              <w:right w:val="nil"/>
            </w:tcBorders>
            <w:shd w:val="clear" w:color="auto" w:fill="auto"/>
            <w:vAlign w:val="center"/>
          </w:tcPr>
          <w:p w14:paraId="51B7387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Support n (H1/comparator)</w:t>
            </w:r>
          </w:p>
        </w:tc>
        <w:tc>
          <w:tcPr>
            <w:tcW w:w="0" w:type="auto"/>
            <w:tcBorders>
              <w:top w:val="single" w:sz="8" w:space="0" w:color="404040"/>
              <w:left w:val="nil"/>
              <w:bottom w:val="single" w:sz="5" w:space="0" w:color="707070"/>
              <w:right w:val="nil"/>
            </w:tcBorders>
            <w:shd w:val="clear" w:color="auto" w:fill="auto"/>
            <w:vAlign w:val="center"/>
          </w:tcPr>
          <w:p w14:paraId="7CFD107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Propensity p01–p99</w:t>
            </w:r>
          </w:p>
        </w:tc>
        <w:tc>
          <w:tcPr>
            <w:tcW w:w="0" w:type="auto"/>
            <w:tcBorders>
              <w:top w:val="single" w:sz="8" w:space="0" w:color="404040"/>
              <w:left w:val="nil"/>
              <w:bottom w:val="single" w:sz="5" w:space="0" w:color="707070"/>
              <w:right w:val="nil"/>
            </w:tcBorders>
            <w:shd w:val="clear" w:color="auto" w:fill="auto"/>
            <w:vAlign w:val="center"/>
          </w:tcPr>
          <w:p w14:paraId="136E18D3"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ESS H1/comparator</w:t>
            </w:r>
          </w:p>
        </w:tc>
        <w:tc>
          <w:tcPr>
            <w:tcW w:w="0" w:type="auto"/>
            <w:tcBorders>
              <w:top w:val="single" w:sz="8" w:space="0" w:color="404040"/>
              <w:left w:val="nil"/>
              <w:bottom w:val="single" w:sz="5" w:space="0" w:color="707070"/>
              <w:right w:val="nil"/>
            </w:tcBorders>
            <w:shd w:val="clear" w:color="auto" w:fill="auto"/>
            <w:vAlign w:val="center"/>
          </w:tcPr>
          <w:p w14:paraId="01BB1DE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Maximum</w:t>
            </w:r>
          </w:p>
        </w:tc>
        <w:tc>
          <w:tcPr>
            <w:tcW w:w="0" w:type="auto"/>
            <w:tcBorders>
              <w:top w:val="single" w:sz="8" w:space="0" w:color="404040"/>
              <w:left w:val="nil"/>
              <w:bottom w:val="single" w:sz="5" w:space="0" w:color="707070"/>
              <w:right w:val="nil"/>
            </w:tcBorders>
            <w:shd w:val="clear" w:color="auto" w:fill="auto"/>
            <w:vAlign w:val="center"/>
          </w:tcPr>
          <w:p w14:paraId="0277438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SMD</w:t>
            </w:r>
          </w:p>
        </w:tc>
      </w:tr>
      <w:tr w:rsidR="00646F04" w:rsidRPr="00646F04" w14:paraId="7B23C6F4" w14:textId="77777777" w:rsidTr="00646F04">
        <w:tc>
          <w:tcPr>
            <w:tcW w:w="0" w:type="auto"/>
            <w:tcBorders>
              <w:top w:val="nil"/>
              <w:left w:val="nil"/>
              <w:bottom w:val="nil"/>
              <w:right w:val="nil"/>
            </w:tcBorders>
            <w:shd w:val="clear" w:color="auto" w:fill="auto"/>
            <w:vAlign w:val="center"/>
          </w:tcPr>
          <w:p w14:paraId="4AA402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10B3E5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H2</w:t>
            </w:r>
          </w:p>
        </w:tc>
        <w:tc>
          <w:tcPr>
            <w:tcW w:w="0" w:type="auto"/>
            <w:tcBorders>
              <w:top w:val="nil"/>
              <w:left w:val="nil"/>
              <w:bottom w:val="nil"/>
              <w:right w:val="nil"/>
            </w:tcBorders>
            <w:shd w:val="clear" w:color="auto" w:fill="auto"/>
            <w:vAlign w:val="center"/>
          </w:tcPr>
          <w:p w14:paraId="77639CB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1,187 (871/316)</w:t>
            </w:r>
          </w:p>
        </w:tc>
        <w:tc>
          <w:tcPr>
            <w:tcW w:w="0" w:type="auto"/>
            <w:tcBorders>
              <w:top w:val="nil"/>
              <w:left w:val="nil"/>
              <w:bottom w:val="nil"/>
              <w:right w:val="nil"/>
            </w:tcBorders>
            <w:shd w:val="clear" w:color="auto" w:fill="auto"/>
            <w:vAlign w:val="center"/>
          </w:tcPr>
          <w:p w14:paraId="437F33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0.456–0.905</w:t>
            </w:r>
          </w:p>
        </w:tc>
        <w:tc>
          <w:tcPr>
            <w:tcW w:w="0" w:type="auto"/>
            <w:tcBorders>
              <w:top w:val="nil"/>
              <w:left w:val="nil"/>
              <w:bottom w:val="nil"/>
              <w:right w:val="nil"/>
            </w:tcBorders>
            <w:shd w:val="clear" w:color="auto" w:fill="auto"/>
            <w:vAlign w:val="center"/>
          </w:tcPr>
          <w:p w14:paraId="01EC6EC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143.5/192.0</w:t>
            </w:r>
          </w:p>
        </w:tc>
        <w:tc>
          <w:tcPr>
            <w:tcW w:w="0" w:type="auto"/>
            <w:tcBorders>
              <w:top w:val="nil"/>
              <w:left w:val="nil"/>
              <w:bottom w:val="nil"/>
              <w:right w:val="nil"/>
            </w:tcBorders>
            <w:shd w:val="clear" w:color="auto" w:fill="auto"/>
            <w:vAlign w:val="center"/>
          </w:tcPr>
          <w:p w14:paraId="6661654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0.274 → 0.000001</w:t>
            </w:r>
          </w:p>
        </w:tc>
        <w:tc>
          <w:tcPr>
            <w:tcW w:w="0" w:type="auto"/>
            <w:tcBorders>
              <w:top w:val="nil"/>
              <w:left w:val="nil"/>
              <w:bottom w:val="nil"/>
              <w:right w:val="nil"/>
            </w:tcBorders>
            <w:shd w:val="clear" w:color="auto" w:fill="auto"/>
            <w:vAlign w:val="center"/>
          </w:tcPr>
          <w:p w14:paraId="417686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2781CE0E" w14:textId="77777777" w:rsidTr="00646F04">
        <w:tc>
          <w:tcPr>
            <w:tcW w:w="0" w:type="auto"/>
            <w:tcBorders>
              <w:top w:val="nil"/>
              <w:left w:val="nil"/>
              <w:bottom w:val="nil"/>
              <w:right w:val="nil"/>
            </w:tcBorders>
            <w:shd w:val="clear" w:color="auto" w:fill="auto"/>
            <w:vAlign w:val="center"/>
          </w:tcPr>
          <w:p w14:paraId="2694851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AC18B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H2</w:t>
            </w:r>
          </w:p>
        </w:tc>
        <w:tc>
          <w:tcPr>
            <w:tcW w:w="0" w:type="auto"/>
            <w:tcBorders>
              <w:top w:val="nil"/>
              <w:left w:val="nil"/>
              <w:bottom w:val="nil"/>
              <w:right w:val="nil"/>
            </w:tcBorders>
            <w:shd w:val="clear" w:color="auto" w:fill="auto"/>
            <w:vAlign w:val="center"/>
          </w:tcPr>
          <w:p w14:paraId="5E13B12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1,112 (885/227)</w:t>
            </w:r>
          </w:p>
        </w:tc>
        <w:tc>
          <w:tcPr>
            <w:tcW w:w="0" w:type="auto"/>
            <w:tcBorders>
              <w:top w:val="nil"/>
              <w:left w:val="nil"/>
              <w:bottom w:val="nil"/>
              <w:right w:val="nil"/>
            </w:tcBorders>
            <w:shd w:val="clear" w:color="auto" w:fill="auto"/>
            <w:vAlign w:val="center"/>
          </w:tcPr>
          <w:p w14:paraId="347F4A6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0.378–0.957</w:t>
            </w:r>
          </w:p>
        </w:tc>
        <w:tc>
          <w:tcPr>
            <w:tcW w:w="0" w:type="auto"/>
            <w:tcBorders>
              <w:top w:val="nil"/>
              <w:left w:val="nil"/>
              <w:bottom w:val="nil"/>
              <w:right w:val="nil"/>
            </w:tcBorders>
            <w:shd w:val="clear" w:color="auto" w:fill="auto"/>
            <w:vAlign w:val="center"/>
          </w:tcPr>
          <w:p w14:paraId="1257391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442.9/127.9</w:t>
            </w:r>
          </w:p>
        </w:tc>
        <w:tc>
          <w:tcPr>
            <w:tcW w:w="0" w:type="auto"/>
            <w:tcBorders>
              <w:top w:val="nil"/>
              <w:left w:val="nil"/>
              <w:bottom w:val="nil"/>
              <w:right w:val="nil"/>
            </w:tcBorders>
            <w:shd w:val="clear" w:color="auto" w:fill="auto"/>
            <w:vAlign w:val="center"/>
          </w:tcPr>
          <w:p w14:paraId="373562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0.355 → 0.000168</w:t>
            </w:r>
          </w:p>
        </w:tc>
        <w:tc>
          <w:tcPr>
            <w:tcW w:w="0" w:type="auto"/>
            <w:tcBorders>
              <w:top w:val="nil"/>
              <w:left w:val="nil"/>
              <w:bottom w:val="nil"/>
              <w:right w:val="nil"/>
            </w:tcBorders>
            <w:shd w:val="clear" w:color="auto" w:fill="auto"/>
            <w:vAlign w:val="center"/>
          </w:tcPr>
          <w:p w14:paraId="1621BDF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50FDF15F" w14:textId="77777777" w:rsidTr="00646F04">
        <w:tc>
          <w:tcPr>
            <w:tcW w:w="0" w:type="auto"/>
            <w:tcBorders>
              <w:top w:val="nil"/>
              <w:left w:val="nil"/>
              <w:bottom w:val="nil"/>
              <w:right w:val="nil"/>
            </w:tcBorders>
            <w:shd w:val="clear" w:color="auto" w:fill="auto"/>
            <w:vAlign w:val="center"/>
          </w:tcPr>
          <w:p w14:paraId="39CAA55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2E359B3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w:t>
            </w:r>
          </w:p>
        </w:tc>
        <w:tc>
          <w:tcPr>
            <w:tcW w:w="0" w:type="auto"/>
            <w:tcBorders>
              <w:top w:val="nil"/>
              <w:left w:val="nil"/>
              <w:bottom w:val="nil"/>
              <w:right w:val="nil"/>
            </w:tcBorders>
            <w:shd w:val="clear" w:color="auto" w:fill="auto"/>
            <w:vAlign w:val="center"/>
          </w:tcPr>
          <w:p w14:paraId="598FCDE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1,512 (871/641)</w:t>
            </w:r>
          </w:p>
        </w:tc>
        <w:tc>
          <w:tcPr>
            <w:tcW w:w="0" w:type="auto"/>
            <w:tcBorders>
              <w:top w:val="nil"/>
              <w:left w:val="nil"/>
              <w:bottom w:val="nil"/>
              <w:right w:val="nil"/>
            </w:tcBorders>
            <w:shd w:val="clear" w:color="auto" w:fill="auto"/>
            <w:vAlign w:val="center"/>
          </w:tcPr>
          <w:p w14:paraId="7CDA7FE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0.134–0.918</w:t>
            </w:r>
          </w:p>
        </w:tc>
        <w:tc>
          <w:tcPr>
            <w:tcW w:w="0" w:type="auto"/>
            <w:tcBorders>
              <w:top w:val="nil"/>
              <w:left w:val="nil"/>
              <w:bottom w:val="nil"/>
              <w:right w:val="nil"/>
            </w:tcBorders>
            <w:shd w:val="clear" w:color="auto" w:fill="auto"/>
            <w:vAlign w:val="center"/>
          </w:tcPr>
          <w:p w14:paraId="656A16E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125.2/332.1</w:t>
            </w:r>
          </w:p>
        </w:tc>
        <w:tc>
          <w:tcPr>
            <w:tcW w:w="0" w:type="auto"/>
            <w:tcBorders>
              <w:top w:val="nil"/>
              <w:left w:val="nil"/>
              <w:bottom w:val="nil"/>
              <w:right w:val="nil"/>
            </w:tcBorders>
            <w:shd w:val="clear" w:color="auto" w:fill="auto"/>
            <w:vAlign w:val="center"/>
          </w:tcPr>
          <w:p w14:paraId="31FDDF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0.483 → 0.000140</w:t>
            </w:r>
          </w:p>
        </w:tc>
        <w:tc>
          <w:tcPr>
            <w:tcW w:w="0" w:type="auto"/>
            <w:tcBorders>
              <w:top w:val="nil"/>
              <w:left w:val="nil"/>
              <w:bottom w:val="nil"/>
              <w:right w:val="nil"/>
            </w:tcBorders>
            <w:shd w:val="clear" w:color="auto" w:fill="auto"/>
            <w:vAlign w:val="center"/>
          </w:tcPr>
          <w:p w14:paraId="7381AE0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333C5B6F" w14:textId="77777777" w:rsidTr="00646F04">
        <w:tc>
          <w:tcPr>
            <w:tcW w:w="0" w:type="auto"/>
            <w:tcBorders>
              <w:top w:val="nil"/>
              <w:left w:val="nil"/>
              <w:bottom w:val="single" w:sz="8" w:space="0" w:color="404040"/>
              <w:right w:val="nil"/>
            </w:tcBorders>
            <w:shd w:val="clear" w:color="auto" w:fill="auto"/>
            <w:vAlign w:val="center"/>
          </w:tcPr>
          <w:p w14:paraId="3921B7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5D8CA2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w:t>
            </w:r>
          </w:p>
        </w:tc>
        <w:tc>
          <w:tcPr>
            <w:tcW w:w="0" w:type="auto"/>
            <w:tcBorders>
              <w:top w:val="nil"/>
              <w:left w:val="nil"/>
              <w:bottom w:val="single" w:sz="8" w:space="0" w:color="404040"/>
              <w:right w:val="nil"/>
            </w:tcBorders>
            <w:shd w:val="clear" w:color="auto" w:fill="auto"/>
            <w:vAlign w:val="center"/>
          </w:tcPr>
          <w:p w14:paraId="7740EF0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2,652 (885/1,767)</w:t>
            </w:r>
          </w:p>
        </w:tc>
        <w:tc>
          <w:tcPr>
            <w:tcW w:w="0" w:type="auto"/>
            <w:tcBorders>
              <w:top w:val="nil"/>
              <w:left w:val="nil"/>
              <w:bottom w:val="single" w:sz="8" w:space="0" w:color="404040"/>
              <w:right w:val="nil"/>
            </w:tcBorders>
            <w:shd w:val="clear" w:color="auto" w:fill="auto"/>
            <w:vAlign w:val="center"/>
          </w:tcPr>
          <w:p w14:paraId="111E531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0.038–0.755</w:t>
            </w:r>
          </w:p>
        </w:tc>
        <w:tc>
          <w:tcPr>
            <w:tcW w:w="0" w:type="auto"/>
            <w:tcBorders>
              <w:top w:val="nil"/>
              <w:left w:val="nil"/>
              <w:bottom w:val="single" w:sz="8" w:space="0" w:color="404040"/>
              <w:right w:val="nil"/>
            </w:tcBorders>
            <w:shd w:val="clear" w:color="auto" w:fill="auto"/>
            <w:vAlign w:val="center"/>
          </w:tcPr>
          <w:p w14:paraId="536706F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564.6/827.9</w:t>
            </w:r>
          </w:p>
        </w:tc>
        <w:tc>
          <w:tcPr>
            <w:tcW w:w="0" w:type="auto"/>
            <w:tcBorders>
              <w:top w:val="nil"/>
              <w:left w:val="nil"/>
              <w:bottom w:val="single" w:sz="8" w:space="0" w:color="404040"/>
              <w:right w:val="nil"/>
            </w:tcBorders>
            <w:shd w:val="clear" w:color="auto" w:fill="auto"/>
            <w:vAlign w:val="center"/>
          </w:tcPr>
          <w:p w14:paraId="328297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0.718 → 0.000024</w:t>
            </w:r>
          </w:p>
        </w:tc>
        <w:tc>
          <w:tcPr>
            <w:tcW w:w="0" w:type="auto"/>
            <w:tcBorders>
              <w:top w:val="nil"/>
              <w:left w:val="nil"/>
              <w:bottom w:val="single" w:sz="8" w:space="0" w:color="404040"/>
              <w:right w:val="nil"/>
            </w:tcBorders>
            <w:shd w:val="clear" w:color="auto" w:fill="auto"/>
            <w:vAlign w:val="center"/>
          </w:tcPr>
          <w:p w14:paraId="5706998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bl>
    <w:p w14:paraId="2D8C7C2E" w14:textId="77777777" w:rsidR="001C2B6A" w:rsidRPr="00646F04" w:rsidRDefault="00000000">
      <w:pPr>
        <w:pStyle w:val="3"/>
        <w:rPr>
          <w:color w:val="000000" w:themeColor="text1"/>
        </w:rPr>
      </w:pPr>
      <w:bookmarkStart w:id="44" w:name="Xa385c92afaba1f242afd38c5c84185cd504dd87"/>
      <w:bookmarkEnd w:id="43"/>
      <w:r w:rsidRPr="00646F04">
        <w:rPr>
          <w:rFonts w:ascii="Arial" w:eastAsia="Source Han Serif SC" w:hAnsi="Arial" w:cs="Arial"/>
          <w:color w:val="000000" w:themeColor="text1"/>
        </w:rPr>
        <w:t>Panel C. Endpoint-specific exact-four-year IPCW</w:t>
      </w:r>
    </w:p>
    <w:tbl>
      <w:tblPr>
        <w:tblStyle w:val="Table"/>
        <w:tblW w:w="5000" w:type="pct"/>
        <w:tblLook w:val="0020" w:firstRow="1" w:lastRow="0" w:firstColumn="0" w:lastColumn="0" w:noHBand="0" w:noVBand="0"/>
      </w:tblPr>
      <w:tblGrid>
        <w:gridCol w:w="823"/>
        <w:gridCol w:w="881"/>
        <w:gridCol w:w="2349"/>
        <w:gridCol w:w="1411"/>
        <w:gridCol w:w="2569"/>
        <w:gridCol w:w="1509"/>
        <w:gridCol w:w="1549"/>
        <w:gridCol w:w="1166"/>
        <w:gridCol w:w="1296"/>
        <w:gridCol w:w="1125"/>
      </w:tblGrid>
      <w:tr w:rsidR="00646F04" w:rsidRPr="00646F04" w14:paraId="1626EEF1"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184B5CD"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5B3F18B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Endpoint</w:t>
            </w:r>
          </w:p>
        </w:tc>
        <w:tc>
          <w:tcPr>
            <w:tcW w:w="0" w:type="auto"/>
            <w:tcBorders>
              <w:top w:val="single" w:sz="8" w:space="0" w:color="404040"/>
              <w:left w:val="nil"/>
              <w:bottom w:val="single" w:sz="5" w:space="0" w:color="707070"/>
              <w:right w:val="nil"/>
            </w:tcBorders>
            <w:shd w:val="clear" w:color="auto" w:fill="auto"/>
            <w:vAlign w:val="center"/>
          </w:tcPr>
          <w:p w14:paraId="1EA41AD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Observed/eligible non-death n</w:t>
            </w:r>
          </w:p>
        </w:tc>
        <w:tc>
          <w:tcPr>
            <w:tcW w:w="0" w:type="auto"/>
            <w:tcBorders>
              <w:top w:val="single" w:sz="8" w:space="0" w:color="404040"/>
              <w:left w:val="nil"/>
              <w:bottom w:val="single" w:sz="5" w:space="0" w:color="707070"/>
              <w:right w:val="nil"/>
            </w:tcBorders>
            <w:shd w:val="clear" w:color="auto" w:fill="auto"/>
            <w:vAlign w:val="center"/>
          </w:tcPr>
          <w:p w14:paraId="18A79BA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Deaths excluded</w:t>
            </w:r>
          </w:p>
        </w:tc>
        <w:tc>
          <w:tcPr>
            <w:tcW w:w="0" w:type="auto"/>
            <w:tcBorders>
              <w:top w:val="single" w:sz="8" w:space="0" w:color="404040"/>
              <w:left w:val="nil"/>
              <w:bottom w:val="single" w:sz="5" w:space="0" w:color="707070"/>
              <w:right w:val="nil"/>
            </w:tcBorders>
            <w:shd w:val="clear" w:color="auto" w:fill="auto"/>
            <w:vAlign w:val="center"/>
          </w:tcPr>
          <w:p w14:paraId="710B29C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Weighted observation probability</w:t>
            </w:r>
          </w:p>
        </w:tc>
        <w:tc>
          <w:tcPr>
            <w:tcW w:w="0" w:type="auto"/>
            <w:tcBorders>
              <w:top w:val="single" w:sz="8" w:space="0" w:color="404040"/>
              <w:left w:val="nil"/>
              <w:bottom w:val="single" w:sz="5" w:space="0" w:color="707070"/>
              <w:right w:val="nil"/>
            </w:tcBorders>
            <w:shd w:val="clear" w:color="auto" w:fill="auto"/>
            <w:vAlign w:val="center"/>
          </w:tcPr>
          <w:p w14:paraId="544FE9B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Denominator AUC</w:t>
            </w:r>
          </w:p>
        </w:tc>
        <w:tc>
          <w:tcPr>
            <w:tcW w:w="0" w:type="auto"/>
            <w:tcBorders>
              <w:top w:val="single" w:sz="8" w:space="0" w:color="404040"/>
              <w:left w:val="nil"/>
              <w:bottom w:val="single" w:sz="5" w:space="0" w:color="707070"/>
              <w:right w:val="nil"/>
            </w:tcBorders>
            <w:shd w:val="clear" w:color="auto" w:fill="auto"/>
            <w:vAlign w:val="center"/>
          </w:tcPr>
          <w:p w14:paraId="18C6646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IPCW p99/raw max</w:t>
            </w:r>
          </w:p>
        </w:tc>
        <w:tc>
          <w:tcPr>
            <w:tcW w:w="0" w:type="auto"/>
            <w:tcBorders>
              <w:top w:val="single" w:sz="8" w:space="0" w:color="404040"/>
              <w:left w:val="nil"/>
              <w:bottom w:val="single" w:sz="5" w:space="0" w:color="707070"/>
              <w:right w:val="nil"/>
            </w:tcBorders>
            <w:shd w:val="clear" w:color="auto" w:fill="auto"/>
            <w:vAlign w:val="center"/>
          </w:tcPr>
          <w:p w14:paraId="0E06A97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Truncated, %</w:t>
            </w:r>
          </w:p>
        </w:tc>
        <w:tc>
          <w:tcPr>
            <w:tcW w:w="0" w:type="auto"/>
            <w:tcBorders>
              <w:top w:val="single" w:sz="8" w:space="0" w:color="404040"/>
              <w:left w:val="nil"/>
              <w:bottom w:val="single" w:sz="5" w:space="0" w:color="707070"/>
              <w:right w:val="nil"/>
            </w:tcBorders>
            <w:shd w:val="clear" w:color="auto" w:fill="auto"/>
            <w:vAlign w:val="center"/>
          </w:tcPr>
          <w:p w14:paraId="30A0499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Combined ESS</w:t>
            </w:r>
          </w:p>
        </w:tc>
        <w:tc>
          <w:tcPr>
            <w:tcW w:w="0" w:type="auto"/>
            <w:tcBorders>
              <w:top w:val="single" w:sz="8" w:space="0" w:color="404040"/>
              <w:left w:val="nil"/>
              <w:bottom w:val="single" w:sz="5" w:space="0" w:color="707070"/>
              <w:right w:val="nil"/>
            </w:tcBorders>
            <w:shd w:val="clear" w:color="auto" w:fill="auto"/>
            <w:vAlign w:val="center"/>
          </w:tcPr>
          <w:p w14:paraId="10332BE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Max attrition</w:t>
            </w:r>
          </w:p>
        </w:tc>
      </w:tr>
      <w:tr w:rsidR="00646F04" w:rsidRPr="00646F04" w14:paraId="680B90AF" w14:textId="77777777" w:rsidTr="00646F04">
        <w:tc>
          <w:tcPr>
            <w:tcW w:w="0" w:type="auto"/>
            <w:tcBorders>
              <w:top w:val="nil"/>
              <w:left w:val="nil"/>
              <w:bottom w:val="nil"/>
              <w:right w:val="nil"/>
            </w:tcBorders>
            <w:shd w:val="clear" w:color="auto" w:fill="auto"/>
            <w:vAlign w:val="center"/>
          </w:tcPr>
          <w:p w14:paraId="6EA960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2F09CD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Disease</w:t>
            </w:r>
          </w:p>
        </w:tc>
        <w:tc>
          <w:tcPr>
            <w:tcW w:w="0" w:type="auto"/>
            <w:tcBorders>
              <w:top w:val="nil"/>
              <w:left w:val="nil"/>
              <w:bottom w:val="nil"/>
              <w:right w:val="nil"/>
            </w:tcBorders>
            <w:shd w:val="clear" w:color="auto" w:fill="auto"/>
            <w:vAlign w:val="center"/>
          </w:tcPr>
          <w:p w14:paraId="13BE5C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8,503/9,875</w:t>
            </w:r>
          </w:p>
        </w:tc>
        <w:tc>
          <w:tcPr>
            <w:tcW w:w="0" w:type="auto"/>
            <w:tcBorders>
              <w:top w:val="nil"/>
              <w:left w:val="nil"/>
              <w:bottom w:val="nil"/>
              <w:right w:val="nil"/>
            </w:tcBorders>
            <w:shd w:val="clear" w:color="auto" w:fill="auto"/>
            <w:vAlign w:val="center"/>
          </w:tcPr>
          <w:p w14:paraId="09006C3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678</w:t>
            </w:r>
          </w:p>
        </w:tc>
        <w:tc>
          <w:tcPr>
            <w:tcW w:w="0" w:type="auto"/>
            <w:tcBorders>
              <w:top w:val="nil"/>
              <w:left w:val="nil"/>
              <w:bottom w:val="nil"/>
              <w:right w:val="nil"/>
            </w:tcBorders>
            <w:shd w:val="clear" w:color="auto" w:fill="auto"/>
            <w:vAlign w:val="center"/>
          </w:tcPr>
          <w:p w14:paraId="7044F5B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0.826</w:t>
            </w:r>
          </w:p>
        </w:tc>
        <w:tc>
          <w:tcPr>
            <w:tcW w:w="0" w:type="auto"/>
            <w:tcBorders>
              <w:top w:val="nil"/>
              <w:left w:val="nil"/>
              <w:bottom w:val="nil"/>
              <w:right w:val="nil"/>
            </w:tcBorders>
            <w:shd w:val="clear" w:color="auto" w:fill="auto"/>
            <w:vAlign w:val="center"/>
          </w:tcPr>
          <w:p w14:paraId="2094397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0.673</w:t>
            </w:r>
          </w:p>
        </w:tc>
        <w:tc>
          <w:tcPr>
            <w:tcW w:w="0" w:type="auto"/>
            <w:tcBorders>
              <w:top w:val="nil"/>
              <w:left w:val="nil"/>
              <w:bottom w:val="nil"/>
              <w:right w:val="nil"/>
            </w:tcBorders>
            <w:shd w:val="clear" w:color="auto" w:fill="auto"/>
            <w:vAlign w:val="center"/>
          </w:tcPr>
          <w:p w14:paraId="716E44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1.281/1.652</w:t>
            </w:r>
          </w:p>
        </w:tc>
        <w:tc>
          <w:tcPr>
            <w:tcW w:w="0" w:type="auto"/>
            <w:tcBorders>
              <w:top w:val="nil"/>
              <w:left w:val="nil"/>
              <w:bottom w:val="nil"/>
              <w:right w:val="nil"/>
            </w:tcBorders>
            <w:shd w:val="clear" w:color="auto" w:fill="auto"/>
            <w:vAlign w:val="center"/>
          </w:tcPr>
          <w:p w14:paraId="2E48D4C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2.023</w:t>
            </w:r>
          </w:p>
        </w:tc>
        <w:tc>
          <w:tcPr>
            <w:tcW w:w="0" w:type="auto"/>
            <w:tcBorders>
              <w:top w:val="nil"/>
              <w:left w:val="nil"/>
              <w:bottom w:val="nil"/>
              <w:right w:val="nil"/>
            </w:tcBorders>
            <w:shd w:val="clear" w:color="auto" w:fill="auto"/>
            <w:vAlign w:val="center"/>
          </w:tcPr>
          <w:p w14:paraId="3B16A9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2,937.8</w:t>
            </w:r>
          </w:p>
        </w:tc>
        <w:tc>
          <w:tcPr>
            <w:tcW w:w="0" w:type="auto"/>
            <w:tcBorders>
              <w:top w:val="nil"/>
              <w:left w:val="nil"/>
              <w:bottom w:val="nil"/>
              <w:right w:val="nil"/>
            </w:tcBorders>
            <w:shd w:val="clear" w:color="auto" w:fill="auto"/>
            <w:vAlign w:val="center"/>
          </w:tcPr>
          <w:p w14:paraId="6F749F2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0.348 → 0.012</w:t>
            </w:r>
          </w:p>
        </w:tc>
      </w:tr>
      <w:tr w:rsidR="00646F04" w:rsidRPr="00646F04" w14:paraId="26CAE3C0" w14:textId="77777777" w:rsidTr="00646F04">
        <w:tc>
          <w:tcPr>
            <w:tcW w:w="0" w:type="auto"/>
            <w:tcBorders>
              <w:top w:val="nil"/>
              <w:left w:val="nil"/>
              <w:bottom w:val="nil"/>
              <w:right w:val="nil"/>
            </w:tcBorders>
            <w:shd w:val="clear" w:color="auto" w:fill="auto"/>
            <w:vAlign w:val="center"/>
          </w:tcPr>
          <w:p w14:paraId="1EBA75D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7247CB5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Disease</w:t>
            </w:r>
          </w:p>
        </w:tc>
        <w:tc>
          <w:tcPr>
            <w:tcW w:w="0" w:type="auto"/>
            <w:tcBorders>
              <w:top w:val="nil"/>
              <w:left w:val="nil"/>
              <w:bottom w:val="nil"/>
              <w:right w:val="nil"/>
            </w:tcBorders>
            <w:shd w:val="clear" w:color="auto" w:fill="auto"/>
            <w:vAlign w:val="center"/>
          </w:tcPr>
          <w:p w14:paraId="47519E3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12,946/14,144</w:t>
            </w:r>
          </w:p>
        </w:tc>
        <w:tc>
          <w:tcPr>
            <w:tcW w:w="0" w:type="auto"/>
            <w:tcBorders>
              <w:top w:val="nil"/>
              <w:left w:val="nil"/>
              <w:bottom w:val="nil"/>
              <w:right w:val="nil"/>
            </w:tcBorders>
            <w:shd w:val="clear" w:color="auto" w:fill="auto"/>
            <w:vAlign w:val="center"/>
          </w:tcPr>
          <w:p w14:paraId="212F0E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1,555</w:t>
            </w:r>
          </w:p>
        </w:tc>
        <w:tc>
          <w:tcPr>
            <w:tcW w:w="0" w:type="auto"/>
            <w:tcBorders>
              <w:top w:val="nil"/>
              <w:left w:val="nil"/>
              <w:bottom w:val="nil"/>
              <w:right w:val="nil"/>
            </w:tcBorders>
            <w:shd w:val="clear" w:color="auto" w:fill="auto"/>
            <w:vAlign w:val="center"/>
          </w:tcPr>
          <w:p w14:paraId="2550F2E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0.914</w:t>
            </w:r>
          </w:p>
        </w:tc>
        <w:tc>
          <w:tcPr>
            <w:tcW w:w="0" w:type="auto"/>
            <w:tcBorders>
              <w:top w:val="nil"/>
              <w:left w:val="nil"/>
              <w:bottom w:val="nil"/>
              <w:right w:val="nil"/>
            </w:tcBorders>
            <w:shd w:val="clear" w:color="auto" w:fill="auto"/>
            <w:vAlign w:val="center"/>
          </w:tcPr>
          <w:p w14:paraId="2D828B0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0.578</w:t>
            </w:r>
          </w:p>
        </w:tc>
        <w:tc>
          <w:tcPr>
            <w:tcW w:w="0" w:type="auto"/>
            <w:tcBorders>
              <w:top w:val="nil"/>
              <w:left w:val="nil"/>
              <w:bottom w:val="nil"/>
              <w:right w:val="nil"/>
            </w:tcBorders>
            <w:shd w:val="clear" w:color="auto" w:fill="auto"/>
            <w:vAlign w:val="center"/>
          </w:tcPr>
          <w:p w14:paraId="041BD3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1.094/1.325</w:t>
            </w:r>
          </w:p>
        </w:tc>
        <w:tc>
          <w:tcPr>
            <w:tcW w:w="0" w:type="auto"/>
            <w:tcBorders>
              <w:top w:val="nil"/>
              <w:left w:val="nil"/>
              <w:bottom w:val="nil"/>
              <w:right w:val="nil"/>
            </w:tcBorders>
            <w:shd w:val="clear" w:color="auto" w:fill="auto"/>
            <w:vAlign w:val="center"/>
          </w:tcPr>
          <w:p w14:paraId="3A990D8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1.962</w:t>
            </w:r>
          </w:p>
        </w:tc>
        <w:tc>
          <w:tcPr>
            <w:tcW w:w="0" w:type="auto"/>
            <w:tcBorders>
              <w:top w:val="nil"/>
              <w:left w:val="nil"/>
              <w:bottom w:val="nil"/>
              <w:right w:val="nil"/>
            </w:tcBorders>
            <w:shd w:val="clear" w:color="auto" w:fill="auto"/>
            <w:vAlign w:val="center"/>
          </w:tcPr>
          <w:p w14:paraId="1CA9CF4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8,407.9</w:t>
            </w:r>
          </w:p>
        </w:tc>
        <w:tc>
          <w:tcPr>
            <w:tcW w:w="0" w:type="auto"/>
            <w:tcBorders>
              <w:top w:val="nil"/>
              <w:left w:val="nil"/>
              <w:bottom w:val="nil"/>
              <w:right w:val="nil"/>
            </w:tcBorders>
            <w:shd w:val="clear" w:color="auto" w:fill="auto"/>
            <w:vAlign w:val="center"/>
          </w:tcPr>
          <w:p w14:paraId="39810C8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0.126 → 0.005</w:t>
            </w:r>
          </w:p>
        </w:tc>
      </w:tr>
      <w:tr w:rsidR="00646F04" w:rsidRPr="00646F04" w14:paraId="1E02FD64" w14:textId="77777777" w:rsidTr="00646F04">
        <w:tc>
          <w:tcPr>
            <w:tcW w:w="0" w:type="auto"/>
            <w:tcBorders>
              <w:top w:val="nil"/>
              <w:left w:val="nil"/>
              <w:bottom w:val="nil"/>
              <w:right w:val="nil"/>
            </w:tcBorders>
            <w:shd w:val="clear" w:color="auto" w:fill="auto"/>
            <w:vAlign w:val="center"/>
          </w:tcPr>
          <w:p w14:paraId="508FF98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E6422B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229446D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7,420/8,156</w:t>
            </w:r>
          </w:p>
        </w:tc>
        <w:tc>
          <w:tcPr>
            <w:tcW w:w="0" w:type="auto"/>
            <w:tcBorders>
              <w:top w:val="nil"/>
              <w:left w:val="nil"/>
              <w:bottom w:val="nil"/>
              <w:right w:val="nil"/>
            </w:tcBorders>
            <w:shd w:val="clear" w:color="auto" w:fill="auto"/>
            <w:vAlign w:val="center"/>
          </w:tcPr>
          <w:p w14:paraId="2D6F15E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428</w:t>
            </w:r>
          </w:p>
        </w:tc>
        <w:tc>
          <w:tcPr>
            <w:tcW w:w="0" w:type="auto"/>
            <w:tcBorders>
              <w:top w:val="nil"/>
              <w:left w:val="nil"/>
              <w:bottom w:val="nil"/>
              <w:right w:val="nil"/>
            </w:tcBorders>
            <w:shd w:val="clear" w:color="auto" w:fill="auto"/>
            <w:vAlign w:val="center"/>
          </w:tcPr>
          <w:p w14:paraId="19A715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0.870</w:t>
            </w:r>
          </w:p>
        </w:tc>
        <w:tc>
          <w:tcPr>
            <w:tcW w:w="0" w:type="auto"/>
            <w:tcBorders>
              <w:top w:val="nil"/>
              <w:left w:val="nil"/>
              <w:bottom w:val="nil"/>
              <w:right w:val="nil"/>
            </w:tcBorders>
            <w:shd w:val="clear" w:color="auto" w:fill="auto"/>
            <w:vAlign w:val="center"/>
          </w:tcPr>
          <w:p w14:paraId="39FC5B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0.666</w:t>
            </w:r>
          </w:p>
        </w:tc>
        <w:tc>
          <w:tcPr>
            <w:tcW w:w="0" w:type="auto"/>
            <w:tcBorders>
              <w:top w:val="nil"/>
              <w:left w:val="nil"/>
              <w:bottom w:val="nil"/>
              <w:right w:val="nil"/>
            </w:tcBorders>
            <w:shd w:val="clear" w:color="auto" w:fill="auto"/>
            <w:vAlign w:val="center"/>
          </w:tcPr>
          <w:p w14:paraId="213FB11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1.331/2.062</w:t>
            </w:r>
          </w:p>
        </w:tc>
        <w:tc>
          <w:tcPr>
            <w:tcW w:w="0" w:type="auto"/>
            <w:tcBorders>
              <w:top w:val="nil"/>
              <w:left w:val="nil"/>
              <w:bottom w:val="nil"/>
              <w:right w:val="nil"/>
            </w:tcBorders>
            <w:shd w:val="clear" w:color="auto" w:fill="auto"/>
            <w:vAlign w:val="center"/>
          </w:tcPr>
          <w:p w14:paraId="23788A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2.022</w:t>
            </w:r>
          </w:p>
        </w:tc>
        <w:tc>
          <w:tcPr>
            <w:tcW w:w="0" w:type="auto"/>
            <w:tcBorders>
              <w:top w:val="nil"/>
              <w:left w:val="nil"/>
              <w:bottom w:val="nil"/>
              <w:right w:val="nil"/>
            </w:tcBorders>
            <w:shd w:val="clear" w:color="auto" w:fill="auto"/>
            <w:vAlign w:val="center"/>
          </w:tcPr>
          <w:p w14:paraId="626B17D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2,433.5</w:t>
            </w:r>
          </w:p>
        </w:tc>
        <w:tc>
          <w:tcPr>
            <w:tcW w:w="0" w:type="auto"/>
            <w:tcBorders>
              <w:top w:val="nil"/>
              <w:left w:val="nil"/>
              <w:bottom w:val="nil"/>
              <w:right w:val="nil"/>
            </w:tcBorders>
            <w:shd w:val="clear" w:color="auto" w:fill="auto"/>
            <w:vAlign w:val="center"/>
          </w:tcPr>
          <w:p w14:paraId="417E1B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0.439 → 0.015</w:t>
            </w:r>
          </w:p>
        </w:tc>
      </w:tr>
      <w:tr w:rsidR="00646F04" w:rsidRPr="00646F04" w14:paraId="0360387B" w14:textId="77777777" w:rsidTr="00646F04">
        <w:tc>
          <w:tcPr>
            <w:tcW w:w="0" w:type="auto"/>
            <w:tcBorders>
              <w:top w:val="nil"/>
              <w:left w:val="nil"/>
              <w:bottom w:val="nil"/>
              <w:right w:val="nil"/>
            </w:tcBorders>
            <w:shd w:val="clear" w:color="auto" w:fill="auto"/>
            <w:vAlign w:val="center"/>
          </w:tcPr>
          <w:p w14:paraId="73BF9D1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18F9C12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407330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11,181/12,251</w:t>
            </w:r>
          </w:p>
        </w:tc>
        <w:tc>
          <w:tcPr>
            <w:tcW w:w="0" w:type="auto"/>
            <w:tcBorders>
              <w:top w:val="nil"/>
              <w:left w:val="nil"/>
              <w:bottom w:val="nil"/>
              <w:right w:val="nil"/>
            </w:tcBorders>
            <w:shd w:val="clear" w:color="auto" w:fill="auto"/>
            <w:vAlign w:val="center"/>
          </w:tcPr>
          <w:p w14:paraId="1E16E30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1,059</w:t>
            </w:r>
          </w:p>
        </w:tc>
        <w:tc>
          <w:tcPr>
            <w:tcW w:w="0" w:type="auto"/>
            <w:tcBorders>
              <w:top w:val="nil"/>
              <w:left w:val="nil"/>
              <w:bottom w:val="nil"/>
              <w:right w:val="nil"/>
            </w:tcBorders>
            <w:shd w:val="clear" w:color="auto" w:fill="auto"/>
            <w:vAlign w:val="center"/>
          </w:tcPr>
          <w:p w14:paraId="6F114E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0.911</w:t>
            </w:r>
          </w:p>
        </w:tc>
        <w:tc>
          <w:tcPr>
            <w:tcW w:w="0" w:type="auto"/>
            <w:tcBorders>
              <w:top w:val="nil"/>
              <w:left w:val="nil"/>
              <w:bottom w:val="nil"/>
              <w:right w:val="nil"/>
            </w:tcBorders>
            <w:shd w:val="clear" w:color="auto" w:fill="auto"/>
            <w:vAlign w:val="center"/>
          </w:tcPr>
          <w:p w14:paraId="0608E99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0.585</w:t>
            </w:r>
          </w:p>
        </w:tc>
        <w:tc>
          <w:tcPr>
            <w:tcW w:w="0" w:type="auto"/>
            <w:tcBorders>
              <w:top w:val="nil"/>
              <w:left w:val="nil"/>
              <w:bottom w:val="nil"/>
              <w:right w:val="nil"/>
            </w:tcBorders>
            <w:shd w:val="clear" w:color="auto" w:fill="auto"/>
            <w:vAlign w:val="center"/>
          </w:tcPr>
          <w:p w14:paraId="1EF5F48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1.109/1.284</w:t>
            </w:r>
          </w:p>
        </w:tc>
        <w:tc>
          <w:tcPr>
            <w:tcW w:w="0" w:type="auto"/>
            <w:tcBorders>
              <w:top w:val="nil"/>
              <w:left w:val="nil"/>
              <w:bottom w:val="nil"/>
              <w:right w:val="nil"/>
            </w:tcBorders>
            <w:shd w:val="clear" w:color="auto" w:fill="auto"/>
            <w:vAlign w:val="center"/>
          </w:tcPr>
          <w:p w14:paraId="5CB30BD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1.968</w:t>
            </w:r>
          </w:p>
        </w:tc>
        <w:tc>
          <w:tcPr>
            <w:tcW w:w="0" w:type="auto"/>
            <w:tcBorders>
              <w:top w:val="nil"/>
              <w:left w:val="nil"/>
              <w:bottom w:val="nil"/>
              <w:right w:val="nil"/>
            </w:tcBorders>
            <w:shd w:val="clear" w:color="auto" w:fill="auto"/>
            <w:vAlign w:val="center"/>
          </w:tcPr>
          <w:p w14:paraId="5BD998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7,293.0</w:t>
            </w:r>
          </w:p>
        </w:tc>
        <w:tc>
          <w:tcPr>
            <w:tcW w:w="0" w:type="auto"/>
            <w:tcBorders>
              <w:top w:val="nil"/>
              <w:left w:val="nil"/>
              <w:bottom w:val="nil"/>
              <w:right w:val="nil"/>
            </w:tcBorders>
            <w:shd w:val="clear" w:color="auto" w:fill="auto"/>
            <w:vAlign w:val="center"/>
          </w:tcPr>
          <w:p w14:paraId="45C0754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0.149 → 0.006</w:t>
            </w:r>
          </w:p>
        </w:tc>
      </w:tr>
      <w:tr w:rsidR="00646F04" w:rsidRPr="00646F04" w14:paraId="4124BFC5" w14:textId="77777777" w:rsidTr="00646F04">
        <w:tc>
          <w:tcPr>
            <w:tcW w:w="0" w:type="auto"/>
            <w:tcBorders>
              <w:top w:val="nil"/>
              <w:left w:val="nil"/>
              <w:bottom w:val="nil"/>
              <w:right w:val="nil"/>
            </w:tcBorders>
            <w:shd w:val="clear" w:color="auto" w:fill="auto"/>
            <w:vAlign w:val="center"/>
          </w:tcPr>
          <w:p w14:paraId="1D637AB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C6667A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nil"/>
              <w:right w:val="nil"/>
            </w:tcBorders>
            <w:shd w:val="clear" w:color="auto" w:fill="auto"/>
            <w:vAlign w:val="center"/>
          </w:tcPr>
          <w:p w14:paraId="4FA3A1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6,912/7,728</w:t>
            </w:r>
          </w:p>
        </w:tc>
        <w:tc>
          <w:tcPr>
            <w:tcW w:w="0" w:type="auto"/>
            <w:tcBorders>
              <w:top w:val="nil"/>
              <w:left w:val="nil"/>
              <w:bottom w:val="nil"/>
              <w:right w:val="nil"/>
            </w:tcBorders>
            <w:shd w:val="clear" w:color="auto" w:fill="auto"/>
            <w:vAlign w:val="center"/>
          </w:tcPr>
          <w:p w14:paraId="536FD7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384</w:t>
            </w:r>
          </w:p>
        </w:tc>
        <w:tc>
          <w:tcPr>
            <w:tcW w:w="0" w:type="auto"/>
            <w:tcBorders>
              <w:top w:val="nil"/>
              <w:left w:val="nil"/>
              <w:bottom w:val="nil"/>
              <w:right w:val="nil"/>
            </w:tcBorders>
            <w:shd w:val="clear" w:color="auto" w:fill="auto"/>
            <w:vAlign w:val="center"/>
          </w:tcPr>
          <w:p w14:paraId="04B76CC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0.856</w:t>
            </w:r>
          </w:p>
        </w:tc>
        <w:tc>
          <w:tcPr>
            <w:tcW w:w="0" w:type="auto"/>
            <w:tcBorders>
              <w:top w:val="nil"/>
              <w:left w:val="nil"/>
              <w:bottom w:val="nil"/>
              <w:right w:val="nil"/>
            </w:tcBorders>
            <w:shd w:val="clear" w:color="auto" w:fill="auto"/>
            <w:vAlign w:val="center"/>
          </w:tcPr>
          <w:p w14:paraId="0BD3FD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0.656</w:t>
            </w:r>
          </w:p>
        </w:tc>
        <w:tc>
          <w:tcPr>
            <w:tcW w:w="0" w:type="auto"/>
            <w:tcBorders>
              <w:top w:val="nil"/>
              <w:left w:val="nil"/>
              <w:bottom w:val="nil"/>
              <w:right w:val="nil"/>
            </w:tcBorders>
            <w:shd w:val="clear" w:color="auto" w:fill="auto"/>
            <w:vAlign w:val="center"/>
          </w:tcPr>
          <w:p w14:paraId="5EA9875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1.350/2.254</w:t>
            </w:r>
          </w:p>
        </w:tc>
        <w:tc>
          <w:tcPr>
            <w:tcW w:w="0" w:type="auto"/>
            <w:tcBorders>
              <w:top w:val="nil"/>
              <w:left w:val="nil"/>
              <w:bottom w:val="nil"/>
              <w:right w:val="nil"/>
            </w:tcBorders>
            <w:shd w:val="clear" w:color="auto" w:fill="auto"/>
            <w:vAlign w:val="center"/>
          </w:tcPr>
          <w:p w14:paraId="28B9943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2.025</w:t>
            </w:r>
          </w:p>
        </w:tc>
        <w:tc>
          <w:tcPr>
            <w:tcW w:w="0" w:type="auto"/>
            <w:tcBorders>
              <w:top w:val="nil"/>
              <w:left w:val="nil"/>
              <w:bottom w:val="nil"/>
              <w:right w:val="nil"/>
            </w:tcBorders>
            <w:shd w:val="clear" w:color="auto" w:fill="auto"/>
            <w:vAlign w:val="center"/>
          </w:tcPr>
          <w:p w14:paraId="727878C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2,261.2</w:t>
            </w:r>
          </w:p>
        </w:tc>
        <w:tc>
          <w:tcPr>
            <w:tcW w:w="0" w:type="auto"/>
            <w:tcBorders>
              <w:top w:val="nil"/>
              <w:left w:val="nil"/>
              <w:bottom w:val="nil"/>
              <w:right w:val="nil"/>
            </w:tcBorders>
            <w:shd w:val="clear" w:color="auto" w:fill="auto"/>
            <w:vAlign w:val="center"/>
          </w:tcPr>
          <w:p w14:paraId="12BEEA0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0.422 → 0.017</w:t>
            </w:r>
          </w:p>
        </w:tc>
      </w:tr>
      <w:tr w:rsidR="00646F04" w:rsidRPr="00646F04" w14:paraId="5B93E58E" w14:textId="77777777" w:rsidTr="00646F04">
        <w:tc>
          <w:tcPr>
            <w:tcW w:w="0" w:type="auto"/>
            <w:tcBorders>
              <w:top w:val="nil"/>
              <w:left w:val="nil"/>
              <w:bottom w:val="nil"/>
              <w:right w:val="nil"/>
            </w:tcBorders>
            <w:shd w:val="clear" w:color="auto" w:fill="auto"/>
            <w:vAlign w:val="center"/>
          </w:tcPr>
          <w:p w14:paraId="39DDCF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0D692B1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nil"/>
              <w:right w:val="nil"/>
            </w:tcBorders>
            <w:shd w:val="clear" w:color="auto" w:fill="auto"/>
            <w:vAlign w:val="center"/>
          </w:tcPr>
          <w:p w14:paraId="16A687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10,654/12,048</w:t>
            </w:r>
          </w:p>
        </w:tc>
        <w:tc>
          <w:tcPr>
            <w:tcW w:w="0" w:type="auto"/>
            <w:tcBorders>
              <w:top w:val="nil"/>
              <w:left w:val="nil"/>
              <w:bottom w:val="nil"/>
              <w:right w:val="nil"/>
            </w:tcBorders>
            <w:shd w:val="clear" w:color="auto" w:fill="auto"/>
            <w:vAlign w:val="center"/>
          </w:tcPr>
          <w:p w14:paraId="0DAD7A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958</w:t>
            </w:r>
          </w:p>
        </w:tc>
        <w:tc>
          <w:tcPr>
            <w:tcW w:w="0" w:type="auto"/>
            <w:tcBorders>
              <w:top w:val="nil"/>
              <w:left w:val="nil"/>
              <w:bottom w:val="nil"/>
              <w:right w:val="nil"/>
            </w:tcBorders>
            <w:shd w:val="clear" w:color="auto" w:fill="auto"/>
            <w:vAlign w:val="center"/>
          </w:tcPr>
          <w:p w14:paraId="5349687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0.886</w:t>
            </w:r>
          </w:p>
        </w:tc>
        <w:tc>
          <w:tcPr>
            <w:tcW w:w="0" w:type="auto"/>
            <w:tcBorders>
              <w:top w:val="nil"/>
              <w:left w:val="nil"/>
              <w:bottom w:val="nil"/>
              <w:right w:val="nil"/>
            </w:tcBorders>
            <w:shd w:val="clear" w:color="auto" w:fill="auto"/>
            <w:vAlign w:val="center"/>
          </w:tcPr>
          <w:p w14:paraId="4238861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0.603</w:t>
            </w:r>
          </w:p>
        </w:tc>
        <w:tc>
          <w:tcPr>
            <w:tcW w:w="0" w:type="auto"/>
            <w:tcBorders>
              <w:top w:val="nil"/>
              <w:left w:val="nil"/>
              <w:bottom w:val="nil"/>
              <w:right w:val="nil"/>
            </w:tcBorders>
            <w:shd w:val="clear" w:color="auto" w:fill="auto"/>
            <w:vAlign w:val="center"/>
          </w:tcPr>
          <w:p w14:paraId="0D7D5F2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1.171/1.711</w:t>
            </w:r>
          </w:p>
        </w:tc>
        <w:tc>
          <w:tcPr>
            <w:tcW w:w="0" w:type="auto"/>
            <w:tcBorders>
              <w:top w:val="nil"/>
              <w:left w:val="nil"/>
              <w:bottom w:val="nil"/>
              <w:right w:val="nil"/>
            </w:tcBorders>
            <w:shd w:val="clear" w:color="auto" w:fill="auto"/>
            <w:vAlign w:val="center"/>
          </w:tcPr>
          <w:p w14:paraId="1DB713A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1.971</w:t>
            </w:r>
          </w:p>
        </w:tc>
        <w:tc>
          <w:tcPr>
            <w:tcW w:w="0" w:type="auto"/>
            <w:tcBorders>
              <w:top w:val="nil"/>
              <w:left w:val="nil"/>
              <w:bottom w:val="nil"/>
              <w:right w:val="nil"/>
            </w:tcBorders>
            <w:shd w:val="clear" w:color="auto" w:fill="auto"/>
            <w:vAlign w:val="center"/>
          </w:tcPr>
          <w:p w14:paraId="137912D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6,960.9</w:t>
            </w:r>
          </w:p>
        </w:tc>
        <w:tc>
          <w:tcPr>
            <w:tcW w:w="0" w:type="auto"/>
            <w:tcBorders>
              <w:top w:val="nil"/>
              <w:left w:val="nil"/>
              <w:bottom w:val="nil"/>
              <w:right w:val="nil"/>
            </w:tcBorders>
            <w:shd w:val="clear" w:color="auto" w:fill="auto"/>
            <w:vAlign w:val="center"/>
          </w:tcPr>
          <w:p w14:paraId="26D52F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0.162 → 0.004</w:t>
            </w:r>
          </w:p>
        </w:tc>
      </w:tr>
      <w:tr w:rsidR="00646F04" w:rsidRPr="00646F04" w14:paraId="041FC5FD" w14:textId="77777777" w:rsidTr="00646F04">
        <w:tc>
          <w:tcPr>
            <w:tcW w:w="0" w:type="auto"/>
            <w:tcBorders>
              <w:top w:val="nil"/>
              <w:left w:val="nil"/>
              <w:bottom w:val="nil"/>
              <w:right w:val="nil"/>
            </w:tcBorders>
            <w:shd w:val="clear" w:color="auto" w:fill="auto"/>
            <w:vAlign w:val="center"/>
          </w:tcPr>
          <w:p w14:paraId="53DA584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A79272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Reserve</w:t>
            </w:r>
          </w:p>
        </w:tc>
        <w:tc>
          <w:tcPr>
            <w:tcW w:w="0" w:type="auto"/>
            <w:tcBorders>
              <w:top w:val="nil"/>
              <w:left w:val="nil"/>
              <w:bottom w:val="nil"/>
              <w:right w:val="nil"/>
            </w:tcBorders>
            <w:shd w:val="clear" w:color="auto" w:fill="auto"/>
            <w:vAlign w:val="center"/>
          </w:tcPr>
          <w:p w14:paraId="14E100E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8,184/9,601</w:t>
            </w:r>
          </w:p>
        </w:tc>
        <w:tc>
          <w:tcPr>
            <w:tcW w:w="0" w:type="auto"/>
            <w:tcBorders>
              <w:top w:val="nil"/>
              <w:left w:val="nil"/>
              <w:bottom w:val="nil"/>
              <w:right w:val="nil"/>
            </w:tcBorders>
            <w:shd w:val="clear" w:color="auto" w:fill="auto"/>
            <w:vAlign w:val="center"/>
          </w:tcPr>
          <w:p w14:paraId="16ED6F9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608</w:t>
            </w:r>
          </w:p>
        </w:tc>
        <w:tc>
          <w:tcPr>
            <w:tcW w:w="0" w:type="auto"/>
            <w:tcBorders>
              <w:top w:val="nil"/>
              <w:left w:val="nil"/>
              <w:bottom w:val="nil"/>
              <w:right w:val="nil"/>
            </w:tcBorders>
            <w:shd w:val="clear" w:color="auto" w:fill="auto"/>
            <w:vAlign w:val="center"/>
          </w:tcPr>
          <w:p w14:paraId="2DDFF35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0.815</w:t>
            </w:r>
          </w:p>
        </w:tc>
        <w:tc>
          <w:tcPr>
            <w:tcW w:w="0" w:type="auto"/>
            <w:tcBorders>
              <w:top w:val="nil"/>
              <w:left w:val="nil"/>
              <w:bottom w:val="nil"/>
              <w:right w:val="nil"/>
            </w:tcBorders>
            <w:shd w:val="clear" w:color="auto" w:fill="auto"/>
            <w:vAlign w:val="center"/>
          </w:tcPr>
          <w:p w14:paraId="03871C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0.665</w:t>
            </w:r>
          </w:p>
        </w:tc>
        <w:tc>
          <w:tcPr>
            <w:tcW w:w="0" w:type="auto"/>
            <w:tcBorders>
              <w:top w:val="nil"/>
              <w:left w:val="nil"/>
              <w:bottom w:val="nil"/>
              <w:right w:val="nil"/>
            </w:tcBorders>
            <w:shd w:val="clear" w:color="auto" w:fill="auto"/>
            <w:vAlign w:val="center"/>
          </w:tcPr>
          <w:p w14:paraId="715D812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1.455/2.512</w:t>
            </w:r>
          </w:p>
        </w:tc>
        <w:tc>
          <w:tcPr>
            <w:tcW w:w="0" w:type="auto"/>
            <w:tcBorders>
              <w:top w:val="nil"/>
              <w:left w:val="nil"/>
              <w:bottom w:val="nil"/>
              <w:right w:val="nil"/>
            </w:tcBorders>
            <w:shd w:val="clear" w:color="auto" w:fill="auto"/>
            <w:vAlign w:val="center"/>
          </w:tcPr>
          <w:p w14:paraId="2B301AB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2.004</w:t>
            </w:r>
          </w:p>
        </w:tc>
        <w:tc>
          <w:tcPr>
            <w:tcW w:w="0" w:type="auto"/>
            <w:tcBorders>
              <w:top w:val="nil"/>
              <w:left w:val="nil"/>
              <w:bottom w:val="nil"/>
              <w:right w:val="nil"/>
            </w:tcBorders>
            <w:shd w:val="clear" w:color="auto" w:fill="auto"/>
            <w:vAlign w:val="center"/>
          </w:tcPr>
          <w:p w14:paraId="6F7DDA2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2,794.7</w:t>
            </w:r>
          </w:p>
        </w:tc>
        <w:tc>
          <w:tcPr>
            <w:tcW w:w="0" w:type="auto"/>
            <w:tcBorders>
              <w:top w:val="nil"/>
              <w:left w:val="nil"/>
              <w:bottom w:val="nil"/>
              <w:right w:val="nil"/>
            </w:tcBorders>
            <w:shd w:val="clear" w:color="auto" w:fill="auto"/>
            <w:vAlign w:val="center"/>
          </w:tcPr>
          <w:p w14:paraId="4A2839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0.456 → 0.014</w:t>
            </w:r>
          </w:p>
        </w:tc>
      </w:tr>
      <w:tr w:rsidR="00646F04" w:rsidRPr="00646F04" w14:paraId="6F36C6EF" w14:textId="77777777" w:rsidTr="00646F04">
        <w:tc>
          <w:tcPr>
            <w:tcW w:w="0" w:type="auto"/>
            <w:tcBorders>
              <w:top w:val="nil"/>
              <w:left w:val="nil"/>
              <w:bottom w:val="single" w:sz="8" w:space="0" w:color="404040"/>
              <w:right w:val="nil"/>
            </w:tcBorders>
            <w:shd w:val="clear" w:color="auto" w:fill="auto"/>
            <w:vAlign w:val="center"/>
          </w:tcPr>
          <w:p w14:paraId="51FB40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2EE9DE3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Reserve</w:t>
            </w:r>
          </w:p>
        </w:tc>
        <w:tc>
          <w:tcPr>
            <w:tcW w:w="0" w:type="auto"/>
            <w:tcBorders>
              <w:top w:val="nil"/>
              <w:left w:val="nil"/>
              <w:bottom w:val="single" w:sz="8" w:space="0" w:color="404040"/>
              <w:right w:val="nil"/>
            </w:tcBorders>
            <w:shd w:val="clear" w:color="auto" w:fill="auto"/>
            <w:vAlign w:val="center"/>
          </w:tcPr>
          <w:p w14:paraId="5CFE930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12,596/14,138</w:t>
            </w:r>
          </w:p>
        </w:tc>
        <w:tc>
          <w:tcPr>
            <w:tcW w:w="0" w:type="auto"/>
            <w:tcBorders>
              <w:top w:val="nil"/>
              <w:left w:val="nil"/>
              <w:bottom w:val="single" w:sz="8" w:space="0" w:color="404040"/>
              <w:right w:val="nil"/>
            </w:tcBorders>
            <w:shd w:val="clear" w:color="auto" w:fill="auto"/>
            <w:vAlign w:val="center"/>
          </w:tcPr>
          <w:p w14:paraId="2D5B9C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1,553</w:t>
            </w:r>
          </w:p>
        </w:tc>
        <w:tc>
          <w:tcPr>
            <w:tcW w:w="0" w:type="auto"/>
            <w:tcBorders>
              <w:top w:val="nil"/>
              <w:left w:val="nil"/>
              <w:bottom w:val="single" w:sz="8" w:space="0" w:color="404040"/>
              <w:right w:val="nil"/>
            </w:tcBorders>
            <w:shd w:val="clear" w:color="auto" w:fill="auto"/>
            <w:vAlign w:val="center"/>
          </w:tcPr>
          <w:p w14:paraId="2E9B713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0.892</w:t>
            </w:r>
          </w:p>
        </w:tc>
        <w:tc>
          <w:tcPr>
            <w:tcW w:w="0" w:type="auto"/>
            <w:tcBorders>
              <w:top w:val="nil"/>
              <w:left w:val="nil"/>
              <w:bottom w:val="single" w:sz="8" w:space="0" w:color="404040"/>
              <w:right w:val="nil"/>
            </w:tcBorders>
            <w:shd w:val="clear" w:color="auto" w:fill="auto"/>
            <w:vAlign w:val="center"/>
          </w:tcPr>
          <w:p w14:paraId="1C521C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0.597</w:t>
            </w:r>
          </w:p>
        </w:tc>
        <w:tc>
          <w:tcPr>
            <w:tcW w:w="0" w:type="auto"/>
            <w:tcBorders>
              <w:top w:val="nil"/>
              <w:left w:val="nil"/>
              <w:bottom w:val="single" w:sz="8" w:space="0" w:color="404040"/>
              <w:right w:val="nil"/>
            </w:tcBorders>
            <w:shd w:val="clear" w:color="auto" w:fill="auto"/>
            <w:vAlign w:val="center"/>
          </w:tcPr>
          <w:p w14:paraId="152C65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1.176/1.616</w:t>
            </w:r>
          </w:p>
        </w:tc>
        <w:tc>
          <w:tcPr>
            <w:tcW w:w="0" w:type="auto"/>
            <w:tcBorders>
              <w:top w:val="nil"/>
              <w:left w:val="nil"/>
              <w:bottom w:val="single" w:sz="8" w:space="0" w:color="404040"/>
              <w:right w:val="nil"/>
            </w:tcBorders>
            <w:shd w:val="clear" w:color="auto" w:fill="auto"/>
            <w:vAlign w:val="center"/>
          </w:tcPr>
          <w:p w14:paraId="633CACD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1.969</w:t>
            </w:r>
          </w:p>
        </w:tc>
        <w:tc>
          <w:tcPr>
            <w:tcW w:w="0" w:type="auto"/>
            <w:tcBorders>
              <w:top w:val="nil"/>
              <w:left w:val="nil"/>
              <w:bottom w:val="single" w:sz="8" w:space="0" w:color="404040"/>
              <w:right w:val="nil"/>
            </w:tcBorders>
            <w:shd w:val="clear" w:color="auto" w:fill="auto"/>
            <w:vAlign w:val="center"/>
          </w:tcPr>
          <w:p w14:paraId="29BF99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8,226.1</w:t>
            </w:r>
          </w:p>
        </w:tc>
        <w:tc>
          <w:tcPr>
            <w:tcW w:w="0" w:type="auto"/>
            <w:tcBorders>
              <w:top w:val="nil"/>
              <w:left w:val="nil"/>
              <w:bottom w:val="single" w:sz="8" w:space="0" w:color="404040"/>
              <w:right w:val="nil"/>
            </w:tcBorders>
            <w:shd w:val="clear" w:color="auto" w:fill="auto"/>
            <w:vAlign w:val="center"/>
          </w:tcPr>
          <w:p w14:paraId="3672DA8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0.197 → 0.005</w:t>
            </w:r>
          </w:p>
        </w:tc>
      </w:tr>
    </w:tbl>
    <w:p w14:paraId="237AA0C2" w14:textId="77777777" w:rsidR="001C2B6A" w:rsidRPr="00646F04" w:rsidRDefault="00000000">
      <w:pPr>
        <w:pStyle w:val="3"/>
        <w:rPr>
          <w:color w:val="000000" w:themeColor="text1"/>
        </w:rPr>
      </w:pPr>
      <w:bookmarkStart w:id="45" w:name="Xbfb777c6c6ca39d2c1dffa19b02a15d5da66f46"/>
      <w:bookmarkEnd w:id="44"/>
      <w:r w:rsidRPr="00646F04">
        <w:rPr>
          <w:rFonts w:ascii="Arial" w:eastAsia="Source Han Serif SC" w:hAnsi="Arial" w:cs="Arial"/>
          <w:color w:val="000000" w:themeColor="text1"/>
        </w:rPr>
        <w:t>Panel D. Realised-pattern full-wave IPCW with re-entry</w:t>
      </w:r>
    </w:p>
    <w:tbl>
      <w:tblPr>
        <w:tblStyle w:val="Table"/>
        <w:tblW w:w="5000" w:type="pct"/>
        <w:tblLook w:val="0020" w:firstRow="1" w:lastRow="0" w:firstColumn="0" w:lastColumn="0" w:noHBand="0" w:noVBand="0"/>
      </w:tblPr>
      <w:tblGrid>
        <w:gridCol w:w="730"/>
        <w:gridCol w:w="2469"/>
        <w:gridCol w:w="1661"/>
        <w:gridCol w:w="1308"/>
        <w:gridCol w:w="1533"/>
        <w:gridCol w:w="2039"/>
        <w:gridCol w:w="1033"/>
        <w:gridCol w:w="1576"/>
        <w:gridCol w:w="2329"/>
      </w:tblGrid>
      <w:tr w:rsidR="00646F04" w:rsidRPr="00646F04" w14:paraId="64C5A2D6"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3275F58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7259786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Scheduled intervals: observed/missed</w:t>
            </w:r>
          </w:p>
        </w:tc>
        <w:tc>
          <w:tcPr>
            <w:tcW w:w="0" w:type="auto"/>
            <w:tcBorders>
              <w:top w:val="single" w:sz="8" w:space="0" w:color="404040"/>
              <w:left w:val="nil"/>
              <w:bottom w:val="single" w:sz="5" w:space="0" w:color="707070"/>
              <w:right w:val="nil"/>
            </w:tcBorders>
            <w:shd w:val="clear" w:color="auto" w:fill="auto"/>
            <w:vAlign w:val="center"/>
          </w:tcPr>
          <w:p w14:paraId="6D6D46B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Death intervals excluded</w:t>
            </w:r>
          </w:p>
        </w:tc>
        <w:tc>
          <w:tcPr>
            <w:tcW w:w="0" w:type="auto"/>
            <w:tcBorders>
              <w:top w:val="single" w:sz="8" w:space="0" w:color="404040"/>
              <w:left w:val="nil"/>
              <w:bottom w:val="single" w:sz="5" w:space="0" w:color="707070"/>
              <w:right w:val="nil"/>
            </w:tcBorders>
            <w:shd w:val="clear" w:color="auto" w:fill="auto"/>
            <w:vAlign w:val="center"/>
          </w:tcPr>
          <w:p w14:paraId="143E839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Denominator AUC</w:t>
            </w:r>
          </w:p>
        </w:tc>
        <w:tc>
          <w:tcPr>
            <w:tcW w:w="0" w:type="auto"/>
            <w:tcBorders>
              <w:top w:val="single" w:sz="8" w:space="0" w:color="404040"/>
              <w:left w:val="nil"/>
              <w:bottom w:val="single" w:sz="5" w:space="0" w:color="707070"/>
              <w:right w:val="nil"/>
            </w:tcBorders>
            <w:shd w:val="clear" w:color="auto" w:fill="auto"/>
            <w:vAlign w:val="center"/>
          </w:tcPr>
          <w:p w14:paraId="3D4C1399"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IPCW p01/median/p99</w:t>
            </w:r>
          </w:p>
        </w:tc>
        <w:tc>
          <w:tcPr>
            <w:tcW w:w="0" w:type="auto"/>
            <w:tcBorders>
              <w:top w:val="single" w:sz="8" w:space="0" w:color="404040"/>
              <w:left w:val="nil"/>
              <w:bottom w:val="single" w:sz="5" w:space="0" w:color="707070"/>
              <w:right w:val="nil"/>
            </w:tcBorders>
            <w:shd w:val="clear" w:color="auto" w:fill="auto"/>
            <w:vAlign w:val="center"/>
          </w:tcPr>
          <w:p w14:paraId="2A98AE33"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Raw max → 1/99 truncated max</w:t>
            </w:r>
          </w:p>
        </w:tc>
        <w:tc>
          <w:tcPr>
            <w:tcW w:w="0" w:type="auto"/>
            <w:tcBorders>
              <w:top w:val="single" w:sz="8" w:space="0" w:color="404040"/>
              <w:left w:val="nil"/>
              <w:bottom w:val="single" w:sz="5" w:space="0" w:color="707070"/>
              <w:right w:val="nil"/>
            </w:tcBorders>
            <w:shd w:val="clear" w:color="auto" w:fill="auto"/>
            <w:vAlign w:val="center"/>
          </w:tcPr>
          <w:p w14:paraId="3E5F974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Truncated, %</w:t>
            </w:r>
          </w:p>
        </w:tc>
        <w:tc>
          <w:tcPr>
            <w:tcW w:w="0" w:type="auto"/>
            <w:tcBorders>
              <w:top w:val="single" w:sz="8" w:space="0" w:color="404040"/>
              <w:left w:val="nil"/>
              <w:bottom w:val="single" w:sz="5" w:space="0" w:color="707070"/>
              <w:right w:val="nil"/>
            </w:tcBorders>
            <w:shd w:val="clear" w:color="auto" w:fill="auto"/>
            <w:vAlign w:val="center"/>
          </w:tcPr>
          <w:p w14:paraId="743BFDF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Combined interval ESS</w:t>
            </w:r>
          </w:p>
        </w:tc>
        <w:tc>
          <w:tcPr>
            <w:tcW w:w="0" w:type="auto"/>
            <w:tcBorders>
              <w:top w:val="single" w:sz="8" w:space="0" w:color="404040"/>
              <w:left w:val="nil"/>
              <w:bottom w:val="single" w:sz="5" w:space="0" w:color="707070"/>
              <w:right w:val="nil"/>
            </w:tcBorders>
            <w:shd w:val="clear" w:color="auto" w:fill="auto"/>
            <w:vAlign w:val="center"/>
          </w:tcPr>
          <w:p w14:paraId="3C8C131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Numerator/denominator converged</w:t>
            </w:r>
          </w:p>
        </w:tc>
      </w:tr>
      <w:tr w:rsidR="00646F04" w:rsidRPr="00646F04" w14:paraId="26E8D24D" w14:textId="77777777" w:rsidTr="00646F04">
        <w:tc>
          <w:tcPr>
            <w:tcW w:w="0" w:type="auto"/>
            <w:tcBorders>
              <w:top w:val="nil"/>
              <w:left w:val="nil"/>
              <w:bottom w:val="nil"/>
              <w:right w:val="nil"/>
            </w:tcBorders>
            <w:shd w:val="clear" w:color="auto" w:fill="auto"/>
            <w:vAlign w:val="center"/>
          </w:tcPr>
          <w:p w14:paraId="0D04D6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D97FA3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38,200: 34,630/3,570</w:t>
            </w:r>
          </w:p>
        </w:tc>
        <w:tc>
          <w:tcPr>
            <w:tcW w:w="0" w:type="auto"/>
            <w:tcBorders>
              <w:top w:val="nil"/>
              <w:left w:val="nil"/>
              <w:bottom w:val="nil"/>
              <w:right w:val="nil"/>
            </w:tcBorders>
            <w:shd w:val="clear" w:color="auto" w:fill="auto"/>
            <w:vAlign w:val="center"/>
          </w:tcPr>
          <w:p w14:paraId="1A6719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1,699</w:t>
            </w:r>
          </w:p>
        </w:tc>
        <w:tc>
          <w:tcPr>
            <w:tcW w:w="0" w:type="auto"/>
            <w:tcBorders>
              <w:top w:val="nil"/>
              <w:left w:val="nil"/>
              <w:bottom w:val="nil"/>
              <w:right w:val="nil"/>
            </w:tcBorders>
            <w:shd w:val="clear" w:color="auto" w:fill="auto"/>
            <w:vAlign w:val="center"/>
          </w:tcPr>
          <w:p w14:paraId="0051BC5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0.772</w:t>
            </w:r>
          </w:p>
        </w:tc>
        <w:tc>
          <w:tcPr>
            <w:tcW w:w="0" w:type="auto"/>
            <w:tcBorders>
              <w:top w:val="nil"/>
              <w:left w:val="nil"/>
              <w:bottom w:val="nil"/>
              <w:right w:val="nil"/>
            </w:tcBorders>
            <w:shd w:val="clear" w:color="auto" w:fill="auto"/>
            <w:vAlign w:val="center"/>
          </w:tcPr>
          <w:p w14:paraId="5AB27CE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0.743/0.981/1.315</w:t>
            </w:r>
          </w:p>
        </w:tc>
        <w:tc>
          <w:tcPr>
            <w:tcW w:w="0" w:type="auto"/>
            <w:tcBorders>
              <w:top w:val="nil"/>
              <w:left w:val="nil"/>
              <w:bottom w:val="nil"/>
              <w:right w:val="nil"/>
            </w:tcBorders>
            <w:shd w:val="clear" w:color="auto" w:fill="auto"/>
            <w:vAlign w:val="center"/>
          </w:tcPr>
          <w:p w14:paraId="0C6E0E4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5.699 → 1.315</w:t>
            </w:r>
          </w:p>
        </w:tc>
        <w:tc>
          <w:tcPr>
            <w:tcW w:w="0" w:type="auto"/>
            <w:tcBorders>
              <w:top w:val="nil"/>
              <w:left w:val="nil"/>
              <w:bottom w:val="nil"/>
              <w:right w:val="nil"/>
            </w:tcBorders>
            <w:shd w:val="clear" w:color="auto" w:fill="auto"/>
            <w:vAlign w:val="center"/>
          </w:tcPr>
          <w:p w14:paraId="752654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2.004</w:t>
            </w:r>
          </w:p>
        </w:tc>
        <w:tc>
          <w:tcPr>
            <w:tcW w:w="0" w:type="auto"/>
            <w:tcBorders>
              <w:top w:val="nil"/>
              <w:left w:val="nil"/>
              <w:bottom w:val="nil"/>
              <w:right w:val="nil"/>
            </w:tcBorders>
            <w:shd w:val="clear" w:color="auto" w:fill="auto"/>
            <w:vAlign w:val="center"/>
          </w:tcPr>
          <w:p w14:paraId="5A7D8C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10,271.1</w:t>
            </w:r>
          </w:p>
        </w:tc>
        <w:tc>
          <w:tcPr>
            <w:tcW w:w="0" w:type="auto"/>
            <w:tcBorders>
              <w:top w:val="nil"/>
              <w:left w:val="nil"/>
              <w:bottom w:val="nil"/>
              <w:right w:val="nil"/>
            </w:tcBorders>
            <w:shd w:val="clear" w:color="auto" w:fill="auto"/>
            <w:vAlign w:val="center"/>
          </w:tcPr>
          <w:p w14:paraId="1D8F8B8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Yes/Yes</w:t>
            </w:r>
          </w:p>
        </w:tc>
      </w:tr>
      <w:tr w:rsidR="00646F04" w:rsidRPr="00646F04" w14:paraId="738E5D14" w14:textId="77777777" w:rsidTr="00646F04">
        <w:tc>
          <w:tcPr>
            <w:tcW w:w="0" w:type="auto"/>
            <w:tcBorders>
              <w:top w:val="nil"/>
              <w:left w:val="nil"/>
              <w:bottom w:val="single" w:sz="8" w:space="0" w:color="404040"/>
              <w:right w:val="nil"/>
            </w:tcBorders>
            <w:shd w:val="clear" w:color="auto" w:fill="auto"/>
            <w:vAlign w:val="center"/>
          </w:tcPr>
          <w:p w14:paraId="4CD88B0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2A5B123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60,674: 52,752/7,922</w:t>
            </w:r>
          </w:p>
        </w:tc>
        <w:tc>
          <w:tcPr>
            <w:tcW w:w="0" w:type="auto"/>
            <w:tcBorders>
              <w:top w:val="nil"/>
              <w:left w:val="nil"/>
              <w:bottom w:val="single" w:sz="8" w:space="0" w:color="404040"/>
              <w:right w:val="nil"/>
            </w:tcBorders>
            <w:shd w:val="clear" w:color="auto" w:fill="auto"/>
            <w:vAlign w:val="center"/>
          </w:tcPr>
          <w:p w14:paraId="02D7A7E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3,751</w:t>
            </w:r>
          </w:p>
        </w:tc>
        <w:tc>
          <w:tcPr>
            <w:tcW w:w="0" w:type="auto"/>
            <w:tcBorders>
              <w:top w:val="nil"/>
              <w:left w:val="nil"/>
              <w:bottom w:val="single" w:sz="8" w:space="0" w:color="404040"/>
              <w:right w:val="nil"/>
            </w:tcBorders>
            <w:shd w:val="clear" w:color="auto" w:fill="auto"/>
            <w:vAlign w:val="center"/>
          </w:tcPr>
          <w:p w14:paraId="2651C2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0.807</w:t>
            </w:r>
          </w:p>
        </w:tc>
        <w:tc>
          <w:tcPr>
            <w:tcW w:w="0" w:type="auto"/>
            <w:tcBorders>
              <w:top w:val="nil"/>
              <w:left w:val="nil"/>
              <w:bottom w:val="single" w:sz="8" w:space="0" w:color="404040"/>
              <w:right w:val="nil"/>
            </w:tcBorders>
            <w:shd w:val="clear" w:color="auto" w:fill="auto"/>
            <w:vAlign w:val="center"/>
          </w:tcPr>
          <w:p w14:paraId="29A28A4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0.727/0.997/1.237</w:t>
            </w:r>
          </w:p>
        </w:tc>
        <w:tc>
          <w:tcPr>
            <w:tcW w:w="0" w:type="auto"/>
            <w:tcBorders>
              <w:top w:val="nil"/>
              <w:left w:val="nil"/>
              <w:bottom w:val="single" w:sz="8" w:space="0" w:color="404040"/>
              <w:right w:val="nil"/>
            </w:tcBorders>
            <w:shd w:val="clear" w:color="auto" w:fill="auto"/>
            <w:vAlign w:val="center"/>
          </w:tcPr>
          <w:p w14:paraId="5BA070F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87.280 → 1.237</w:t>
            </w:r>
          </w:p>
        </w:tc>
        <w:tc>
          <w:tcPr>
            <w:tcW w:w="0" w:type="auto"/>
            <w:tcBorders>
              <w:top w:val="nil"/>
              <w:left w:val="nil"/>
              <w:bottom w:val="single" w:sz="8" w:space="0" w:color="404040"/>
              <w:right w:val="nil"/>
            </w:tcBorders>
            <w:shd w:val="clear" w:color="auto" w:fill="auto"/>
            <w:vAlign w:val="center"/>
          </w:tcPr>
          <w:p w14:paraId="351B323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1.964</w:t>
            </w:r>
          </w:p>
        </w:tc>
        <w:tc>
          <w:tcPr>
            <w:tcW w:w="0" w:type="auto"/>
            <w:tcBorders>
              <w:top w:val="nil"/>
              <w:left w:val="nil"/>
              <w:bottom w:val="single" w:sz="8" w:space="0" w:color="404040"/>
              <w:right w:val="nil"/>
            </w:tcBorders>
            <w:shd w:val="clear" w:color="auto" w:fill="auto"/>
            <w:vAlign w:val="center"/>
          </w:tcPr>
          <w:p w14:paraId="6F612F9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36,877.8</w:t>
            </w:r>
          </w:p>
        </w:tc>
        <w:tc>
          <w:tcPr>
            <w:tcW w:w="0" w:type="auto"/>
            <w:tcBorders>
              <w:top w:val="nil"/>
              <w:left w:val="nil"/>
              <w:bottom w:val="single" w:sz="8" w:space="0" w:color="404040"/>
              <w:right w:val="nil"/>
            </w:tcBorders>
            <w:shd w:val="clear" w:color="auto" w:fill="auto"/>
            <w:vAlign w:val="center"/>
          </w:tcPr>
          <w:p w14:paraId="7E6B40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Yes/Yes</w:t>
            </w:r>
          </w:p>
        </w:tc>
      </w:tr>
    </w:tbl>
    <w:p w14:paraId="3795AE65" w14:textId="77777777" w:rsidR="001C2B6A" w:rsidRPr="00646F04" w:rsidRDefault="00000000">
      <w:pPr>
        <w:pStyle w:val="a0"/>
        <w:rPr>
          <w:color w:val="000000" w:themeColor="text1"/>
        </w:rPr>
      </w:pPr>
      <w:r w:rsidRPr="00646F04">
        <w:rPr>
          <w:rFonts w:eastAsia="Source Han Serif SC"/>
          <w:b/>
          <w:bCs/>
          <w:color w:val="000000" w:themeColor="text1"/>
        </w:rPr>
        <w:lastRenderedPageBreak/>
        <w:t>Notes.</w:t>
      </w:r>
      <w:r w:rsidRPr="00646F04">
        <w:rPr>
          <w:rFonts w:eastAsia="Source Han Serif SC"/>
          <w:color w:val="000000" w:themeColor="text1"/>
        </w:rPr>
        <w:t xml:space="preserve"> Balance is demonstrated only for measured covariates. The HRS static disease response-model observed n (12,946) precedes the final complete composite-progression requirement and must not replace the exact-four-year outcome denominator (12,674) in Table S4. Known deaths were excluded from ordinary response models. Full-wave weights accumulate the realised response/miss path and retain re-entry; death ratios are fixed to one.</w:t>
      </w:r>
    </w:p>
    <w:p w14:paraId="0450225A" w14:textId="77777777" w:rsidR="001C2B6A" w:rsidRPr="00646F04" w:rsidRDefault="005C035C">
      <w:pPr>
        <w:rPr>
          <w:color w:val="000000" w:themeColor="text1"/>
        </w:rPr>
      </w:pPr>
      <w:r>
        <w:rPr>
          <w:rFonts w:eastAsia="Source Han Serif SC"/>
          <w:noProof/>
          <w:color w:val="000000" w:themeColor="text1"/>
        </w:rPr>
        <w:pict w14:anchorId="7581E4A2">
          <v:rect id="_x0000_i1029" alt="" style="width:415.3pt;height:.05pt;mso-width-percent:0;mso-height-percent:0;mso-width-percent:0;mso-height-percent:0" o:hralign="center" o:hrstd="t" o:hr="t"/>
        </w:pict>
      </w:r>
    </w:p>
    <w:p w14:paraId="11427904" w14:textId="77777777" w:rsidR="001C2B6A" w:rsidRPr="00646F04" w:rsidRDefault="00000000">
      <w:pPr>
        <w:pStyle w:val="2"/>
        <w:rPr>
          <w:color w:val="000000" w:themeColor="text1"/>
        </w:rPr>
      </w:pPr>
      <w:bookmarkStart w:id="46" w:name="X70cae1a9bbb057b9eedfddc3d361cb7e025fc2b"/>
      <w:bookmarkEnd w:id="41"/>
      <w:bookmarkEnd w:id="45"/>
      <w:r w:rsidRPr="00646F04">
        <w:rPr>
          <w:rFonts w:ascii="Arial" w:eastAsia="Source Han Serif SC" w:hAnsi="Arial" w:cs="Arial"/>
          <w:color w:val="000000" w:themeColor="text1"/>
        </w:rPr>
        <w:t>Table S6. Core adjusted associations and standardised absolute effects</w:t>
      </w:r>
    </w:p>
    <w:tbl>
      <w:tblPr>
        <w:tblStyle w:val="Table"/>
        <w:tblW w:w="5000" w:type="pct"/>
        <w:tblLook w:val="0020" w:firstRow="1" w:lastRow="0" w:firstColumn="0" w:lastColumn="0" w:noHBand="0" w:noVBand="0"/>
      </w:tblPr>
      <w:tblGrid>
        <w:gridCol w:w="1228"/>
        <w:gridCol w:w="772"/>
        <w:gridCol w:w="1831"/>
        <w:gridCol w:w="1176"/>
        <w:gridCol w:w="1897"/>
        <w:gridCol w:w="1897"/>
        <w:gridCol w:w="616"/>
        <w:gridCol w:w="2990"/>
        <w:gridCol w:w="2271"/>
      </w:tblGrid>
      <w:tr w:rsidR="00646F04" w:rsidRPr="00646F04" w14:paraId="07471C8E"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3E29494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Window</w:t>
            </w:r>
          </w:p>
        </w:tc>
        <w:tc>
          <w:tcPr>
            <w:tcW w:w="0" w:type="auto"/>
            <w:tcBorders>
              <w:top w:val="single" w:sz="8" w:space="0" w:color="404040"/>
              <w:left w:val="nil"/>
              <w:bottom w:val="single" w:sz="5" w:space="0" w:color="707070"/>
              <w:right w:val="nil"/>
            </w:tcBorders>
            <w:shd w:val="clear" w:color="auto" w:fill="auto"/>
            <w:vAlign w:val="center"/>
          </w:tcPr>
          <w:p w14:paraId="50ECCC7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276C900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Comparison/outcome</w:t>
            </w:r>
          </w:p>
        </w:tc>
        <w:tc>
          <w:tcPr>
            <w:tcW w:w="0" w:type="auto"/>
            <w:tcBorders>
              <w:top w:val="single" w:sz="8" w:space="0" w:color="404040"/>
              <w:left w:val="nil"/>
              <w:bottom w:val="single" w:sz="5" w:space="0" w:color="707070"/>
              <w:right w:val="nil"/>
            </w:tcBorders>
            <w:shd w:val="clear" w:color="auto" w:fill="auto"/>
            <w:vAlign w:val="center"/>
          </w:tcPr>
          <w:p w14:paraId="0ADE292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n/events or ΣY</w:t>
            </w:r>
          </w:p>
        </w:tc>
        <w:tc>
          <w:tcPr>
            <w:tcW w:w="0" w:type="auto"/>
            <w:tcBorders>
              <w:top w:val="single" w:sz="8" w:space="0" w:color="404040"/>
              <w:left w:val="nil"/>
              <w:bottom w:val="single" w:sz="5" w:space="0" w:color="707070"/>
              <w:right w:val="nil"/>
            </w:tcBorders>
            <w:shd w:val="clear" w:color="auto" w:fill="auto"/>
            <w:vAlign w:val="center"/>
          </w:tcPr>
          <w:p w14:paraId="07DC562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T1 relative effect (95% CI)</w:t>
            </w:r>
          </w:p>
        </w:tc>
        <w:tc>
          <w:tcPr>
            <w:tcW w:w="0" w:type="auto"/>
            <w:tcBorders>
              <w:top w:val="single" w:sz="8" w:space="0" w:color="404040"/>
              <w:left w:val="nil"/>
              <w:bottom w:val="single" w:sz="5" w:space="0" w:color="707070"/>
              <w:right w:val="nil"/>
            </w:tcBorders>
            <w:shd w:val="clear" w:color="auto" w:fill="auto"/>
            <w:vAlign w:val="center"/>
          </w:tcPr>
          <w:p w14:paraId="2AE2632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T2 relative effect (95% CI)</w:t>
            </w:r>
          </w:p>
        </w:tc>
        <w:tc>
          <w:tcPr>
            <w:tcW w:w="0" w:type="auto"/>
            <w:tcBorders>
              <w:top w:val="single" w:sz="8" w:space="0" w:color="404040"/>
              <w:left w:val="nil"/>
              <w:bottom w:val="single" w:sz="5" w:space="0" w:color="707070"/>
              <w:right w:val="nil"/>
            </w:tcBorders>
            <w:shd w:val="clear" w:color="auto" w:fill="auto"/>
            <w:vAlign w:val="center"/>
          </w:tcPr>
          <w:p w14:paraId="4A0367A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T2 P</w:t>
            </w:r>
          </w:p>
        </w:tc>
        <w:tc>
          <w:tcPr>
            <w:tcW w:w="0" w:type="auto"/>
            <w:tcBorders>
              <w:top w:val="single" w:sz="8" w:space="0" w:color="404040"/>
              <w:left w:val="nil"/>
              <w:bottom w:val="single" w:sz="5" w:space="0" w:color="707070"/>
              <w:right w:val="nil"/>
            </w:tcBorders>
            <w:shd w:val="clear" w:color="auto" w:fill="auto"/>
            <w:vAlign w:val="center"/>
          </w:tcPr>
          <w:p w14:paraId="7FAB3A6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T2 standardised numerator vs comparator</w:t>
            </w:r>
          </w:p>
        </w:tc>
        <w:tc>
          <w:tcPr>
            <w:tcW w:w="0" w:type="auto"/>
            <w:tcBorders>
              <w:top w:val="single" w:sz="8" w:space="0" w:color="404040"/>
              <w:left w:val="nil"/>
              <w:bottom w:val="single" w:sz="5" w:space="0" w:color="707070"/>
              <w:right w:val="nil"/>
            </w:tcBorders>
            <w:shd w:val="clear" w:color="auto" w:fill="auto"/>
            <w:vAlign w:val="center"/>
          </w:tcPr>
          <w:p w14:paraId="66EC034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T2 absolute difference (95% CI)</w:t>
            </w:r>
          </w:p>
        </w:tc>
      </w:tr>
      <w:tr w:rsidR="00646F04" w:rsidRPr="00646F04" w14:paraId="2BB4B86D" w14:textId="77777777" w:rsidTr="00646F04">
        <w:tc>
          <w:tcPr>
            <w:tcW w:w="0" w:type="auto"/>
            <w:tcBorders>
              <w:top w:val="nil"/>
              <w:left w:val="nil"/>
              <w:bottom w:val="nil"/>
              <w:right w:val="nil"/>
            </w:tcBorders>
            <w:shd w:val="clear" w:color="auto" w:fill="auto"/>
            <w:vAlign w:val="center"/>
          </w:tcPr>
          <w:p w14:paraId="4E1F31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1DCB2FB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6F3029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any new disease</w:t>
            </w:r>
          </w:p>
        </w:tc>
        <w:tc>
          <w:tcPr>
            <w:tcW w:w="0" w:type="auto"/>
            <w:tcBorders>
              <w:top w:val="nil"/>
              <w:left w:val="nil"/>
              <w:bottom w:val="nil"/>
              <w:right w:val="nil"/>
            </w:tcBorders>
            <w:shd w:val="clear" w:color="auto" w:fill="auto"/>
            <w:vAlign w:val="center"/>
          </w:tcPr>
          <w:p w14:paraId="03B6EC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1,170/362</w:t>
            </w:r>
          </w:p>
        </w:tc>
        <w:tc>
          <w:tcPr>
            <w:tcW w:w="0" w:type="auto"/>
            <w:tcBorders>
              <w:top w:val="nil"/>
              <w:left w:val="nil"/>
              <w:bottom w:val="nil"/>
              <w:right w:val="nil"/>
            </w:tcBorders>
            <w:shd w:val="clear" w:color="auto" w:fill="auto"/>
            <w:vAlign w:val="center"/>
          </w:tcPr>
          <w:p w14:paraId="1B949F4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0.679 (0.479–0.962)</w:t>
            </w:r>
          </w:p>
        </w:tc>
        <w:tc>
          <w:tcPr>
            <w:tcW w:w="0" w:type="auto"/>
            <w:tcBorders>
              <w:top w:val="nil"/>
              <w:left w:val="nil"/>
              <w:bottom w:val="nil"/>
              <w:right w:val="nil"/>
            </w:tcBorders>
            <w:shd w:val="clear" w:color="auto" w:fill="auto"/>
            <w:vAlign w:val="center"/>
          </w:tcPr>
          <w:p w14:paraId="2FAEC44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0.662 (0.471–0.931)</w:t>
            </w:r>
          </w:p>
        </w:tc>
        <w:tc>
          <w:tcPr>
            <w:tcW w:w="0" w:type="auto"/>
            <w:tcBorders>
              <w:top w:val="nil"/>
              <w:left w:val="nil"/>
              <w:bottom w:val="nil"/>
              <w:right w:val="nil"/>
            </w:tcBorders>
            <w:shd w:val="clear" w:color="auto" w:fill="auto"/>
            <w:vAlign w:val="center"/>
          </w:tcPr>
          <w:p w14:paraId="5EABAF3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0.018</w:t>
            </w:r>
          </w:p>
        </w:tc>
        <w:tc>
          <w:tcPr>
            <w:tcW w:w="0" w:type="auto"/>
            <w:tcBorders>
              <w:top w:val="nil"/>
              <w:left w:val="nil"/>
              <w:bottom w:val="nil"/>
              <w:right w:val="nil"/>
            </w:tcBorders>
            <w:shd w:val="clear" w:color="auto" w:fill="auto"/>
            <w:vAlign w:val="center"/>
          </w:tcPr>
          <w:p w14:paraId="7B6D439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26.20% vs 34.34%</w:t>
            </w:r>
          </w:p>
        </w:tc>
        <w:tc>
          <w:tcPr>
            <w:tcW w:w="0" w:type="auto"/>
            <w:tcBorders>
              <w:top w:val="nil"/>
              <w:left w:val="nil"/>
              <w:bottom w:val="nil"/>
              <w:right w:val="nil"/>
            </w:tcBorders>
            <w:shd w:val="clear" w:color="auto" w:fill="auto"/>
            <w:vAlign w:val="center"/>
          </w:tcPr>
          <w:p w14:paraId="29C5FE2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−8.14 pp (−14.94, −1.34)</w:t>
            </w:r>
          </w:p>
        </w:tc>
      </w:tr>
      <w:tr w:rsidR="00646F04" w:rsidRPr="00646F04" w14:paraId="0822C16F" w14:textId="77777777" w:rsidTr="00646F04">
        <w:tc>
          <w:tcPr>
            <w:tcW w:w="0" w:type="auto"/>
            <w:tcBorders>
              <w:top w:val="nil"/>
              <w:left w:val="nil"/>
              <w:bottom w:val="nil"/>
              <w:right w:val="nil"/>
            </w:tcBorders>
            <w:shd w:val="clear" w:color="auto" w:fill="auto"/>
            <w:vAlign w:val="center"/>
          </w:tcPr>
          <w:p w14:paraId="4F13EA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4A0FF7A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19D2C5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any new disease</w:t>
            </w:r>
          </w:p>
        </w:tc>
        <w:tc>
          <w:tcPr>
            <w:tcW w:w="0" w:type="auto"/>
            <w:tcBorders>
              <w:top w:val="nil"/>
              <w:left w:val="nil"/>
              <w:bottom w:val="nil"/>
              <w:right w:val="nil"/>
            </w:tcBorders>
            <w:shd w:val="clear" w:color="auto" w:fill="auto"/>
            <w:vAlign w:val="center"/>
          </w:tcPr>
          <w:p w14:paraId="65BB01E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2,160/644</w:t>
            </w:r>
          </w:p>
        </w:tc>
        <w:tc>
          <w:tcPr>
            <w:tcW w:w="0" w:type="auto"/>
            <w:tcBorders>
              <w:top w:val="nil"/>
              <w:left w:val="nil"/>
              <w:bottom w:val="nil"/>
              <w:right w:val="nil"/>
            </w:tcBorders>
            <w:shd w:val="clear" w:color="auto" w:fill="auto"/>
            <w:vAlign w:val="center"/>
          </w:tcPr>
          <w:p w14:paraId="52452E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0.866 (0.698–1.074)</w:t>
            </w:r>
          </w:p>
        </w:tc>
        <w:tc>
          <w:tcPr>
            <w:tcW w:w="0" w:type="auto"/>
            <w:tcBorders>
              <w:top w:val="nil"/>
              <w:left w:val="nil"/>
              <w:bottom w:val="nil"/>
              <w:right w:val="nil"/>
            </w:tcBorders>
            <w:shd w:val="clear" w:color="auto" w:fill="auto"/>
            <w:vAlign w:val="center"/>
          </w:tcPr>
          <w:p w14:paraId="43196D1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0.934 (0.740–1.179)</w:t>
            </w:r>
          </w:p>
        </w:tc>
        <w:tc>
          <w:tcPr>
            <w:tcW w:w="0" w:type="auto"/>
            <w:tcBorders>
              <w:top w:val="nil"/>
              <w:left w:val="nil"/>
              <w:bottom w:val="nil"/>
              <w:right w:val="nil"/>
            </w:tcBorders>
            <w:shd w:val="clear" w:color="auto" w:fill="auto"/>
            <w:vAlign w:val="center"/>
          </w:tcPr>
          <w:p w14:paraId="417AC6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0.564</w:t>
            </w:r>
          </w:p>
        </w:tc>
        <w:tc>
          <w:tcPr>
            <w:tcW w:w="0" w:type="auto"/>
            <w:tcBorders>
              <w:top w:val="nil"/>
              <w:left w:val="nil"/>
              <w:bottom w:val="nil"/>
              <w:right w:val="nil"/>
            </w:tcBorders>
            <w:shd w:val="clear" w:color="auto" w:fill="auto"/>
            <w:vAlign w:val="center"/>
          </w:tcPr>
          <w:p w14:paraId="1E0E96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26.75% vs 28.05%</w:t>
            </w:r>
          </w:p>
        </w:tc>
        <w:tc>
          <w:tcPr>
            <w:tcW w:w="0" w:type="auto"/>
            <w:tcBorders>
              <w:top w:val="nil"/>
              <w:left w:val="nil"/>
              <w:bottom w:val="nil"/>
              <w:right w:val="nil"/>
            </w:tcBorders>
            <w:shd w:val="clear" w:color="auto" w:fill="auto"/>
            <w:vAlign w:val="center"/>
          </w:tcPr>
          <w:p w14:paraId="30B0C2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−1.30 pp (−5.70, 3.11)</w:t>
            </w:r>
          </w:p>
        </w:tc>
      </w:tr>
      <w:tr w:rsidR="00646F04" w:rsidRPr="00646F04" w14:paraId="780E14B0" w14:textId="77777777" w:rsidTr="00646F04">
        <w:tc>
          <w:tcPr>
            <w:tcW w:w="0" w:type="auto"/>
            <w:tcBorders>
              <w:top w:val="nil"/>
              <w:left w:val="nil"/>
              <w:bottom w:val="nil"/>
              <w:right w:val="nil"/>
            </w:tcBorders>
            <w:shd w:val="clear" w:color="auto" w:fill="auto"/>
            <w:vAlign w:val="center"/>
          </w:tcPr>
          <w:p w14:paraId="3863686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58A8661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F628A0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new disease count</w:t>
            </w:r>
          </w:p>
        </w:tc>
        <w:tc>
          <w:tcPr>
            <w:tcW w:w="0" w:type="auto"/>
            <w:tcBorders>
              <w:top w:val="nil"/>
              <w:left w:val="nil"/>
              <w:bottom w:val="nil"/>
              <w:right w:val="nil"/>
            </w:tcBorders>
            <w:shd w:val="clear" w:color="auto" w:fill="auto"/>
            <w:vAlign w:val="center"/>
          </w:tcPr>
          <w:p w14:paraId="1256156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1,170/425</w:t>
            </w:r>
          </w:p>
        </w:tc>
        <w:tc>
          <w:tcPr>
            <w:tcW w:w="0" w:type="auto"/>
            <w:tcBorders>
              <w:top w:val="nil"/>
              <w:left w:val="nil"/>
              <w:bottom w:val="nil"/>
              <w:right w:val="nil"/>
            </w:tcBorders>
            <w:shd w:val="clear" w:color="auto" w:fill="auto"/>
            <w:vAlign w:val="center"/>
          </w:tcPr>
          <w:p w14:paraId="0B8092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0.748 (0.579–0.964)</w:t>
            </w:r>
          </w:p>
        </w:tc>
        <w:tc>
          <w:tcPr>
            <w:tcW w:w="0" w:type="auto"/>
            <w:tcBorders>
              <w:top w:val="nil"/>
              <w:left w:val="nil"/>
              <w:bottom w:val="nil"/>
              <w:right w:val="nil"/>
            </w:tcBorders>
            <w:shd w:val="clear" w:color="auto" w:fill="auto"/>
            <w:vAlign w:val="center"/>
          </w:tcPr>
          <w:p w14:paraId="5E8B74C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0.735 (0.571–0.946)</w:t>
            </w:r>
          </w:p>
        </w:tc>
        <w:tc>
          <w:tcPr>
            <w:tcW w:w="0" w:type="auto"/>
            <w:tcBorders>
              <w:top w:val="nil"/>
              <w:left w:val="nil"/>
              <w:bottom w:val="nil"/>
              <w:right w:val="nil"/>
            </w:tcBorders>
            <w:shd w:val="clear" w:color="auto" w:fill="auto"/>
            <w:vAlign w:val="center"/>
          </w:tcPr>
          <w:p w14:paraId="270C78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0.017</w:t>
            </w:r>
          </w:p>
        </w:tc>
        <w:tc>
          <w:tcPr>
            <w:tcW w:w="0" w:type="auto"/>
            <w:tcBorders>
              <w:top w:val="nil"/>
              <w:left w:val="nil"/>
              <w:bottom w:val="nil"/>
              <w:right w:val="nil"/>
            </w:tcBorders>
            <w:shd w:val="clear" w:color="auto" w:fill="auto"/>
            <w:vAlign w:val="center"/>
          </w:tcPr>
          <w:p w14:paraId="2482F6E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0.305 vs 0.415</w:t>
            </w:r>
          </w:p>
        </w:tc>
        <w:tc>
          <w:tcPr>
            <w:tcW w:w="0" w:type="auto"/>
            <w:tcBorders>
              <w:top w:val="nil"/>
              <w:left w:val="nil"/>
              <w:bottom w:val="nil"/>
              <w:right w:val="nil"/>
            </w:tcBorders>
            <w:shd w:val="clear" w:color="auto" w:fill="auto"/>
            <w:vAlign w:val="center"/>
          </w:tcPr>
          <w:p w14:paraId="4F47297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−0.110 (−0.203, −0.018)</w:t>
            </w:r>
          </w:p>
        </w:tc>
      </w:tr>
      <w:tr w:rsidR="00646F04" w:rsidRPr="00646F04" w14:paraId="1999D960" w14:textId="77777777" w:rsidTr="00646F04">
        <w:tc>
          <w:tcPr>
            <w:tcW w:w="0" w:type="auto"/>
            <w:tcBorders>
              <w:top w:val="nil"/>
              <w:left w:val="nil"/>
              <w:bottom w:val="nil"/>
              <w:right w:val="nil"/>
            </w:tcBorders>
            <w:shd w:val="clear" w:color="auto" w:fill="auto"/>
            <w:vAlign w:val="center"/>
          </w:tcPr>
          <w:p w14:paraId="4F3CA41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646EEB0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0E3B56F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new disease count</w:t>
            </w:r>
          </w:p>
        </w:tc>
        <w:tc>
          <w:tcPr>
            <w:tcW w:w="0" w:type="auto"/>
            <w:tcBorders>
              <w:top w:val="nil"/>
              <w:left w:val="nil"/>
              <w:bottom w:val="nil"/>
              <w:right w:val="nil"/>
            </w:tcBorders>
            <w:shd w:val="clear" w:color="auto" w:fill="auto"/>
            <w:vAlign w:val="center"/>
          </w:tcPr>
          <w:p w14:paraId="158513E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2,160/793</w:t>
            </w:r>
          </w:p>
        </w:tc>
        <w:tc>
          <w:tcPr>
            <w:tcW w:w="0" w:type="auto"/>
            <w:tcBorders>
              <w:top w:val="nil"/>
              <w:left w:val="nil"/>
              <w:bottom w:val="nil"/>
              <w:right w:val="nil"/>
            </w:tcBorders>
            <w:shd w:val="clear" w:color="auto" w:fill="auto"/>
            <w:vAlign w:val="center"/>
          </w:tcPr>
          <w:p w14:paraId="2D58952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0.842 (0.712–0.995)</w:t>
            </w:r>
          </w:p>
        </w:tc>
        <w:tc>
          <w:tcPr>
            <w:tcW w:w="0" w:type="auto"/>
            <w:tcBorders>
              <w:top w:val="nil"/>
              <w:left w:val="nil"/>
              <w:bottom w:val="nil"/>
              <w:right w:val="nil"/>
            </w:tcBorders>
            <w:shd w:val="clear" w:color="auto" w:fill="auto"/>
            <w:vAlign w:val="center"/>
          </w:tcPr>
          <w:p w14:paraId="3A5DC62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0.884 (0.739–1.056)</w:t>
            </w:r>
          </w:p>
        </w:tc>
        <w:tc>
          <w:tcPr>
            <w:tcW w:w="0" w:type="auto"/>
            <w:tcBorders>
              <w:top w:val="nil"/>
              <w:left w:val="nil"/>
              <w:bottom w:val="nil"/>
              <w:right w:val="nil"/>
            </w:tcBorders>
            <w:shd w:val="clear" w:color="auto" w:fill="auto"/>
            <w:vAlign w:val="center"/>
          </w:tcPr>
          <w:p w14:paraId="3A88156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0.174</w:t>
            </w:r>
          </w:p>
        </w:tc>
        <w:tc>
          <w:tcPr>
            <w:tcW w:w="0" w:type="auto"/>
            <w:tcBorders>
              <w:top w:val="nil"/>
              <w:left w:val="nil"/>
              <w:bottom w:val="nil"/>
              <w:right w:val="nil"/>
            </w:tcBorders>
            <w:shd w:val="clear" w:color="auto" w:fill="auto"/>
            <w:vAlign w:val="center"/>
          </w:tcPr>
          <w:p w14:paraId="11AA93B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0.314 vs 0.355</w:t>
            </w:r>
          </w:p>
        </w:tc>
        <w:tc>
          <w:tcPr>
            <w:tcW w:w="0" w:type="auto"/>
            <w:tcBorders>
              <w:top w:val="nil"/>
              <w:left w:val="nil"/>
              <w:bottom w:val="nil"/>
              <w:right w:val="nil"/>
            </w:tcBorders>
            <w:shd w:val="clear" w:color="auto" w:fill="auto"/>
            <w:vAlign w:val="center"/>
          </w:tcPr>
          <w:p w14:paraId="57F2D31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−0.041 (−0.101, 0.018)</w:t>
            </w:r>
          </w:p>
        </w:tc>
      </w:tr>
      <w:tr w:rsidR="00646F04" w:rsidRPr="00646F04" w14:paraId="17167316" w14:textId="77777777" w:rsidTr="00646F04">
        <w:tc>
          <w:tcPr>
            <w:tcW w:w="0" w:type="auto"/>
            <w:tcBorders>
              <w:top w:val="nil"/>
              <w:left w:val="nil"/>
              <w:bottom w:val="nil"/>
              <w:right w:val="nil"/>
            </w:tcBorders>
            <w:shd w:val="clear" w:color="auto" w:fill="auto"/>
            <w:vAlign w:val="center"/>
          </w:tcPr>
          <w:p w14:paraId="3E3509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13BC194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2217A7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ADL</w:t>
            </w:r>
          </w:p>
        </w:tc>
        <w:tc>
          <w:tcPr>
            <w:tcW w:w="0" w:type="auto"/>
            <w:tcBorders>
              <w:top w:val="nil"/>
              <w:left w:val="nil"/>
              <w:bottom w:val="nil"/>
              <w:right w:val="nil"/>
            </w:tcBorders>
            <w:shd w:val="clear" w:color="auto" w:fill="auto"/>
            <w:vAlign w:val="center"/>
          </w:tcPr>
          <w:p w14:paraId="4964661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1,010/210</w:t>
            </w:r>
          </w:p>
        </w:tc>
        <w:tc>
          <w:tcPr>
            <w:tcW w:w="0" w:type="auto"/>
            <w:tcBorders>
              <w:top w:val="nil"/>
              <w:left w:val="nil"/>
              <w:bottom w:val="nil"/>
              <w:right w:val="nil"/>
            </w:tcBorders>
            <w:shd w:val="clear" w:color="auto" w:fill="auto"/>
            <w:vAlign w:val="center"/>
          </w:tcPr>
          <w:p w14:paraId="2BACB2E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0.989 (0.616–1.587)</w:t>
            </w:r>
          </w:p>
        </w:tc>
        <w:tc>
          <w:tcPr>
            <w:tcW w:w="0" w:type="auto"/>
            <w:tcBorders>
              <w:top w:val="nil"/>
              <w:left w:val="nil"/>
              <w:bottom w:val="nil"/>
              <w:right w:val="nil"/>
            </w:tcBorders>
            <w:shd w:val="clear" w:color="auto" w:fill="auto"/>
            <w:vAlign w:val="center"/>
          </w:tcPr>
          <w:p w14:paraId="1B5742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1.087 (0.684–1.727)</w:t>
            </w:r>
          </w:p>
        </w:tc>
        <w:tc>
          <w:tcPr>
            <w:tcW w:w="0" w:type="auto"/>
            <w:tcBorders>
              <w:top w:val="nil"/>
              <w:left w:val="nil"/>
              <w:bottom w:val="nil"/>
              <w:right w:val="nil"/>
            </w:tcBorders>
            <w:shd w:val="clear" w:color="auto" w:fill="auto"/>
            <w:vAlign w:val="center"/>
          </w:tcPr>
          <w:p w14:paraId="7DA3A2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0.725</w:t>
            </w:r>
          </w:p>
        </w:tc>
        <w:tc>
          <w:tcPr>
            <w:tcW w:w="0" w:type="auto"/>
            <w:tcBorders>
              <w:top w:val="nil"/>
              <w:left w:val="nil"/>
              <w:bottom w:val="nil"/>
              <w:right w:val="nil"/>
            </w:tcBorders>
            <w:shd w:val="clear" w:color="auto" w:fill="auto"/>
            <w:vAlign w:val="center"/>
          </w:tcPr>
          <w:p w14:paraId="099579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20.61% vs 19.52%</w:t>
            </w:r>
          </w:p>
        </w:tc>
        <w:tc>
          <w:tcPr>
            <w:tcW w:w="0" w:type="auto"/>
            <w:tcBorders>
              <w:top w:val="nil"/>
              <w:left w:val="nil"/>
              <w:bottom w:val="nil"/>
              <w:right w:val="nil"/>
            </w:tcBorders>
            <w:shd w:val="clear" w:color="auto" w:fill="auto"/>
            <w:vAlign w:val="center"/>
          </w:tcPr>
          <w:p w14:paraId="466E78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1.08 pp (−4.95, 7.12)</w:t>
            </w:r>
          </w:p>
        </w:tc>
      </w:tr>
      <w:tr w:rsidR="00646F04" w:rsidRPr="00646F04" w14:paraId="55070FBA" w14:textId="77777777" w:rsidTr="00646F04">
        <w:tc>
          <w:tcPr>
            <w:tcW w:w="0" w:type="auto"/>
            <w:tcBorders>
              <w:top w:val="nil"/>
              <w:left w:val="nil"/>
              <w:bottom w:val="nil"/>
              <w:right w:val="nil"/>
            </w:tcBorders>
            <w:shd w:val="clear" w:color="auto" w:fill="auto"/>
            <w:vAlign w:val="center"/>
          </w:tcPr>
          <w:p w14:paraId="5349C81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508EF86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17DD12B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ADL</w:t>
            </w:r>
          </w:p>
        </w:tc>
        <w:tc>
          <w:tcPr>
            <w:tcW w:w="0" w:type="auto"/>
            <w:tcBorders>
              <w:top w:val="nil"/>
              <w:left w:val="nil"/>
              <w:bottom w:val="nil"/>
              <w:right w:val="nil"/>
            </w:tcBorders>
            <w:shd w:val="clear" w:color="auto" w:fill="auto"/>
            <w:vAlign w:val="center"/>
          </w:tcPr>
          <w:p w14:paraId="1722C0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1,851/239</w:t>
            </w:r>
          </w:p>
        </w:tc>
        <w:tc>
          <w:tcPr>
            <w:tcW w:w="0" w:type="auto"/>
            <w:tcBorders>
              <w:top w:val="nil"/>
              <w:left w:val="nil"/>
              <w:bottom w:val="nil"/>
              <w:right w:val="nil"/>
            </w:tcBorders>
            <w:shd w:val="clear" w:color="auto" w:fill="auto"/>
            <w:vAlign w:val="center"/>
          </w:tcPr>
          <w:p w14:paraId="2B3C20C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1.486 (0.986–2.242)</w:t>
            </w:r>
          </w:p>
        </w:tc>
        <w:tc>
          <w:tcPr>
            <w:tcW w:w="0" w:type="auto"/>
            <w:tcBorders>
              <w:top w:val="nil"/>
              <w:left w:val="nil"/>
              <w:bottom w:val="nil"/>
              <w:right w:val="nil"/>
            </w:tcBorders>
            <w:shd w:val="clear" w:color="auto" w:fill="auto"/>
            <w:vAlign w:val="center"/>
          </w:tcPr>
          <w:p w14:paraId="3CC2920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1.533 (0.990–2.372)</w:t>
            </w:r>
          </w:p>
        </w:tc>
        <w:tc>
          <w:tcPr>
            <w:tcW w:w="0" w:type="auto"/>
            <w:tcBorders>
              <w:top w:val="nil"/>
              <w:left w:val="nil"/>
              <w:bottom w:val="nil"/>
              <w:right w:val="nil"/>
            </w:tcBorders>
            <w:shd w:val="clear" w:color="auto" w:fill="auto"/>
            <w:vAlign w:val="center"/>
          </w:tcPr>
          <w:p w14:paraId="0F696D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0.055</w:t>
            </w:r>
          </w:p>
        </w:tc>
        <w:tc>
          <w:tcPr>
            <w:tcW w:w="0" w:type="auto"/>
            <w:tcBorders>
              <w:top w:val="nil"/>
              <w:left w:val="nil"/>
              <w:bottom w:val="nil"/>
              <w:right w:val="nil"/>
            </w:tcBorders>
            <w:shd w:val="clear" w:color="auto" w:fill="auto"/>
            <w:vAlign w:val="center"/>
          </w:tcPr>
          <w:p w14:paraId="5A95598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12.16% vs 8.78%</w:t>
            </w:r>
          </w:p>
        </w:tc>
        <w:tc>
          <w:tcPr>
            <w:tcW w:w="0" w:type="auto"/>
            <w:tcBorders>
              <w:top w:val="nil"/>
              <w:left w:val="nil"/>
              <w:bottom w:val="nil"/>
              <w:right w:val="nil"/>
            </w:tcBorders>
            <w:shd w:val="clear" w:color="auto" w:fill="auto"/>
            <w:vAlign w:val="center"/>
          </w:tcPr>
          <w:p w14:paraId="2E99957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3.38 pp (−0.08, 6.85)</w:t>
            </w:r>
          </w:p>
        </w:tc>
      </w:tr>
      <w:tr w:rsidR="00646F04" w:rsidRPr="00646F04" w14:paraId="02CAF0B3" w14:textId="77777777" w:rsidTr="00646F04">
        <w:tc>
          <w:tcPr>
            <w:tcW w:w="0" w:type="auto"/>
            <w:tcBorders>
              <w:top w:val="nil"/>
              <w:left w:val="nil"/>
              <w:bottom w:val="nil"/>
              <w:right w:val="nil"/>
            </w:tcBorders>
            <w:shd w:val="clear" w:color="auto" w:fill="auto"/>
            <w:vAlign w:val="center"/>
          </w:tcPr>
          <w:p w14:paraId="0AF3403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30F267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5E8023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IADL</w:t>
            </w:r>
          </w:p>
        </w:tc>
        <w:tc>
          <w:tcPr>
            <w:tcW w:w="0" w:type="auto"/>
            <w:tcBorders>
              <w:top w:val="nil"/>
              <w:left w:val="nil"/>
              <w:bottom w:val="nil"/>
              <w:right w:val="nil"/>
            </w:tcBorders>
            <w:shd w:val="clear" w:color="auto" w:fill="auto"/>
            <w:vAlign w:val="center"/>
          </w:tcPr>
          <w:p w14:paraId="74DCD72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917/165</w:t>
            </w:r>
          </w:p>
        </w:tc>
        <w:tc>
          <w:tcPr>
            <w:tcW w:w="0" w:type="auto"/>
            <w:tcBorders>
              <w:top w:val="nil"/>
              <w:left w:val="nil"/>
              <w:bottom w:val="nil"/>
              <w:right w:val="nil"/>
            </w:tcBorders>
            <w:shd w:val="clear" w:color="auto" w:fill="auto"/>
            <w:vAlign w:val="center"/>
          </w:tcPr>
          <w:p w14:paraId="5737E8D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0.834 (0.518–1.345)</w:t>
            </w:r>
          </w:p>
        </w:tc>
        <w:tc>
          <w:tcPr>
            <w:tcW w:w="0" w:type="auto"/>
            <w:tcBorders>
              <w:top w:val="nil"/>
              <w:left w:val="nil"/>
              <w:bottom w:val="nil"/>
              <w:right w:val="nil"/>
            </w:tcBorders>
            <w:shd w:val="clear" w:color="auto" w:fill="auto"/>
            <w:vAlign w:val="center"/>
          </w:tcPr>
          <w:p w14:paraId="16EC2D9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0.871 (0.551–1.379)</w:t>
            </w:r>
          </w:p>
        </w:tc>
        <w:tc>
          <w:tcPr>
            <w:tcW w:w="0" w:type="auto"/>
            <w:tcBorders>
              <w:top w:val="nil"/>
              <w:left w:val="nil"/>
              <w:bottom w:val="nil"/>
              <w:right w:val="nil"/>
            </w:tcBorders>
            <w:shd w:val="clear" w:color="auto" w:fill="auto"/>
            <w:vAlign w:val="center"/>
          </w:tcPr>
          <w:p w14:paraId="7D9DB7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0.557</w:t>
            </w:r>
          </w:p>
        </w:tc>
        <w:tc>
          <w:tcPr>
            <w:tcW w:w="0" w:type="auto"/>
            <w:tcBorders>
              <w:top w:val="nil"/>
              <w:left w:val="nil"/>
              <w:bottom w:val="nil"/>
              <w:right w:val="nil"/>
            </w:tcBorders>
            <w:shd w:val="clear" w:color="auto" w:fill="auto"/>
            <w:vAlign w:val="center"/>
          </w:tcPr>
          <w:p w14:paraId="2687F6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16.42% vs 18.15%</w:t>
            </w:r>
          </w:p>
        </w:tc>
        <w:tc>
          <w:tcPr>
            <w:tcW w:w="0" w:type="auto"/>
            <w:tcBorders>
              <w:top w:val="nil"/>
              <w:left w:val="nil"/>
              <w:bottom w:val="nil"/>
              <w:right w:val="nil"/>
            </w:tcBorders>
            <w:shd w:val="clear" w:color="auto" w:fill="auto"/>
            <w:vAlign w:val="center"/>
          </w:tcPr>
          <w:p w14:paraId="490C955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−1.74 pp (−7.51, 4.04)</w:t>
            </w:r>
          </w:p>
        </w:tc>
      </w:tr>
      <w:tr w:rsidR="00646F04" w:rsidRPr="00646F04" w14:paraId="389EEF5A" w14:textId="77777777" w:rsidTr="00646F04">
        <w:tc>
          <w:tcPr>
            <w:tcW w:w="0" w:type="auto"/>
            <w:tcBorders>
              <w:top w:val="nil"/>
              <w:left w:val="nil"/>
              <w:bottom w:val="nil"/>
              <w:right w:val="nil"/>
            </w:tcBorders>
            <w:shd w:val="clear" w:color="auto" w:fill="auto"/>
            <w:vAlign w:val="center"/>
          </w:tcPr>
          <w:p w14:paraId="3E80A35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680665A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5876482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IADL</w:t>
            </w:r>
          </w:p>
        </w:tc>
        <w:tc>
          <w:tcPr>
            <w:tcW w:w="0" w:type="auto"/>
            <w:tcBorders>
              <w:top w:val="nil"/>
              <w:left w:val="nil"/>
              <w:bottom w:val="nil"/>
              <w:right w:val="nil"/>
            </w:tcBorders>
            <w:shd w:val="clear" w:color="auto" w:fill="auto"/>
            <w:vAlign w:val="center"/>
          </w:tcPr>
          <w:p w14:paraId="4CBAD8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1,778/190</w:t>
            </w:r>
          </w:p>
        </w:tc>
        <w:tc>
          <w:tcPr>
            <w:tcW w:w="0" w:type="auto"/>
            <w:tcBorders>
              <w:top w:val="nil"/>
              <w:left w:val="nil"/>
              <w:bottom w:val="nil"/>
              <w:right w:val="nil"/>
            </w:tcBorders>
            <w:shd w:val="clear" w:color="auto" w:fill="auto"/>
            <w:vAlign w:val="center"/>
          </w:tcPr>
          <w:p w14:paraId="3710D2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1.146 (0.721–1.821)</w:t>
            </w:r>
          </w:p>
        </w:tc>
        <w:tc>
          <w:tcPr>
            <w:tcW w:w="0" w:type="auto"/>
            <w:tcBorders>
              <w:top w:val="nil"/>
              <w:left w:val="nil"/>
              <w:bottom w:val="nil"/>
              <w:right w:val="nil"/>
            </w:tcBorders>
            <w:shd w:val="clear" w:color="auto" w:fill="auto"/>
            <w:vAlign w:val="center"/>
          </w:tcPr>
          <w:p w14:paraId="1B7AEC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1.040 (0.625–1.731)</w:t>
            </w:r>
          </w:p>
        </w:tc>
        <w:tc>
          <w:tcPr>
            <w:tcW w:w="0" w:type="auto"/>
            <w:tcBorders>
              <w:top w:val="nil"/>
              <w:left w:val="nil"/>
              <w:bottom w:val="nil"/>
              <w:right w:val="nil"/>
            </w:tcBorders>
            <w:shd w:val="clear" w:color="auto" w:fill="auto"/>
            <w:vAlign w:val="center"/>
          </w:tcPr>
          <w:p w14:paraId="55D4C9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0.880</w:t>
            </w:r>
          </w:p>
        </w:tc>
        <w:tc>
          <w:tcPr>
            <w:tcW w:w="0" w:type="auto"/>
            <w:tcBorders>
              <w:top w:val="nil"/>
              <w:left w:val="nil"/>
              <w:bottom w:val="nil"/>
              <w:right w:val="nil"/>
            </w:tcBorders>
            <w:shd w:val="clear" w:color="auto" w:fill="auto"/>
            <w:vAlign w:val="center"/>
          </w:tcPr>
          <w:p w14:paraId="5F4644F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8.53% vs 8.28%</w:t>
            </w:r>
          </w:p>
        </w:tc>
        <w:tc>
          <w:tcPr>
            <w:tcW w:w="0" w:type="auto"/>
            <w:tcBorders>
              <w:top w:val="nil"/>
              <w:left w:val="nil"/>
              <w:bottom w:val="nil"/>
              <w:right w:val="nil"/>
            </w:tcBorders>
            <w:shd w:val="clear" w:color="auto" w:fill="auto"/>
            <w:vAlign w:val="center"/>
          </w:tcPr>
          <w:p w14:paraId="25D006B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0.25 pp (−3.04, 3.55)</w:t>
            </w:r>
          </w:p>
        </w:tc>
      </w:tr>
      <w:tr w:rsidR="00646F04" w:rsidRPr="00646F04" w14:paraId="0AD929F7" w14:textId="77777777" w:rsidTr="00646F04">
        <w:tc>
          <w:tcPr>
            <w:tcW w:w="0" w:type="auto"/>
            <w:tcBorders>
              <w:top w:val="nil"/>
              <w:left w:val="nil"/>
              <w:bottom w:val="nil"/>
              <w:right w:val="nil"/>
            </w:tcBorders>
            <w:shd w:val="clear" w:color="auto" w:fill="auto"/>
            <w:vAlign w:val="center"/>
          </w:tcPr>
          <w:p w14:paraId="44512B1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78EF9B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B35FE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first new disease</w:t>
            </w:r>
          </w:p>
        </w:tc>
        <w:tc>
          <w:tcPr>
            <w:tcW w:w="0" w:type="auto"/>
            <w:tcBorders>
              <w:top w:val="nil"/>
              <w:left w:val="nil"/>
              <w:bottom w:val="nil"/>
              <w:right w:val="nil"/>
            </w:tcBorders>
            <w:shd w:val="clear" w:color="auto" w:fill="auto"/>
            <w:vAlign w:val="center"/>
          </w:tcPr>
          <w:p w14:paraId="0163A7B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3,157/678</w:t>
            </w:r>
          </w:p>
        </w:tc>
        <w:tc>
          <w:tcPr>
            <w:tcW w:w="0" w:type="auto"/>
            <w:tcBorders>
              <w:top w:val="nil"/>
              <w:left w:val="nil"/>
              <w:bottom w:val="nil"/>
              <w:right w:val="nil"/>
            </w:tcBorders>
            <w:shd w:val="clear" w:color="auto" w:fill="auto"/>
            <w:vAlign w:val="center"/>
          </w:tcPr>
          <w:p w14:paraId="6724C10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0.620 (0.497–0.772)</w:t>
            </w:r>
          </w:p>
        </w:tc>
        <w:tc>
          <w:tcPr>
            <w:tcW w:w="0" w:type="auto"/>
            <w:tcBorders>
              <w:top w:val="nil"/>
              <w:left w:val="nil"/>
              <w:bottom w:val="nil"/>
              <w:right w:val="nil"/>
            </w:tcBorders>
            <w:shd w:val="clear" w:color="auto" w:fill="auto"/>
            <w:vAlign w:val="center"/>
          </w:tcPr>
          <w:p w14:paraId="080E55A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0.638 (0.513–0.793)</w:t>
            </w:r>
          </w:p>
        </w:tc>
        <w:tc>
          <w:tcPr>
            <w:tcW w:w="0" w:type="auto"/>
            <w:tcBorders>
              <w:top w:val="nil"/>
              <w:left w:val="nil"/>
              <w:bottom w:val="nil"/>
              <w:right w:val="nil"/>
            </w:tcBorders>
            <w:shd w:val="clear" w:color="auto" w:fill="auto"/>
            <w:vAlign w:val="center"/>
          </w:tcPr>
          <w:p w14:paraId="28F8D5B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&lt;0.001</w:t>
            </w:r>
          </w:p>
        </w:tc>
        <w:tc>
          <w:tcPr>
            <w:tcW w:w="0" w:type="auto"/>
            <w:tcBorders>
              <w:top w:val="nil"/>
              <w:left w:val="nil"/>
              <w:bottom w:val="nil"/>
              <w:right w:val="nil"/>
            </w:tcBorders>
            <w:shd w:val="clear" w:color="auto" w:fill="auto"/>
            <w:vAlign w:val="center"/>
          </w:tcPr>
          <w:p w14:paraId="6D2C86F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32.64% vs 44.43%</w:t>
            </w:r>
          </w:p>
        </w:tc>
        <w:tc>
          <w:tcPr>
            <w:tcW w:w="0" w:type="auto"/>
            <w:tcBorders>
              <w:top w:val="nil"/>
              <w:left w:val="nil"/>
              <w:bottom w:val="nil"/>
              <w:right w:val="nil"/>
            </w:tcBorders>
            <w:shd w:val="clear" w:color="auto" w:fill="auto"/>
            <w:vAlign w:val="center"/>
          </w:tcPr>
          <w:p w14:paraId="6043246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−11.79 pp (−17.45, −6.13)</w:t>
            </w:r>
          </w:p>
        </w:tc>
      </w:tr>
      <w:tr w:rsidR="00646F04" w:rsidRPr="00646F04" w14:paraId="15110DB0" w14:textId="77777777" w:rsidTr="00646F04">
        <w:tc>
          <w:tcPr>
            <w:tcW w:w="0" w:type="auto"/>
            <w:tcBorders>
              <w:top w:val="nil"/>
              <w:left w:val="nil"/>
              <w:bottom w:val="nil"/>
              <w:right w:val="nil"/>
            </w:tcBorders>
            <w:shd w:val="clear" w:color="auto" w:fill="auto"/>
            <w:vAlign w:val="center"/>
          </w:tcPr>
          <w:p w14:paraId="482B9D5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4C3F8C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3D1087D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first new disease</w:t>
            </w:r>
          </w:p>
        </w:tc>
        <w:tc>
          <w:tcPr>
            <w:tcW w:w="0" w:type="auto"/>
            <w:tcBorders>
              <w:top w:val="nil"/>
              <w:left w:val="nil"/>
              <w:bottom w:val="nil"/>
              <w:right w:val="nil"/>
            </w:tcBorders>
            <w:shd w:val="clear" w:color="auto" w:fill="auto"/>
            <w:vAlign w:val="center"/>
          </w:tcPr>
          <w:p w14:paraId="3E3863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6,092/1,013</w:t>
            </w:r>
          </w:p>
        </w:tc>
        <w:tc>
          <w:tcPr>
            <w:tcW w:w="0" w:type="auto"/>
            <w:tcBorders>
              <w:top w:val="nil"/>
              <w:left w:val="nil"/>
              <w:bottom w:val="nil"/>
              <w:right w:val="nil"/>
            </w:tcBorders>
            <w:shd w:val="clear" w:color="auto" w:fill="auto"/>
            <w:vAlign w:val="center"/>
          </w:tcPr>
          <w:p w14:paraId="1454C78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0.836 (0.714–0.979)</w:t>
            </w:r>
          </w:p>
        </w:tc>
        <w:tc>
          <w:tcPr>
            <w:tcW w:w="0" w:type="auto"/>
            <w:tcBorders>
              <w:top w:val="nil"/>
              <w:left w:val="nil"/>
              <w:bottom w:val="nil"/>
              <w:right w:val="nil"/>
            </w:tcBorders>
            <w:shd w:val="clear" w:color="auto" w:fill="auto"/>
            <w:vAlign w:val="center"/>
          </w:tcPr>
          <w:p w14:paraId="137669A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0.854 (0.729–1.001)</w:t>
            </w:r>
          </w:p>
        </w:tc>
        <w:tc>
          <w:tcPr>
            <w:tcW w:w="0" w:type="auto"/>
            <w:tcBorders>
              <w:top w:val="nil"/>
              <w:left w:val="nil"/>
              <w:bottom w:val="nil"/>
              <w:right w:val="nil"/>
            </w:tcBorders>
            <w:shd w:val="clear" w:color="auto" w:fill="auto"/>
            <w:vAlign w:val="center"/>
          </w:tcPr>
          <w:p w14:paraId="40C09BB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0.051</w:t>
            </w:r>
          </w:p>
        </w:tc>
        <w:tc>
          <w:tcPr>
            <w:tcW w:w="0" w:type="auto"/>
            <w:tcBorders>
              <w:top w:val="nil"/>
              <w:left w:val="nil"/>
              <w:bottom w:val="nil"/>
              <w:right w:val="nil"/>
            </w:tcBorders>
            <w:shd w:val="clear" w:color="auto" w:fill="auto"/>
            <w:vAlign w:val="center"/>
          </w:tcPr>
          <w:p w14:paraId="38237A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32.17% vs 36.25%</w:t>
            </w:r>
          </w:p>
        </w:tc>
        <w:tc>
          <w:tcPr>
            <w:tcW w:w="0" w:type="auto"/>
            <w:tcBorders>
              <w:top w:val="nil"/>
              <w:left w:val="nil"/>
              <w:bottom w:val="nil"/>
              <w:right w:val="nil"/>
            </w:tcBorders>
            <w:shd w:val="clear" w:color="auto" w:fill="auto"/>
            <w:vAlign w:val="center"/>
          </w:tcPr>
          <w:p w14:paraId="442330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−4.09 pp (−8.14, −0.03)</w:t>
            </w:r>
          </w:p>
        </w:tc>
      </w:tr>
      <w:tr w:rsidR="00646F04" w:rsidRPr="00646F04" w14:paraId="7EC9FA6D" w14:textId="77777777" w:rsidTr="00646F04">
        <w:tc>
          <w:tcPr>
            <w:tcW w:w="0" w:type="auto"/>
            <w:tcBorders>
              <w:top w:val="nil"/>
              <w:left w:val="nil"/>
              <w:bottom w:val="nil"/>
              <w:right w:val="nil"/>
            </w:tcBorders>
            <w:shd w:val="clear" w:color="auto" w:fill="auto"/>
            <w:vAlign w:val="center"/>
          </w:tcPr>
          <w:p w14:paraId="4A46E2A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1C7289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711C27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incident ADL</w:t>
            </w:r>
          </w:p>
        </w:tc>
        <w:tc>
          <w:tcPr>
            <w:tcW w:w="0" w:type="auto"/>
            <w:tcBorders>
              <w:top w:val="nil"/>
              <w:left w:val="nil"/>
              <w:bottom w:val="nil"/>
              <w:right w:val="nil"/>
            </w:tcBorders>
            <w:shd w:val="clear" w:color="auto" w:fill="auto"/>
            <w:vAlign w:val="center"/>
          </w:tcPr>
          <w:p w14:paraId="602915E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2,894/496</w:t>
            </w:r>
          </w:p>
        </w:tc>
        <w:tc>
          <w:tcPr>
            <w:tcW w:w="0" w:type="auto"/>
            <w:tcBorders>
              <w:top w:val="nil"/>
              <w:left w:val="nil"/>
              <w:bottom w:val="nil"/>
              <w:right w:val="nil"/>
            </w:tcBorders>
            <w:shd w:val="clear" w:color="auto" w:fill="auto"/>
            <w:vAlign w:val="center"/>
          </w:tcPr>
          <w:p w14:paraId="2339B3E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0.739 (0.533–1.024)</w:t>
            </w:r>
          </w:p>
        </w:tc>
        <w:tc>
          <w:tcPr>
            <w:tcW w:w="0" w:type="auto"/>
            <w:tcBorders>
              <w:top w:val="nil"/>
              <w:left w:val="nil"/>
              <w:bottom w:val="nil"/>
              <w:right w:val="nil"/>
            </w:tcBorders>
            <w:shd w:val="clear" w:color="auto" w:fill="auto"/>
            <w:vAlign w:val="center"/>
          </w:tcPr>
          <w:p w14:paraId="77B78A3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0.747 (0.545–1.024)</w:t>
            </w:r>
          </w:p>
        </w:tc>
        <w:tc>
          <w:tcPr>
            <w:tcW w:w="0" w:type="auto"/>
            <w:tcBorders>
              <w:top w:val="nil"/>
              <w:left w:val="nil"/>
              <w:bottom w:val="nil"/>
              <w:right w:val="nil"/>
            </w:tcBorders>
            <w:shd w:val="clear" w:color="auto" w:fill="auto"/>
            <w:vAlign w:val="center"/>
          </w:tcPr>
          <w:p w14:paraId="573E76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0.070</w:t>
            </w:r>
          </w:p>
        </w:tc>
        <w:tc>
          <w:tcPr>
            <w:tcW w:w="0" w:type="auto"/>
            <w:tcBorders>
              <w:top w:val="nil"/>
              <w:left w:val="nil"/>
              <w:bottom w:val="nil"/>
              <w:right w:val="nil"/>
            </w:tcBorders>
            <w:shd w:val="clear" w:color="auto" w:fill="auto"/>
            <w:vAlign w:val="center"/>
          </w:tcPr>
          <w:p w14:paraId="124F968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27.55% vs 34.17%</w:t>
            </w:r>
          </w:p>
        </w:tc>
        <w:tc>
          <w:tcPr>
            <w:tcW w:w="0" w:type="auto"/>
            <w:tcBorders>
              <w:top w:val="nil"/>
              <w:left w:val="nil"/>
              <w:bottom w:val="nil"/>
              <w:right w:val="nil"/>
            </w:tcBorders>
            <w:shd w:val="clear" w:color="auto" w:fill="auto"/>
            <w:vAlign w:val="center"/>
          </w:tcPr>
          <w:p w14:paraId="124F144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−6.62 pp (−13.64, 0.39)</w:t>
            </w:r>
          </w:p>
        </w:tc>
      </w:tr>
      <w:tr w:rsidR="00646F04" w:rsidRPr="00646F04" w14:paraId="2E93873F" w14:textId="77777777" w:rsidTr="00646F04">
        <w:tc>
          <w:tcPr>
            <w:tcW w:w="0" w:type="auto"/>
            <w:tcBorders>
              <w:top w:val="nil"/>
              <w:left w:val="nil"/>
              <w:bottom w:val="nil"/>
              <w:right w:val="nil"/>
            </w:tcBorders>
            <w:shd w:val="clear" w:color="auto" w:fill="auto"/>
            <w:vAlign w:val="center"/>
          </w:tcPr>
          <w:p w14:paraId="259913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7C8DB83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3E00D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incident ADL</w:t>
            </w:r>
          </w:p>
        </w:tc>
        <w:tc>
          <w:tcPr>
            <w:tcW w:w="0" w:type="auto"/>
            <w:tcBorders>
              <w:top w:val="nil"/>
              <w:left w:val="nil"/>
              <w:bottom w:val="nil"/>
              <w:right w:val="nil"/>
            </w:tcBorders>
            <w:shd w:val="clear" w:color="auto" w:fill="auto"/>
            <w:vAlign w:val="center"/>
          </w:tcPr>
          <w:p w14:paraId="257143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6,117/599</w:t>
            </w:r>
          </w:p>
        </w:tc>
        <w:tc>
          <w:tcPr>
            <w:tcW w:w="0" w:type="auto"/>
            <w:tcBorders>
              <w:top w:val="nil"/>
              <w:left w:val="nil"/>
              <w:bottom w:val="nil"/>
              <w:right w:val="nil"/>
            </w:tcBorders>
            <w:shd w:val="clear" w:color="auto" w:fill="auto"/>
            <w:vAlign w:val="center"/>
          </w:tcPr>
          <w:p w14:paraId="05430A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1.503 (1.162–1.944)</w:t>
            </w:r>
          </w:p>
        </w:tc>
        <w:tc>
          <w:tcPr>
            <w:tcW w:w="0" w:type="auto"/>
            <w:tcBorders>
              <w:top w:val="nil"/>
              <w:left w:val="nil"/>
              <w:bottom w:val="nil"/>
              <w:right w:val="nil"/>
            </w:tcBorders>
            <w:shd w:val="clear" w:color="auto" w:fill="auto"/>
            <w:vAlign w:val="center"/>
          </w:tcPr>
          <w:p w14:paraId="780259E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1.503 (1.154–1.958)</w:t>
            </w:r>
          </w:p>
        </w:tc>
        <w:tc>
          <w:tcPr>
            <w:tcW w:w="0" w:type="auto"/>
            <w:tcBorders>
              <w:top w:val="nil"/>
              <w:left w:val="nil"/>
              <w:bottom w:val="nil"/>
              <w:right w:val="nil"/>
            </w:tcBorders>
            <w:shd w:val="clear" w:color="auto" w:fill="auto"/>
            <w:vAlign w:val="center"/>
          </w:tcPr>
          <w:p w14:paraId="0D40B1D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0.003</w:t>
            </w:r>
          </w:p>
        </w:tc>
        <w:tc>
          <w:tcPr>
            <w:tcW w:w="0" w:type="auto"/>
            <w:tcBorders>
              <w:top w:val="nil"/>
              <w:left w:val="nil"/>
              <w:bottom w:val="nil"/>
              <w:right w:val="nil"/>
            </w:tcBorders>
            <w:shd w:val="clear" w:color="auto" w:fill="auto"/>
            <w:vAlign w:val="center"/>
          </w:tcPr>
          <w:p w14:paraId="05F254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23.96% vs 17.42%</w:t>
            </w:r>
          </w:p>
        </w:tc>
        <w:tc>
          <w:tcPr>
            <w:tcW w:w="0" w:type="auto"/>
            <w:tcBorders>
              <w:top w:val="nil"/>
              <w:left w:val="nil"/>
              <w:bottom w:val="nil"/>
              <w:right w:val="nil"/>
            </w:tcBorders>
            <w:shd w:val="clear" w:color="auto" w:fill="auto"/>
            <w:vAlign w:val="center"/>
          </w:tcPr>
          <w:p w14:paraId="3CAC06F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6.54 pp (2.35, 10.73)</w:t>
            </w:r>
          </w:p>
        </w:tc>
      </w:tr>
      <w:tr w:rsidR="00646F04" w:rsidRPr="00646F04" w14:paraId="14F40BF4" w14:textId="77777777" w:rsidTr="00646F04">
        <w:tc>
          <w:tcPr>
            <w:tcW w:w="0" w:type="auto"/>
            <w:tcBorders>
              <w:top w:val="nil"/>
              <w:left w:val="nil"/>
              <w:bottom w:val="nil"/>
              <w:right w:val="nil"/>
            </w:tcBorders>
            <w:shd w:val="clear" w:color="auto" w:fill="auto"/>
            <w:vAlign w:val="center"/>
          </w:tcPr>
          <w:p w14:paraId="6CB856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76CBF1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9003F7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incident IADL</w:t>
            </w:r>
          </w:p>
        </w:tc>
        <w:tc>
          <w:tcPr>
            <w:tcW w:w="0" w:type="auto"/>
            <w:tcBorders>
              <w:top w:val="nil"/>
              <w:left w:val="nil"/>
              <w:bottom w:val="nil"/>
              <w:right w:val="nil"/>
            </w:tcBorders>
            <w:shd w:val="clear" w:color="auto" w:fill="auto"/>
            <w:vAlign w:val="center"/>
          </w:tcPr>
          <w:p w14:paraId="698EA93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2,762/493</w:t>
            </w:r>
          </w:p>
        </w:tc>
        <w:tc>
          <w:tcPr>
            <w:tcW w:w="0" w:type="auto"/>
            <w:tcBorders>
              <w:top w:val="nil"/>
              <w:left w:val="nil"/>
              <w:bottom w:val="nil"/>
              <w:right w:val="nil"/>
            </w:tcBorders>
            <w:shd w:val="clear" w:color="auto" w:fill="auto"/>
            <w:vAlign w:val="center"/>
          </w:tcPr>
          <w:p w14:paraId="20FDA02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0.679 (0.511–0.901)</w:t>
            </w:r>
          </w:p>
        </w:tc>
        <w:tc>
          <w:tcPr>
            <w:tcW w:w="0" w:type="auto"/>
            <w:tcBorders>
              <w:top w:val="nil"/>
              <w:left w:val="nil"/>
              <w:bottom w:val="nil"/>
              <w:right w:val="nil"/>
            </w:tcBorders>
            <w:shd w:val="clear" w:color="auto" w:fill="auto"/>
            <w:vAlign w:val="center"/>
          </w:tcPr>
          <w:p w14:paraId="3CF5F2D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0.676 (0.514–0.889)</w:t>
            </w:r>
          </w:p>
        </w:tc>
        <w:tc>
          <w:tcPr>
            <w:tcW w:w="0" w:type="auto"/>
            <w:tcBorders>
              <w:top w:val="nil"/>
              <w:left w:val="nil"/>
              <w:bottom w:val="nil"/>
              <w:right w:val="nil"/>
            </w:tcBorders>
            <w:shd w:val="clear" w:color="auto" w:fill="auto"/>
            <w:vAlign w:val="center"/>
          </w:tcPr>
          <w:p w14:paraId="42716FC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0.005</w:t>
            </w:r>
          </w:p>
        </w:tc>
        <w:tc>
          <w:tcPr>
            <w:tcW w:w="0" w:type="auto"/>
            <w:tcBorders>
              <w:top w:val="nil"/>
              <w:left w:val="nil"/>
              <w:bottom w:val="nil"/>
              <w:right w:val="nil"/>
            </w:tcBorders>
            <w:shd w:val="clear" w:color="auto" w:fill="auto"/>
            <w:vAlign w:val="center"/>
          </w:tcPr>
          <w:p w14:paraId="14D9168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27.15% vs 36.02%</w:t>
            </w:r>
          </w:p>
        </w:tc>
        <w:tc>
          <w:tcPr>
            <w:tcW w:w="0" w:type="auto"/>
            <w:tcBorders>
              <w:top w:val="nil"/>
              <w:left w:val="nil"/>
              <w:bottom w:val="nil"/>
              <w:right w:val="nil"/>
            </w:tcBorders>
            <w:shd w:val="clear" w:color="auto" w:fill="auto"/>
            <w:vAlign w:val="center"/>
          </w:tcPr>
          <w:p w14:paraId="67431E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−8.87 pp (−14.83, −2.91)</w:t>
            </w:r>
          </w:p>
        </w:tc>
      </w:tr>
      <w:tr w:rsidR="00646F04" w:rsidRPr="00646F04" w14:paraId="21F276B8" w14:textId="77777777" w:rsidTr="00646F04">
        <w:tc>
          <w:tcPr>
            <w:tcW w:w="0" w:type="auto"/>
            <w:tcBorders>
              <w:top w:val="nil"/>
              <w:left w:val="nil"/>
              <w:bottom w:val="nil"/>
              <w:right w:val="nil"/>
            </w:tcBorders>
            <w:shd w:val="clear" w:color="auto" w:fill="auto"/>
            <w:vAlign w:val="center"/>
          </w:tcPr>
          <w:p w14:paraId="717B51E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2300EE1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75BAE1F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H3: incident IADL</w:t>
            </w:r>
          </w:p>
        </w:tc>
        <w:tc>
          <w:tcPr>
            <w:tcW w:w="0" w:type="auto"/>
            <w:tcBorders>
              <w:top w:val="nil"/>
              <w:left w:val="nil"/>
              <w:bottom w:val="nil"/>
              <w:right w:val="nil"/>
            </w:tcBorders>
            <w:shd w:val="clear" w:color="auto" w:fill="auto"/>
            <w:vAlign w:val="center"/>
          </w:tcPr>
          <w:p w14:paraId="1D7B93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5,769/468</w:t>
            </w:r>
          </w:p>
        </w:tc>
        <w:tc>
          <w:tcPr>
            <w:tcW w:w="0" w:type="auto"/>
            <w:tcBorders>
              <w:top w:val="nil"/>
              <w:left w:val="nil"/>
              <w:bottom w:val="nil"/>
              <w:right w:val="nil"/>
            </w:tcBorders>
            <w:shd w:val="clear" w:color="auto" w:fill="auto"/>
            <w:vAlign w:val="center"/>
          </w:tcPr>
          <w:p w14:paraId="28C351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1.277 (0.923–1.767)</w:t>
            </w:r>
          </w:p>
        </w:tc>
        <w:tc>
          <w:tcPr>
            <w:tcW w:w="0" w:type="auto"/>
            <w:tcBorders>
              <w:top w:val="nil"/>
              <w:left w:val="nil"/>
              <w:bottom w:val="nil"/>
              <w:right w:val="nil"/>
            </w:tcBorders>
            <w:shd w:val="clear" w:color="auto" w:fill="auto"/>
            <w:vAlign w:val="center"/>
          </w:tcPr>
          <w:p w14:paraId="682AAC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1.258 (0.902–1.755)</w:t>
            </w:r>
          </w:p>
        </w:tc>
        <w:tc>
          <w:tcPr>
            <w:tcW w:w="0" w:type="auto"/>
            <w:tcBorders>
              <w:top w:val="nil"/>
              <w:left w:val="nil"/>
              <w:bottom w:val="nil"/>
              <w:right w:val="nil"/>
            </w:tcBorders>
            <w:shd w:val="clear" w:color="auto" w:fill="auto"/>
            <w:vAlign w:val="center"/>
          </w:tcPr>
          <w:p w14:paraId="48207FC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0.177</w:t>
            </w:r>
          </w:p>
        </w:tc>
        <w:tc>
          <w:tcPr>
            <w:tcW w:w="0" w:type="auto"/>
            <w:tcBorders>
              <w:top w:val="nil"/>
              <w:left w:val="nil"/>
              <w:bottom w:val="nil"/>
              <w:right w:val="nil"/>
            </w:tcBorders>
            <w:shd w:val="clear" w:color="auto" w:fill="auto"/>
            <w:vAlign w:val="center"/>
          </w:tcPr>
          <w:p w14:paraId="21D1E60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16.89% vs 13.97%</w:t>
            </w:r>
          </w:p>
        </w:tc>
        <w:tc>
          <w:tcPr>
            <w:tcW w:w="0" w:type="auto"/>
            <w:tcBorders>
              <w:top w:val="nil"/>
              <w:left w:val="nil"/>
              <w:bottom w:val="nil"/>
              <w:right w:val="nil"/>
            </w:tcBorders>
            <w:shd w:val="clear" w:color="auto" w:fill="auto"/>
            <w:vAlign w:val="center"/>
          </w:tcPr>
          <w:p w14:paraId="0C728F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2.92 pp (−1.37, 7.21)</w:t>
            </w:r>
          </w:p>
        </w:tc>
      </w:tr>
      <w:tr w:rsidR="00646F04" w:rsidRPr="00646F04" w14:paraId="3320E579" w14:textId="77777777" w:rsidTr="00646F04">
        <w:tc>
          <w:tcPr>
            <w:tcW w:w="0" w:type="auto"/>
            <w:tcBorders>
              <w:top w:val="nil"/>
              <w:left w:val="nil"/>
              <w:bottom w:val="nil"/>
              <w:right w:val="nil"/>
            </w:tcBorders>
            <w:shd w:val="clear" w:color="auto" w:fill="auto"/>
            <w:vAlign w:val="center"/>
          </w:tcPr>
          <w:p w14:paraId="6DC1307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276CDA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6079D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H2: ADL</w:t>
            </w:r>
          </w:p>
        </w:tc>
        <w:tc>
          <w:tcPr>
            <w:tcW w:w="0" w:type="auto"/>
            <w:tcBorders>
              <w:top w:val="nil"/>
              <w:left w:val="nil"/>
              <w:bottom w:val="nil"/>
              <w:right w:val="nil"/>
            </w:tcBorders>
            <w:shd w:val="clear" w:color="auto" w:fill="auto"/>
            <w:vAlign w:val="center"/>
          </w:tcPr>
          <w:p w14:paraId="3D33C20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841/154</w:t>
            </w:r>
          </w:p>
        </w:tc>
        <w:tc>
          <w:tcPr>
            <w:tcW w:w="0" w:type="auto"/>
            <w:tcBorders>
              <w:top w:val="nil"/>
              <w:left w:val="nil"/>
              <w:bottom w:val="nil"/>
              <w:right w:val="nil"/>
            </w:tcBorders>
            <w:shd w:val="clear" w:color="auto" w:fill="auto"/>
            <w:vAlign w:val="center"/>
          </w:tcPr>
          <w:p w14:paraId="05A83D6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1.049 (0.631–1.742)</w:t>
            </w:r>
          </w:p>
        </w:tc>
        <w:tc>
          <w:tcPr>
            <w:tcW w:w="0" w:type="auto"/>
            <w:tcBorders>
              <w:top w:val="nil"/>
              <w:left w:val="nil"/>
              <w:bottom w:val="nil"/>
              <w:right w:val="nil"/>
            </w:tcBorders>
            <w:shd w:val="clear" w:color="auto" w:fill="auto"/>
            <w:vAlign w:val="center"/>
          </w:tcPr>
          <w:p w14:paraId="224923C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1.063 (0.644–1.755)</w:t>
            </w:r>
          </w:p>
        </w:tc>
        <w:tc>
          <w:tcPr>
            <w:tcW w:w="0" w:type="auto"/>
            <w:tcBorders>
              <w:top w:val="nil"/>
              <w:left w:val="nil"/>
              <w:bottom w:val="nil"/>
              <w:right w:val="nil"/>
            </w:tcBorders>
            <w:shd w:val="clear" w:color="auto" w:fill="auto"/>
            <w:vAlign w:val="center"/>
          </w:tcPr>
          <w:p w14:paraId="6AEDCD4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0.811</w:t>
            </w:r>
          </w:p>
        </w:tc>
        <w:tc>
          <w:tcPr>
            <w:tcW w:w="0" w:type="auto"/>
            <w:tcBorders>
              <w:top w:val="nil"/>
              <w:left w:val="nil"/>
              <w:bottom w:val="nil"/>
              <w:right w:val="nil"/>
            </w:tcBorders>
            <w:shd w:val="clear" w:color="auto" w:fill="auto"/>
            <w:vAlign w:val="center"/>
          </w:tcPr>
          <w:p w14:paraId="3FE8E3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18.74% vs 17.96%</w:t>
            </w:r>
          </w:p>
        </w:tc>
        <w:tc>
          <w:tcPr>
            <w:tcW w:w="0" w:type="auto"/>
            <w:tcBorders>
              <w:top w:val="nil"/>
              <w:left w:val="nil"/>
              <w:bottom w:val="nil"/>
              <w:right w:val="nil"/>
            </w:tcBorders>
            <w:shd w:val="clear" w:color="auto" w:fill="auto"/>
            <w:vAlign w:val="center"/>
          </w:tcPr>
          <w:p w14:paraId="6473376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0.78 pp (−5.58, 7.14)</w:t>
            </w:r>
          </w:p>
        </w:tc>
      </w:tr>
      <w:tr w:rsidR="00646F04" w:rsidRPr="00646F04" w14:paraId="69881F36" w14:textId="77777777" w:rsidTr="00646F04">
        <w:tc>
          <w:tcPr>
            <w:tcW w:w="0" w:type="auto"/>
            <w:tcBorders>
              <w:top w:val="nil"/>
              <w:left w:val="nil"/>
              <w:bottom w:val="nil"/>
              <w:right w:val="nil"/>
            </w:tcBorders>
            <w:shd w:val="clear" w:color="auto" w:fill="auto"/>
            <w:vAlign w:val="center"/>
          </w:tcPr>
          <w:p w14:paraId="10102D4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57A49F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174D06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H2: ADL</w:t>
            </w:r>
          </w:p>
        </w:tc>
        <w:tc>
          <w:tcPr>
            <w:tcW w:w="0" w:type="auto"/>
            <w:tcBorders>
              <w:top w:val="nil"/>
              <w:left w:val="nil"/>
              <w:bottom w:val="nil"/>
              <w:right w:val="nil"/>
            </w:tcBorders>
            <w:shd w:val="clear" w:color="auto" w:fill="auto"/>
            <w:vAlign w:val="center"/>
          </w:tcPr>
          <w:p w14:paraId="596B5C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817/94</w:t>
            </w:r>
          </w:p>
        </w:tc>
        <w:tc>
          <w:tcPr>
            <w:tcW w:w="0" w:type="auto"/>
            <w:tcBorders>
              <w:top w:val="nil"/>
              <w:left w:val="nil"/>
              <w:bottom w:val="nil"/>
              <w:right w:val="nil"/>
            </w:tcBorders>
            <w:shd w:val="clear" w:color="auto" w:fill="auto"/>
            <w:vAlign w:val="center"/>
          </w:tcPr>
          <w:p w14:paraId="06D401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2.046 (0.889–4.708)</w:t>
            </w:r>
          </w:p>
        </w:tc>
        <w:tc>
          <w:tcPr>
            <w:tcW w:w="0" w:type="auto"/>
            <w:tcBorders>
              <w:top w:val="nil"/>
              <w:left w:val="nil"/>
              <w:bottom w:val="nil"/>
              <w:right w:val="nil"/>
            </w:tcBorders>
            <w:shd w:val="clear" w:color="auto" w:fill="auto"/>
            <w:vAlign w:val="center"/>
          </w:tcPr>
          <w:p w14:paraId="0E48CF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2.252 (1.041–4.873)</w:t>
            </w:r>
          </w:p>
        </w:tc>
        <w:tc>
          <w:tcPr>
            <w:tcW w:w="0" w:type="auto"/>
            <w:tcBorders>
              <w:top w:val="nil"/>
              <w:left w:val="nil"/>
              <w:bottom w:val="nil"/>
              <w:right w:val="nil"/>
            </w:tcBorders>
            <w:shd w:val="clear" w:color="auto" w:fill="auto"/>
            <w:vAlign w:val="center"/>
          </w:tcPr>
          <w:p w14:paraId="1A45A9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0.039</w:t>
            </w:r>
          </w:p>
        </w:tc>
        <w:tc>
          <w:tcPr>
            <w:tcW w:w="0" w:type="auto"/>
            <w:tcBorders>
              <w:top w:val="nil"/>
              <w:left w:val="nil"/>
              <w:bottom w:val="nil"/>
              <w:right w:val="nil"/>
            </w:tcBorders>
            <w:shd w:val="clear" w:color="auto" w:fill="auto"/>
            <w:vAlign w:val="center"/>
          </w:tcPr>
          <w:p w14:paraId="7D74DB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11.96% vs 6.46%</w:t>
            </w:r>
          </w:p>
        </w:tc>
        <w:tc>
          <w:tcPr>
            <w:tcW w:w="0" w:type="auto"/>
            <w:tcBorders>
              <w:top w:val="nil"/>
              <w:left w:val="nil"/>
              <w:bottom w:val="nil"/>
              <w:right w:val="nil"/>
            </w:tcBorders>
            <w:shd w:val="clear" w:color="auto" w:fill="auto"/>
            <w:vAlign w:val="center"/>
          </w:tcPr>
          <w:p w14:paraId="071C73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5.50 pp (0.75, 10.25)</w:t>
            </w:r>
          </w:p>
        </w:tc>
      </w:tr>
      <w:tr w:rsidR="00646F04" w:rsidRPr="00646F04" w14:paraId="179F8B12" w14:textId="77777777" w:rsidTr="00646F04">
        <w:tc>
          <w:tcPr>
            <w:tcW w:w="0" w:type="auto"/>
            <w:tcBorders>
              <w:top w:val="nil"/>
              <w:left w:val="nil"/>
              <w:bottom w:val="nil"/>
              <w:right w:val="nil"/>
            </w:tcBorders>
            <w:shd w:val="clear" w:color="auto" w:fill="auto"/>
            <w:vAlign w:val="center"/>
          </w:tcPr>
          <w:p w14:paraId="2622446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0BA782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44B387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 vs H4: ADL</w:t>
            </w:r>
          </w:p>
        </w:tc>
        <w:tc>
          <w:tcPr>
            <w:tcW w:w="0" w:type="auto"/>
            <w:tcBorders>
              <w:top w:val="nil"/>
              <w:left w:val="nil"/>
              <w:bottom w:val="nil"/>
              <w:right w:val="nil"/>
            </w:tcBorders>
            <w:shd w:val="clear" w:color="auto" w:fill="auto"/>
            <w:vAlign w:val="center"/>
          </w:tcPr>
          <w:p w14:paraId="44C1651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1,329/321</w:t>
            </w:r>
          </w:p>
        </w:tc>
        <w:tc>
          <w:tcPr>
            <w:tcW w:w="0" w:type="auto"/>
            <w:tcBorders>
              <w:top w:val="nil"/>
              <w:left w:val="nil"/>
              <w:bottom w:val="nil"/>
              <w:right w:val="nil"/>
            </w:tcBorders>
            <w:shd w:val="clear" w:color="auto" w:fill="auto"/>
            <w:vAlign w:val="center"/>
          </w:tcPr>
          <w:p w14:paraId="4A4F66D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1.606 (1.108–2.328)</w:t>
            </w:r>
          </w:p>
        </w:tc>
        <w:tc>
          <w:tcPr>
            <w:tcW w:w="0" w:type="auto"/>
            <w:tcBorders>
              <w:top w:val="nil"/>
              <w:left w:val="nil"/>
              <w:bottom w:val="nil"/>
              <w:right w:val="nil"/>
            </w:tcBorders>
            <w:shd w:val="clear" w:color="auto" w:fill="auto"/>
            <w:vAlign w:val="center"/>
          </w:tcPr>
          <w:p w14:paraId="63281C6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1.584 (1.080–2.325)</w:t>
            </w:r>
          </w:p>
        </w:tc>
        <w:tc>
          <w:tcPr>
            <w:tcW w:w="0" w:type="auto"/>
            <w:tcBorders>
              <w:top w:val="nil"/>
              <w:left w:val="nil"/>
              <w:bottom w:val="nil"/>
              <w:right w:val="nil"/>
            </w:tcBorders>
            <w:shd w:val="clear" w:color="auto" w:fill="auto"/>
            <w:vAlign w:val="center"/>
          </w:tcPr>
          <w:p w14:paraId="14D6189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0.019</w:t>
            </w:r>
          </w:p>
        </w:tc>
        <w:tc>
          <w:tcPr>
            <w:tcW w:w="0" w:type="auto"/>
            <w:tcBorders>
              <w:top w:val="nil"/>
              <w:left w:val="nil"/>
              <w:bottom w:val="nil"/>
              <w:right w:val="nil"/>
            </w:tcBorders>
            <w:shd w:val="clear" w:color="auto" w:fill="auto"/>
            <w:vAlign w:val="center"/>
          </w:tcPr>
          <w:p w14:paraId="7479769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22.69% vs 16.82%</w:t>
            </w:r>
          </w:p>
        </w:tc>
        <w:tc>
          <w:tcPr>
            <w:tcW w:w="0" w:type="auto"/>
            <w:tcBorders>
              <w:top w:val="nil"/>
              <w:left w:val="nil"/>
              <w:bottom w:val="nil"/>
              <w:right w:val="nil"/>
            </w:tcBorders>
            <w:shd w:val="clear" w:color="auto" w:fill="auto"/>
            <w:vAlign w:val="center"/>
          </w:tcPr>
          <w:p w14:paraId="72C8ACF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5.87 pp (1.15, 10.60)</w:t>
            </w:r>
          </w:p>
        </w:tc>
      </w:tr>
      <w:tr w:rsidR="00646F04" w:rsidRPr="00646F04" w14:paraId="6E2F3544" w14:textId="77777777" w:rsidTr="00646F04">
        <w:tc>
          <w:tcPr>
            <w:tcW w:w="0" w:type="auto"/>
            <w:tcBorders>
              <w:top w:val="nil"/>
              <w:left w:val="nil"/>
              <w:bottom w:val="nil"/>
              <w:right w:val="nil"/>
            </w:tcBorders>
            <w:shd w:val="clear" w:color="auto" w:fill="auto"/>
            <w:vAlign w:val="center"/>
          </w:tcPr>
          <w:p w14:paraId="5EA6EC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 4 y</w:t>
            </w:r>
          </w:p>
        </w:tc>
        <w:tc>
          <w:tcPr>
            <w:tcW w:w="0" w:type="auto"/>
            <w:tcBorders>
              <w:top w:val="nil"/>
              <w:left w:val="nil"/>
              <w:bottom w:val="nil"/>
              <w:right w:val="nil"/>
            </w:tcBorders>
            <w:shd w:val="clear" w:color="auto" w:fill="auto"/>
            <w:vAlign w:val="center"/>
          </w:tcPr>
          <w:p w14:paraId="44C08FB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A56068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 vs H4: ADL</w:t>
            </w:r>
          </w:p>
        </w:tc>
        <w:tc>
          <w:tcPr>
            <w:tcW w:w="0" w:type="auto"/>
            <w:tcBorders>
              <w:top w:val="nil"/>
              <w:left w:val="nil"/>
              <w:bottom w:val="nil"/>
              <w:right w:val="nil"/>
            </w:tcBorders>
            <w:shd w:val="clear" w:color="auto" w:fill="auto"/>
            <w:vAlign w:val="center"/>
          </w:tcPr>
          <w:p w14:paraId="4144E8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5,483/711</w:t>
            </w:r>
          </w:p>
        </w:tc>
        <w:tc>
          <w:tcPr>
            <w:tcW w:w="0" w:type="auto"/>
            <w:tcBorders>
              <w:top w:val="nil"/>
              <w:left w:val="nil"/>
              <w:bottom w:val="nil"/>
              <w:right w:val="nil"/>
            </w:tcBorders>
            <w:shd w:val="clear" w:color="auto" w:fill="auto"/>
            <w:vAlign w:val="center"/>
          </w:tcPr>
          <w:p w14:paraId="0B8AA66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1.088 (0.887–1.335)</w:t>
            </w:r>
          </w:p>
        </w:tc>
        <w:tc>
          <w:tcPr>
            <w:tcW w:w="0" w:type="auto"/>
            <w:tcBorders>
              <w:top w:val="nil"/>
              <w:left w:val="nil"/>
              <w:bottom w:val="nil"/>
              <w:right w:val="nil"/>
            </w:tcBorders>
            <w:shd w:val="clear" w:color="auto" w:fill="auto"/>
            <w:vAlign w:val="center"/>
          </w:tcPr>
          <w:p w14:paraId="611E00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1.055 (0.856–1.300)</w:t>
            </w:r>
          </w:p>
        </w:tc>
        <w:tc>
          <w:tcPr>
            <w:tcW w:w="0" w:type="auto"/>
            <w:tcBorders>
              <w:top w:val="nil"/>
              <w:left w:val="nil"/>
              <w:bottom w:val="nil"/>
              <w:right w:val="nil"/>
            </w:tcBorders>
            <w:shd w:val="clear" w:color="auto" w:fill="auto"/>
            <w:vAlign w:val="center"/>
          </w:tcPr>
          <w:p w14:paraId="570EB47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0.618</w:t>
            </w:r>
          </w:p>
        </w:tc>
        <w:tc>
          <w:tcPr>
            <w:tcW w:w="0" w:type="auto"/>
            <w:tcBorders>
              <w:top w:val="nil"/>
              <w:left w:val="nil"/>
              <w:bottom w:val="nil"/>
              <w:right w:val="nil"/>
            </w:tcBorders>
            <w:shd w:val="clear" w:color="auto" w:fill="auto"/>
            <w:vAlign w:val="center"/>
          </w:tcPr>
          <w:p w14:paraId="6A2E0B5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12.25% vs 11.76%</w:t>
            </w:r>
          </w:p>
        </w:tc>
        <w:tc>
          <w:tcPr>
            <w:tcW w:w="0" w:type="auto"/>
            <w:tcBorders>
              <w:top w:val="nil"/>
              <w:left w:val="nil"/>
              <w:bottom w:val="nil"/>
              <w:right w:val="nil"/>
            </w:tcBorders>
            <w:shd w:val="clear" w:color="auto" w:fill="auto"/>
            <w:vAlign w:val="center"/>
          </w:tcPr>
          <w:p w14:paraId="0376588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0.49 pp (−1.45, 2.43)</w:t>
            </w:r>
          </w:p>
        </w:tc>
      </w:tr>
      <w:tr w:rsidR="00646F04" w:rsidRPr="00646F04" w14:paraId="4B446213" w14:textId="77777777" w:rsidTr="00646F04">
        <w:tc>
          <w:tcPr>
            <w:tcW w:w="0" w:type="auto"/>
            <w:tcBorders>
              <w:top w:val="nil"/>
              <w:left w:val="nil"/>
              <w:bottom w:val="nil"/>
              <w:right w:val="nil"/>
            </w:tcBorders>
            <w:shd w:val="clear" w:color="auto" w:fill="auto"/>
            <w:vAlign w:val="center"/>
          </w:tcPr>
          <w:p w14:paraId="241B661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nil"/>
              <w:right w:val="nil"/>
            </w:tcBorders>
            <w:shd w:val="clear" w:color="auto" w:fill="auto"/>
            <w:vAlign w:val="center"/>
          </w:tcPr>
          <w:p w14:paraId="4A2777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671EC92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 vs H4: incident ADL</w:t>
            </w:r>
          </w:p>
        </w:tc>
        <w:tc>
          <w:tcPr>
            <w:tcW w:w="0" w:type="auto"/>
            <w:tcBorders>
              <w:top w:val="nil"/>
              <w:left w:val="nil"/>
              <w:bottom w:val="nil"/>
              <w:right w:val="nil"/>
            </w:tcBorders>
            <w:shd w:val="clear" w:color="auto" w:fill="auto"/>
            <w:vAlign w:val="center"/>
          </w:tcPr>
          <w:p w14:paraId="23189EF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3,828/751</w:t>
            </w:r>
          </w:p>
        </w:tc>
        <w:tc>
          <w:tcPr>
            <w:tcW w:w="0" w:type="auto"/>
            <w:tcBorders>
              <w:top w:val="nil"/>
              <w:left w:val="nil"/>
              <w:bottom w:val="nil"/>
              <w:right w:val="nil"/>
            </w:tcBorders>
            <w:shd w:val="clear" w:color="auto" w:fill="auto"/>
            <w:vAlign w:val="center"/>
          </w:tcPr>
          <w:p w14:paraId="0298090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1.345 (1.096–1.650)</w:t>
            </w:r>
          </w:p>
        </w:tc>
        <w:tc>
          <w:tcPr>
            <w:tcW w:w="0" w:type="auto"/>
            <w:tcBorders>
              <w:top w:val="nil"/>
              <w:left w:val="nil"/>
              <w:bottom w:val="nil"/>
              <w:right w:val="nil"/>
            </w:tcBorders>
            <w:shd w:val="clear" w:color="auto" w:fill="auto"/>
            <w:vAlign w:val="center"/>
          </w:tcPr>
          <w:p w14:paraId="1D9E54F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1.335 (1.086–1.641)</w:t>
            </w:r>
          </w:p>
        </w:tc>
        <w:tc>
          <w:tcPr>
            <w:tcW w:w="0" w:type="auto"/>
            <w:tcBorders>
              <w:top w:val="nil"/>
              <w:left w:val="nil"/>
              <w:bottom w:val="nil"/>
              <w:right w:val="nil"/>
            </w:tcBorders>
            <w:shd w:val="clear" w:color="auto" w:fill="auto"/>
            <w:vAlign w:val="center"/>
          </w:tcPr>
          <w:p w14:paraId="5E2D526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0.006</w:t>
            </w:r>
          </w:p>
        </w:tc>
        <w:tc>
          <w:tcPr>
            <w:tcW w:w="0" w:type="auto"/>
            <w:tcBorders>
              <w:top w:val="nil"/>
              <w:left w:val="nil"/>
              <w:bottom w:val="nil"/>
              <w:right w:val="nil"/>
            </w:tcBorders>
            <w:shd w:val="clear" w:color="auto" w:fill="auto"/>
            <w:vAlign w:val="center"/>
          </w:tcPr>
          <w:p w14:paraId="0BBF3AB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34.70% vs 28.01%</w:t>
            </w:r>
          </w:p>
        </w:tc>
        <w:tc>
          <w:tcPr>
            <w:tcW w:w="0" w:type="auto"/>
            <w:tcBorders>
              <w:top w:val="nil"/>
              <w:left w:val="nil"/>
              <w:bottom w:val="nil"/>
              <w:right w:val="nil"/>
            </w:tcBorders>
            <w:shd w:val="clear" w:color="auto" w:fill="auto"/>
            <w:vAlign w:val="center"/>
          </w:tcPr>
          <w:p w14:paraId="423D78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6.69 pp (1.87, 11.51)</w:t>
            </w:r>
          </w:p>
        </w:tc>
      </w:tr>
      <w:tr w:rsidR="00646F04" w:rsidRPr="00646F04" w14:paraId="4870BA7A" w14:textId="77777777" w:rsidTr="00646F04">
        <w:tc>
          <w:tcPr>
            <w:tcW w:w="0" w:type="auto"/>
            <w:tcBorders>
              <w:top w:val="nil"/>
              <w:left w:val="nil"/>
              <w:bottom w:val="single" w:sz="8" w:space="0" w:color="404040"/>
              <w:right w:val="nil"/>
            </w:tcBorders>
            <w:shd w:val="clear" w:color="auto" w:fill="auto"/>
            <w:vAlign w:val="center"/>
          </w:tcPr>
          <w:p w14:paraId="197346C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 wave to 2018</w:t>
            </w:r>
          </w:p>
        </w:tc>
        <w:tc>
          <w:tcPr>
            <w:tcW w:w="0" w:type="auto"/>
            <w:tcBorders>
              <w:top w:val="nil"/>
              <w:left w:val="nil"/>
              <w:bottom w:val="single" w:sz="8" w:space="0" w:color="404040"/>
              <w:right w:val="nil"/>
            </w:tcBorders>
            <w:shd w:val="clear" w:color="auto" w:fill="auto"/>
            <w:vAlign w:val="center"/>
          </w:tcPr>
          <w:p w14:paraId="766DF10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72C4FC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H3 vs H4: incident ADL</w:t>
            </w:r>
          </w:p>
        </w:tc>
        <w:tc>
          <w:tcPr>
            <w:tcW w:w="0" w:type="auto"/>
            <w:tcBorders>
              <w:top w:val="nil"/>
              <w:left w:val="nil"/>
              <w:bottom w:val="single" w:sz="8" w:space="0" w:color="404040"/>
              <w:right w:val="nil"/>
            </w:tcBorders>
            <w:shd w:val="clear" w:color="auto" w:fill="auto"/>
            <w:vAlign w:val="center"/>
          </w:tcPr>
          <w:p w14:paraId="0A231B2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18,171/2,004</w:t>
            </w:r>
          </w:p>
        </w:tc>
        <w:tc>
          <w:tcPr>
            <w:tcW w:w="0" w:type="auto"/>
            <w:tcBorders>
              <w:top w:val="nil"/>
              <w:left w:val="nil"/>
              <w:bottom w:val="single" w:sz="8" w:space="0" w:color="404040"/>
              <w:right w:val="nil"/>
            </w:tcBorders>
            <w:shd w:val="clear" w:color="auto" w:fill="auto"/>
            <w:vAlign w:val="center"/>
          </w:tcPr>
          <w:p w14:paraId="7FD5FA3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1.073 (0.950–1.211)</w:t>
            </w:r>
          </w:p>
        </w:tc>
        <w:tc>
          <w:tcPr>
            <w:tcW w:w="0" w:type="auto"/>
            <w:tcBorders>
              <w:top w:val="nil"/>
              <w:left w:val="nil"/>
              <w:bottom w:val="single" w:sz="8" w:space="0" w:color="404040"/>
              <w:right w:val="nil"/>
            </w:tcBorders>
            <w:shd w:val="clear" w:color="auto" w:fill="auto"/>
            <w:vAlign w:val="center"/>
          </w:tcPr>
          <w:p w14:paraId="4EEDEA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1.060 (0.936–1.200)</w:t>
            </w:r>
          </w:p>
        </w:tc>
        <w:tc>
          <w:tcPr>
            <w:tcW w:w="0" w:type="auto"/>
            <w:tcBorders>
              <w:top w:val="nil"/>
              <w:left w:val="nil"/>
              <w:bottom w:val="single" w:sz="8" w:space="0" w:color="404040"/>
              <w:right w:val="nil"/>
            </w:tcBorders>
            <w:shd w:val="clear" w:color="auto" w:fill="auto"/>
            <w:vAlign w:val="center"/>
          </w:tcPr>
          <w:p w14:paraId="183C948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0.357</w:t>
            </w:r>
          </w:p>
        </w:tc>
        <w:tc>
          <w:tcPr>
            <w:tcW w:w="0" w:type="auto"/>
            <w:tcBorders>
              <w:top w:val="nil"/>
              <w:left w:val="nil"/>
              <w:bottom w:val="single" w:sz="8" w:space="0" w:color="404040"/>
              <w:right w:val="nil"/>
            </w:tcBorders>
            <w:shd w:val="clear" w:color="auto" w:fill="auto"/>
            <w:vAlign w:val="center"/>
          </w:tcPr>
          <w:p w14:paraId="671B38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24.63% vs 23.54%</w:t>
            </w:r>
          </w:p>
        </w:tc>
        <w:tc>
          <w:tcPr>
            <w:tcW w:w="0" w:type="auto"/>
            <w:tcBorders>
              <w:top w:val="nil"/>
              <w:left w:val="nil"/>
              <w:bottom w:val="single" w:sz="8" w:space="0" w:color="404040"/>
              <w:right w:val="nil"/>
            </w:tcBorders>
            <w:shd w:val="clear" w:color="auto" w:fill="auto"/>
            <w:vAlign w:val="center"/>
          </w:tcPr>
          <w:p w14:paraId="1A5BA2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1.09 pp (−1.24, 3.42)</w:t>
            </w:r>
          </w:p>
        </w:tc>
      </w:tr>
    </w:tbl>
    <w:p w14:paraId="27AEBB5B" w14:textId="77777777" w:rsidR="001C2B6A" w:rsidRPr="00646F04" w:rsidRDefault="00000000">
      <w:pPr>
        <w:pStyle w:val="a0"/>
        <w:rPr>
          <w:color w:val="000000" w:themeColor="text1"/>
        </w:rPr>
      </w:pPr>
      <w:r w:rsidRPr="00646F04">
        <w:rPr>
          <w:rFonts w:eastAsia="Source Han Serif SC"/>
          <w:b/>
          <w:bCs/>
          <w:color w:val="000000" w:themeColor="text1"/>
        </w:rPr>
        <w:t>Notes.</w:t>
      </w:r>
      <w:r w:rsidRPr="00646F04">
        <w:rPr>
          <w:rFonts w:eastAsia="Source Han Serif SC"/>
          <w:color w:val="000000" w:themeColor="text1"/>
        </w:rPr>
        <w:t xml:space="preserve"> Relative effects are odds ratios for exact-four-year binary outcomes, mean ratios for the exact-four-year disease count, and discrete-time hazard ratios for full-wave outcomes. T1 is core adjustment; T2 adds contextual covariates. Standardization uses the model-specific analysis population. Disease-count absolute differences are diseases per person, not percentage points. To preserve a compact reader-facing supplement, the table shows the prespecified H1 vs H3 comparison plus the H1 vs H2 and H3 vs H4 ADL signals used in the main narrative; the remaining model rows and adjustment tiers are available from the corresponding author on reasonable request.</w:t>
      </w:r>
    </w:p>
    <w:p w14:paraId="75564E26" w14:textId="77777777" w:rsidR="001C2B6A" w:rsidRPr="00646F04" w:rsidRDefault="005C035C">
      <w:pPr>
        <w:rPr>
          <w:color w:val="000000" w:themeColor="text1"/>
        </w:rPr>
      </w:pPr>
      <w:r>
        <w:rPr>
          <w:rFonts w:eastAsia="Source Han Serif SC"/>
          <w:noProof/>
          <w:color w:val="000000" w:themeColor="text1"/>
        </w:rPr>
        <w:lastRenderedPageBreak/>
        <w:pict w14:anchorId="40DBE338">
          <v:rect id="_x0000_i1028" alt="" style="width:415.3pt;height:.05pt;mso-width-percent:0;mso-height-percent:0;mso-width-percent:0;mso-height-percent:0" o:hralign="center" o:hrstd="t" o:hr="t"/>
        </w:pict>
      </w:r>
    </w:p>
    <w:p w14:paraId="0B00FB93" w14:textId="77777777" w:rsidR="001C2B6A" w:rsidRPr="00646F04" w:rsidRDefault="00000000">
      <w:pPr>
        <w:pStyle w:val="2"/>
        <w:rPr>
          <w:color w:val="000000" w:themeColor="text1"/>
        </w:rPr>
      </w:pPr>
      <w:bookmarkStart w:id="47" w:name="X9abefa5da1f6d6566ac1099d776417e352ad658"/>
      <w:bookmarkEnd w:id="46"/>
      <w:r w:rsidRPr="00646F04">
        <w:rPr>
          <w:rFonts w:ascii="Arial" w:eastAsia="Source Han Serif SC" w:hAnsi="Arial" w:cs="Arial"/>
          <w:color w:val="000000" w:themeColor="text1"/>
        </w:rPr>
        <w:t>Table S7. Prespecified sensitivity analyses and independent software direction check</w:t>
      </w:r>
    </w:p>
    <w:p w14:paraId="3FBFDBF1" w14:textId="77777777" w:rsidR="001C2B6A" w:rsidRPr="00646F04" w:rsidRDefault="00000000">
      <w:pPr>
        <w:pStyle w:val="3"/>
        <w:rPr>
          <w:color w:val="000000" w:themeColor="text1"/>
        </w:rPr>
      </w:pPr>
      <w:bookmarkStart w:id="48" w:name="X3f0f3460a971bca5db6ccc758931b7fb1f24733"/>
      <w:r w:rsidRPr="00646F04">
        <w:rPr>
          <w:rFonts w:ascii="Arial" w:eastAsia="Source Han Serif SC" w:hAnsi="Arial" w:cs="Arial"/>
          <w:color w:val="000000" w:themeColor="text1"/>
        </w:rPr>
        <w:t>Panel A. Exact-four-year H1 vs H3 binary outcomes</w:t>
      </w:r>
    </w:p>
    <w:tbl>
      <w:tblPr>
        <w:tblStyle w:val="Table"/>
        <w:tblW w:w="5000" w:type="pct"/>
        <w:tblLook w:val="0020" w:firstRow="1" w:lastRow="0" w:firstColumn="0" w:lastColumn="0" w:noHBand="0" w:noVBand="0"/>
      </w:tblPr>
      <w:tblGrid>
        <w:gridCol w:w="1048"/>
        <w:gridCol w:w="1577"/>
        <w:gridCol w:w="2616"/>
        <w:gridCol w:w="2295"/>
        <w:gridCol w:w="3944"/>
        <w:gridCol w:w="3198"/>
      </w:tblGrid>
      <w:tr w:rsidR="00646F04" w:rsidRPr="00646F04" w14:paraId="2C3D920F"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3E65867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57E45BD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Outcome</w:t>
            </w:r>
          </w:p>
        </w:tc>
        <w:tc>
          <w:tcPr>
            <w:tcW w:w="0" w:type="auto"/>
            <w:tcBorders>
              <w:top w:val="single" w:sz="8" w:space="0" w:color="404040"/>
              <w:left w:val="nil"/>
              <w:bottom w:val="single" w:sz="5" w:space="0" w:color="707070"/>
              <w:right w:val="nil"/>
            </w:tcBorders>
            <w:shd w:val="clear" w:color="auto" w:fill="auto"/>
            <w:vAlign w:val="center"/>
          </w:tcPr>
          <w:p w14:paraId="6EA54F4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Primary T1 effect (95% CI)</w:t>
            </w:r>
          </w:p>
        </w:tc>
        <w:tc>
          <w:tcPr>
            <w:tcW w:w="0" w:type="auto"/>
            <w:tcBorders>
              <w:top w:val="single" w:sz="8" w:space="0" w:color="404040"/>
              <w:left w:val="nil"/>
              <w:bottom w:val="single" w:sz="5" w:space="0" w:color="707070"/>
              <w:right w:val="nil"/>
            </w:tcBorders>
            <w:shd w:val="clear" w:color="auto" w:fill="auto"/>
            <w:vAlign w:val="center"/>
          </w:tcPr>
          <w:p w14:paraId="56DF4BC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130/80 reclassification</w:t>
            </w:r>
          </w:p>
        </w:tc>
        <w:tc>
          <w:tcPr>
            <w:tcW w:w="0" w:type="auto"/>
            <w:tcBorders>
              <w:top w:val="single" w:sz="8" w:space="0" w:color="404040"/>
              <w:left w:val="nil"/>
              <w:bottom w:val="single" w:sz="5" w:space="0" w:color="707070"/>
              <w:right w:val="nil"/>
            </w:tcBorders>
            <w:shd w:val="clear" w:color="auto" w:fill="auto"/>
            <w:vAlign w:val="center"/>
          </w:tcPr>
          <w:p w14:paraId="4F6A19C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Common support without overlap weight</w:t>
            </w:r>
          </w:p>
        </w:tc>
        <w:tc>
          <w:tcPr>
            <w:tcW w:w="0" w:type="auto"/>
            <w:tcBorders>
              <w:top w:val="single" w:sz="8" w:space="0" w:color="404040"/>
              <w:left w:val="nil"/>
              <w:bottom w:val="single" w:sz="5" w:space="0" w:color="707070"/>
              <w:right w:val="nil"/>
            </w:tcBorders>
            <w:shd w:val="clear" w:color="auto" w:fill="auto"/>
            <w:vAlign w:val="center"/>
          </w:tcPr>
          <w:p w14:paraId="346BF25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Available-context complete case</w:t>
            </w:r>
          </w:p>
        </w:tc>
      </w:tr>
      <w:tr w:rsidR="00646F04" w:rsidRPr="00646F04" w14:paraId="19FFABFC" w14:textId="77777777" w:rsidTr="00646F04">
        <w:tc>
          <w:tcPr>
            <w:tcW w:w="0" w:type="auto"/>
            <w:tcBorders>
              <w:top w:val="nil"/>
              <w:left w:val="nil"/>
              <w:bottom w:val="nil"/>
              <w:right w:val="nil"/>
            </w:tcBorders>
            <w:shd w:val="clear" w:color="auto" w:fill="auto"/>
            <w:vAlign w:val="center"/>
          </w:tcPr>
          <w:p w14:paraId="51190CB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90A667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disease</w:t>
            </w:r>
          </w:p>
        </w:tc>
        <w:tc>
          <w:tcPr>
            <w:tcW w:w="0" w:type="auto"/>
            <w:tcBorders>
              <w:top w:val="nil"/>
              <w:left w:val="nil"/>
              <w:bottom w:val="nil"/>
              <w:right w:val="nil"/>
            </w:tcBorders>
            <w:shd w:val="clear" w:color="auto" w:fill="auto"/>
            <w:vAlign w:val="center"/>
          </w:tcPr>
          <w:p w14:paraId="2F0A62E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0.679 (0.479–0.962)</w:t>
            </w:r>
          </w:p>
        </w:tc>
        <w:tc>
          <w:tcPr>
            <w:tcW w:w="0" w:type="auto"/>
            <w:tcBorders>
              <w:top w:val="nil"/>
              <w:left w:val="nil"/>
              <w:bottom w:val="nil"/>
              <w:right w:val="nil"/>
            </w:tcBorders>
            <w:shd w:val="clear" w:color="auto" w:fill="auto"/>
            <w:vAlign w:val="center"/>
          </w:tcPr>
          <w:p w14:paraId="3C806F0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0.635 (0.485–0.830)</w:t>
            </w:r>
          </w:p>
        </w:tc>
        <w:tc>
          <w:tcPr>
            <w:tcW w:w="0" w:type="auto"/>
            <w:tcBorders>
              <w:top w:val="nil"/>
              <w:left w:val="nil"/>
              <w:bottom w:val="nil"/>
              <w:right w:val="nil"/>
            </w:tcBorders>
            <w:shd w:val="clear" w:color="auto" w:fill="auto"/>
            <w:vAlign w:val="center"/>
          </w:tcPr>
          <w:p w14:paraId="262FAA0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0.699 (0.498–0.980)</w:t>
            </w:r>
          </w:p>
        </w:tc>
        <w:tc>
          <w:tcPr>
            <w:tcW w:w="0" w:type="auto"/>
            <w:tcBorders>
              <w:top w:val="nil"/>
              <w:left w:val="nil"/>
              <w:bottom w:val="nil"/>
              <w:right w:val="nil"/>
            </w:tcBorders>
            <w:shd w:val="clear" w:color="auto" w:fill="auto"/>
            <w:vAlign w:val="center"/>
          </w:tcPr>
          <w:p w14:paraId="0D9B4D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0.646 (0.380–1.099)</w:t>
            </w:r>
          </w:p>
        </w:tc>
      </w:tr>
      <w:tr w:rsidR="00646F04" w:rsidRPr="00646F04" w14:paraId="4D4B4B4E" w14:textId="77777777" w:rsidTr="00646F04">
        <w:tc>
          <w:tcPr>
            <w:tcW w:w="0" w:type="auto"/>
            <w:tcBorders>
              <w:top w:val="nil"/>
              <w:left w:val="nil"/>
              <w:bottom w:val="nil"/>
              <w:right w:val="nil"/>
            </w:tcBorders>
            <w:shd w:val="clear" w:color="auto" w:fill="auto"/>
            <w:vAlign w:val="center"/>
          </w:tcPr>
          <w:p w14:paraId="007596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A2034D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009714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0.989 (0.616–1.587)</w:t>
            </w:r>
          </w:p>
        </w:tc>
        <w:tc>
          <w:tcPr>
            <w:tcW w:w="0" w:type="auto"/>
            <w:tcBorders>
              <w:top w:val="nil"/>
              <w:left w:val="nil"/>
              <w:bottom w:val="nil"/>
              <w:right w:val="nil"/>
            </w:tcBorders>
            <w:shd w:val="clear" w:color="auto" w:fill="auto"/>
            <w:vAlign w:val="center"/>
          </w:tcPr>
          <w:p w14:paraId="3F0266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0.740 (0.519–1.054)</w:t>
            </w:r>
          </w:p>
        </w:tc>
        <w:tc>
          <w:tcPr>
            <w:tcW w:w="0" w:type="auto"/>
            <w:tcBorders>
              <w:top w:val="nil"/>
              <w:left w:val="nil"/>
              <w:bottom w:val="nil"/>
              <w:right w:val="nil"/>
            </w:tcBorders>
            <w:shd w:val="clear" w:color="auto" w:fill="auto"/>
            <w:vAlign w:val="center"/>
          </w:tcPr>
          <w:p w14:paraId="5A2EBAC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1.045 (0.665–1.642)</w:t>
            </w:r>
          </w:p>
        </w:tc>
        <w:tc>
          <w:tcPr>
            <w:tcW w:w="0" w:type="auto"/>
            <w:tcBorders>
              <w:top w:val="nil"/>
              <w:left w:val="nil"/>
              <w:bottom w:val="nil"/>
              <w:right w:val="nil"/>
            </w:tcBorders>
            <w:shd w:val="clear" w:color="auto" w:fill="auto"/>
            <w:vAlign w:val="center"/>
          </w:tcPr>
          <w:p w14:paraId="4DBFAC8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0.598 (0.295–1.212)</w:t>
            </w:r>
          </w:p>
        </w:tc>
      </w:tr>
      <w:tr w:rsidR="00646F04" w:rsidRPr="00646F04" w14:paraId="571C66A0" w14:textId="77777777" w:rsidTr="00646F04">
        <w:tc>
          <w:tcPr>
            <w:tcW w:w="0" w:type="auto"/>
            <w:tcBorders>
              <w:top w:val="nil"/>
              <w:left w:val="nil"/>
              <w:bottom w:val="nil"/>
              <w:right w:val="nil"/>
            </w:tcBorders>
            <w:shd w:val="clear" w:color="auto" w:fill="auto"/>
            <w:vAlign w:val="center"/>
          </w:tcPr>
          <w:p w14:paraId="5C94BE0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514A484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nil"/>
              <w:right w:val="nil"/>
            </w:tcBorders>
            <w:shd w:val="clear" w:color="auto" w:fill="auto"/>
            <w:vAlign w:val="center"/>
          </w:tcPr>
          <w:p w14:paraId="29C4188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0.834 (0.518–1.345)</w:t>
            </w:r>
          </w:p>
        </w:tc>
        <w:tc>
          <w:tcPr>
            <w:tcW w:w="0" w:type="auto"/>
            <w:tcBorders>
              <w:top w:val="nil"/>
              <w:left w:val="nil"/>
              <w:bottom w:val="nil"/>
              <w:right w:val="nil"/>
            </w:tcBorders>
            <w:shd w:val="clear" w:color="auto" w:fill="auto"/>
            <w:vAlign w:val="center"/>
          </w:tcPr>
          <w:p w14:paraId="62ECA34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0.807 (0.557–1.170)</w:t>
            </w:r>
          </w:p>
        </w:tc>
        <w:tc>
          <w:tcPr>
            <w:tcW w:w="0" w:type="auto"/>
            <w:tcBorders>
              <w:top w:val="nil"/>
              <w:left w:val="nil"/>
              <w:bottom w:val="nil"/>
              <w:right w:val="nil"/>
            </w:tcBorders>
            <w:shd w:val="clear" w:color="auto" w:fill="auto"/>
            <w:vAlign w:val="center"/>
          </w:tcPr>
          <w:p w14:paraId="2B404D7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0.909 (0.563–1.467)</w:t>
            </w:r>
          </w:p>
        </w:tc>
        <w:tc>
          <w:tcPr>
            <w:tcW w:w="0" w:type="auto"/>
            <w:tcBorders>
              <w:top w:val="nil"/>
              <w:left w:val="nil"/>
              <w:bottom w:val="nil"/>
              <w:right w:val="nil"/>
            </w:tcBorders>
            <w:shd w:val="clear" w:color="auto" w:fill="auto"/>
            <w:vAlign w:val="center"/>
          </w:tcPr>
          <w:p w14:paraId="5CE84E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0.903 (0.440–1.854)</w:t>
            </w:r>
          </w:p>
        </w:tc>
      </w:tr>
      <w:tr w:rsidR="00646F04" w:rsidRPr="00646F04" w14:paraId="32678BE0" w14:textId="77777777" w:rsidTr="00646F04">
        <w:tc>
          <w:tcPr>
            <w:tcW w:w="0" w:type="auto"/>
            <w:tcBorders>
              <w:top w:val="nil"/>
              <w:left w:val="nil"/>
              <w:bottom w:val="nil"/>
              <w:right w:val="nil"/>
            </w:tcBorders>
            <w:shd w:val="clear" w:color="auto" w:fill="auto"/>
            <w:vAlign w:val="center"/>
          </w:tcPr>
          <w:p w14:paraId="7799EB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66EE81D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disease</w:t>
            </w:r>
          </w:p>
        </w:tc>
        <w:tc>
          <w:tcPr>
            <w:tcW w:w="0" w:type="auto"/>
            <w:tcBorders>
              <w:top w:val="nil"/>
              <w:left w:val="nil"/>
              <w:bottom w:val="nil"/>
              <w:right w:val="nil"/>
            </w:tcBorders>
            <w:shd w:val="clear" w:color="auto" w:fill="auto"/>
            <w:vAlign w:val="center"/>
          </w:tcPr>
          <w:p w14:paraId="66F844F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0.866 (0.698–1.074)</w:t>
            </w:r>
          </w:p>
        </w:tc>
        <w:tc>
          <w:tcPr>
            <w:tcW w:w="0" w:type="auto"/>
            <w:tcBorders>
              <w:top w:val="nil"/>
              <w:left w:val="nil"/>
              <w:bottom w:val="nil"/>
              <w:right w:val="nil"/>
            </w:tcBorders>
            <w:shd w:val="clear" w:color="auto" w:fill="auto"/>
            <w:vAlign w:val="center"/>
          </w:tcPr>
          <w:p w14:paraId="5D7A771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0.785 (0.644–0.957)</w:t>
            </w:r>
          </w:p>
        </w:tc>
        <w:tc>
          <w:tcPr>
            <w:tcW w:w="0" w:type="auto"/>
            <w:tcBorders>
              <w:top w:val="nil"/>
              <w:left w:val="nil"/>
              <w:bottom w:val="nil"/>
              <w:right w:val="nil"/>
            </w:tcBorders>
            <w:shd w:val="clear" w:color="auto" w:fill="auto"/>
            <w:vAlign w:val="center"/>
          </w:tcPr>
          <w:p w14:paraId="3E38AD5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0.809 (0.650–1.008)</w:t>
            </w:r>
          </w:p>
        </w:tc>
        <w:tc>
          <w:tcPr>
            <w:tcW w:w="0" w:type="auto"/>
            <w:tcBorders>
              <w:top w:val="nil"/>
              <w:left w:val="nil"/>
              <w:bottom w:val="nil"/>
              <w:right w:val="nil"/>
            </w:tcBorders>
            <w:shd w:val="clear" w:color="auto" w:fill="auto"/>
            <w:vAlign w:val="center"/>
          </w:tcPr>
          <w:p w14:paraId="1F5F9F1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0.978 (0.763–1.254)</w:t>
            </w:r>
          </w:p>
        </w:tc>
      </w:tr>
      <w:tr w:rsidR="00646F04" w:rsidRPr="00646F04" w14:paraId="4AF8F18E" w14:textId="77777777" w:rsidTr="00646F04">
        <w:tc>
          <w:tcPr>
            <w:tcW w:w="0" w:type="auto"/>
            <w:tcBorders>
              <w:top w:val="nil"/>
              <w:left w:val="nil"/>
              <w:bottom w:val="nil"/>
              <w:right w:val="nil"/>
            </w:tcBorders>
            <w:shd w:val="clear" w:color="auto" w:fill="auto"/>
            <w:vAlign w:val="center"/>
          </w:tcPr>
          <w:p w14:paraId="496DEBA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18F5AF3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244EE8F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1.486 (0.986–2.242)</w:t>
            </w:r>
          </w:p>
        </w:tc>
        <w:tc>
          <w:tcPr>
            <w:tcW w:w="0" w:type="auto"/>
            <w:tcBorders>
              <w:top w:val="nil"/>
              <w:left w:val="nil"/>
              <w:bottom w:val="nil"/>
              <w:right w:val="nil"/>
            </w:tcBorders>
            <w:shd w:val="clear" w:color="auto" w:fill="auto"/>
            <w:vAlign w:val="center"/>
          </w:tcPr>
          <w:p w14:paraId="024CBA8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1.064 (0.775–1.460)</w:t>
            </w:r>
          </w:p>
        </w:tc>
        <w:tc>
          <w:tcPr>
            <w:tcW w:w="0" w:type="auto"/>
            <w:tcBorders>
              <w:top w:val="nil"/>
              <w:left w:val="nil"/>
              <w:bottom w:val="nil"/>
              <w:right w:val="nil"/>
            </w:tcBorders>
            <w:shd w:val="clear" w:color="auto" w:fill="auto"/>
            <w:vAlign w:val="center"/>
          </w:tcPr>
          <w:p w14:paraId="549CA2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1.378 (0.932–2.037)</w:t>
            </w:r>
          </w:p>
        </w:tc>
        <w:tc>
          <w:tcPr>
            <w:tcW w:w="0" w:type="auto"/>
            <w:tcBorders>
              <w:top w:val="nil"/>
              <w:left w:val="nil"/>
              <w:bottom w:val="nil"/>
              <w:right w:val="nil"/>
            </w:tcBorders>
            <w:shd w:val="clear" w:color="auto" w:fill="auto"/>
            <w:vAlign w:val="center"/>
          </w:tcPr>
          <w:p w14:paraId="181725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1.562 (0.997–2.445)</w:t>
            </w:r>
          </w:p>
        </w:tc>
      </w:tr>
      <w:tr w:rsidR="00646F04" w:rsidRPr="00646F04" w14:paraId="30C3D953" w14:textId="77777777" w:rsidTr="00646F04">
        <w:tc>
          <w:tcPr>
            <w:tcW w:w="0" w:type="auto"/>
            <w:tcBorders>
              <w:top w:val="nil"/>
              <w:left w:val="nil"/>
              <w:bottom w:val="single" w:sz="8" w:space="0" w:color="404040"/>
              <w:right w:val="nil"/>
            </w:tcBorders>
            <w:shd w:val="clear" w:color="auto" w:fill="auto"/>
            <w:vAlign w:val="center"/>
          </w:tcPr>
          <w:p w14:paraId="4B57AAC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7D3E83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single" w:sz="8" w:space="0" w:color="404040"/>
              <w:right w:val="nil"/>
            </w:tcBorders>
            <w:shd w:val="clear" w:color="auto" w:fill="auto"/>
            <w:vAlign w:val="center"/>
          </w:tcPr>
          <w:p w14:paraId="624BB4D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1.146 (0.721–1.821)</w:t>
            </w:r>
          </w:p>
        </w:tc>
        <w:tc>
          <w:tcPr>
            <w:tcW w:w="0" w:type="auto"/>
            <w:tcBorders>
              <w:top w:val="nil"/>
              <w:left w:val="nil"/>
              <w:bottom w:val="single" w:sz="8" w:space="0" w:color="404040"/>
              <w:right w:val="nil"/>
            </w:tcBorders>
            <w:shd w:val="clear" w:color="auto" w:fill="auto"/>
            <w:vAlign w:val="center"/>
          </w:tcPr>
          <w:p w14:paraId="0D6471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0.882 (0.630–1.235)</w:t>
            </w:r>
          </w:p>
        </w:tc>
        <w:tc>
          <w:tcPr>
            <w:tcW w:w="0" w:type="auto"/>
            <w:tcBorders>
              <w:top w:val="nil"/>
              <w:left w:val="nil"/>
              <w:bottom w:val="single" w:sz="8" w:space="0" w:color="404040"/>
              <w:right w:val="nil"/>
            </w:tcBorders>
            <w:shd w:val="clear" w:color="auto" w:fill="auto"/>
            <w:vAlign w:val="center"/>
          </w:tcPr>
          <w:p w14:paraId="616E57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1.069 (0.691–1.653)</w:t>
            </w:r>
          </w:p>
        </w:tc>
        <w:tc>
          <w:tcPr>
            <w:tcW w:w="0" w:type="auto"/>
            <w:tcBorders>
              <w:top w:val="nil"/>
              <w:left w:val="nil"/>
              <w:bottom w:val="single" w:sz="8" w:space="0" w:color="404040"/>
              <w:right w:val="nil"/>
            </w:tcBorders>
            <w:shd w:val="clear" w:color="auto" w:fill="auto"/>
            <w:vAlign w:val="center"/>
          </w:tcPr>
          <w:p w14:paraId="6123AD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1.024 (0.596–1.760)</w:t>
            </w:r>
          </w:p>
        </w:tc>
      </w:tr>
    </w:tbl>
    <w:p w14:paraId="6475061D" w14:textId="77777777" w:rsidR="001C2B6A" w:rsidRPr="00646F04" w:rsidRDefault="00000000">
      <w:pPr>
        <w:pStyle w:val="3"/>
        <w:rPr>
          <w:color w:val="000000" w:themeColor="text1"/>
        </w:rPr>
      </w:pPr>
      <w:bookmarkStart w:id="49" w:name="Xb84776bdec80bd869bb59768dc86a95ab2a4114"/>
      <w:bookmarkEnd w:id="48"/>
      <w:r w:rsidRPr="00646F04">
        <w:rPr>
          <w:rFonts w:ascii="Arial" w:eastAsia="Source Han Serif SC" w:hAnsi="Arial" w:cs="Arial"/>
          <w:color w:val="000000" w:themeColor="text1"/>
        </w:rPr>
        <w:t>Panel B. Full-wave H1 vs H3 T2 models under alternative IPCW truncation</w:t>
      </w:r>
    </w:p>
    <w:tbl>
      <w:tblPr>
        <w:tblStyle w:val="Table"/>
        <w:tblW w:w="5000" w:type="pct"/>
        <w:tblLook w:val="0020" w:firstRow="1" w:lastRow="0" w:firstColumn="0" w:lastColumn="0" w:noHBand="0" w:noVBand="0"/>
      </w:tblPr>
      <w:tblGrid>
        <w:gridCol w:w="1247"/>
        <w:gridCol w:w="1902"/>
        <w:gridCol w:w="2966"/>
        <w:gridCol w:w="2768"/>
        <w:gridCol w:w="3274"/>
        <w:gridCol w:w="2521"/>
      </w:tblGrid>
      <w:tr w:rsidR="00646F04" w:rsidRPr="00646F04" w14:paraId="1768AF4B"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787872E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3FDC149B"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Outcome</w:t>
            </w:r>
          </w:p>
        </w:tc>
        <w:tc>
          <w:tcPr>
            <w:tcW w:w="0" w:type="auto"/>
            <w:tcBorders>
              <w:top w:val="single" w:sz="8" w:space="0" w:color="404040"/>
              <w:left w:val="nil"/>
              <w:bottom w:val="single" w:sz="5" w:space="0" w:color="707070"/>
              <w:right w:val="nil"/>
            </w:tcBorders>
            <w:shd w:val="clear" w:color="auto" w:fill="auto"/>
            <w:vAlign w:val="center"/>
          </w:tcPr>
          <w:p w14:paraId="790F435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Main 1/99 effect (95% CI)</w:t>
            </w:r>
          </w:p>
        </w:tc>
        <w:tc>
          <w:tcPr>
            <w:tcW w:w="0" w:type="auto"/>
            <w:tcBorders>
              <w:top w:val="single" w:sz="8" w:space="0" w:color="404040"/>
              <w:left w:val="nil"/>
              <w:bottom w:val="single" w:sz="5" w:space="0" w:color="707070"/>
              <w:right w:val="nil"/>
            </w:tcBorders>
            <w:shd w:val="clear" w:color="auto" w:fill="auto"/>
            <w:vAlign w:val="center"/>
          </w:tcPr>
          <w:p w14:paraId="59965F6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0.5/99.5 effect (95% CI)</w:t>
            </w:r>
          </w:p>
        </w:tc>
        <w:tc>
          <w:tcPr>
            <w:tcW w:w="0" w:type="auto"/>
            <w:tcBorders>
              <w:top w:val="single" w:sz="8" w:space="0" w:color="404040"/>
              <w:left w:val="nil"/>
              <w:bottom w:val="single" w:sz="5" w:space="0" w:color="707070"/>
              <w:right w:val="nil"/>
            </w:tcBorders>
            <w:shd w:val="clear" w:color="auto" w:fill="auto"/>
            <w:vAlign w:val="center"/>
          </w:tcPr>
          <w:p w14:paraId="78D7D31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Untruncated effect (95% CI)</w:t>
            </w:r>
          </w:p>
        </w:tc>
        <w:tc>
          <w:tcPr>
            <w:tcW w:w="0" w:type="auto"/>
            <w:tcBorders>
              <w:top w:val="single" w:sz="8" w:space="0" w:color="404040"/>
              <w:left w:val="nil"/>
              <w:bottom w:val="single" w:sz="5" w:space="0" w:color="707070"/>
              <w:right w:val="nil"/>
            </w:tcBorders>
            <w:shd w:val="clear" w:color="auto" w:fill="auto"/>
            <w:vAlign w:val="center"/>
          </w:tcPr>
          <w:p w14:paraId="0ACA8BF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Direction agreement</w:t>
            </w:r>
          </w:p>
        </w:tc>
      </w:tr>
      <w:tr w:rsidR="00646F04" w:rsidRPr="00646F04" w14:paraId="58AA8E7D" w14:textId="77777777" w:rsidTr="00646F04">
        <w:tc>
          <w:tcPr>
            <w:tcW w:w="0" w:type="auto"/>
            <w:tcBorders>
              <w:top w:val="nil"/>
              <w:left w:val="nil"/>
              <w:bottom w:val="nil"/>
              <w:right w:val="nil"/>
            </w:tcBorders>
            <w:shd w:val="clear" w:color="auto" w:fill="auto"/>
            <w:vAlign w:val="center"/>
          </w:tcPr>
          <w:p w14:paraId="26198FF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DB3ACC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First new disease</w:t>
            </w:r>
          </w:p>
        </w:tc>
        <w:tc>
          <w:tcPr>
            <w:tcW w:w="0" w:type="auto"/>
            <w:tcBorders>
              <w:top w:val="nil"/>
              <w:left w:val="nil"/>
              <w:bottom w:val="nil"/>
              <w:right w:val="nil"/>
            </w:tcBorders>
            <w:shd w:val="clear" w:color="auto" w:fill="auto"/>
            <w:vAlign w:val="center"/>
          </w:tcPr>
          <w:p w14:paraId="30F8FA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0.638 (0.513–0.793)</w:t>
            </w:r>
          </w:p>
        </w:tc>
        <w:tc>
          <w:tcPr>
            <w:tcW w:w="0" w:type="auto"/>
            <w:tcBorders>
              <w:top w:val="nil"/>
              <w:left w:val="nil"/>
              <w:bottom w:val="nil"/>
              <w:right w:val="nil"/>
            </w:tcBorders>
            <w:shd w:val="clear" w:color="auto" w:fill="auto"/>
            <w:vAlign w:val="center"/>
          </w:tcPr>
          <w:p w14:paraId="5AA7674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0.640 (0.515–0.795)</w:t>
            </w:r>
          </w:p>
        </w:tc>
        <w:tc>
          <w:tcPr>
            <w:tcW w:w="0" w:type="auto"/>
            <w:tcBorders>
              <w:top w:val="nil"/>
              <w:left w:val="nil"/>
              <w:bottom w:val="nil"/>
              <w:right w:val="nil"/>
            </w:tcBorders>
            <w:shd w:val="clear" w:color="auto" w:fill="auto"/>
            <w:vAlign w:val="center"/>
          </w:tcPr>
          <w:p w14:paraId="633168E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0.640 (0.515–0.795)</w:t>
            </w:r>
          </w:p>
        </w:tc>
        <w:tc>
          <w:tcPr>
            <w:tcW w:w="0" w:type="auto"/>
            <w:tcBorders>
              <w:top w:val="nil"/>
              <w:left w:val="nil"/>
              <w:bottom w:val="nil"/>
              <w:right w:val="nil"/>
            </w:tcBorders>
            <w:shd w:val="clear" w:color="auto" w:fill="auto"/>
            <w:vAlign w:val="center"/>
          </w:tcPr>
          <w:p w14:paraId="79915D0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772E4533" w14:textId="77777777" w:rsidTr="00646F04">
        <w:tc>
          <w:tcPr>
            <w:tcW w:w="0" w:type="auto"/>
            <w:tcBorders>
              <w:top w:val="nil"/>
              <w:left w:val="nil"/>
              <w:bottom w:val="nil"/>
              <w:right w:val="nil"/>
            </w:tcBorders>
            <w:shd w:val="clear" w:color="auto" w:fill="auto"/>
            <w:vAlign w:val="center"/>
          </w:tcPr>
          <w:p w14:paraId="22292D0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20B204D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ADL</w:t>
            </w:r>
          </w:p>
        </w:tc>
        <w:tc>
          <w:tcPr>
            <w:tcW w:w="0" w:type="auto"/>
            <w:tcBorders>
              <w:top w:val="nil"/>
              <w:left w:val="nil"/>
              <w:bottom w:val="nil"/>
              <w:right w:val="nil"/>
            </w:tcBorders>
            <w:shd w:val="clear" w:color="auto" w:fill="auto"/>
            <w:vAlign w:val="center"/>
          </w:tcPr>
          <w:p w14:paraId="686FAF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0.747 (0.545–1.024)</w:t>
            </w:r>
          </w:p>
        </w:tc>
        <w:tc>
          <w:tcPr>
            <w:tcW w:w="0" w:type="auto"/>
            <w:tcBorders>
              <w:top w:val="nil"/>
              <w:left w:val="nil"/>
              <w:bottom w:val="nil"/>
              <w:right w:val="nil"/>
            </w:tcBorders>
            <w:shd w:val="clear" w:color="auto" w:fill="auto"/>
            <w:vAlign w:val="center"/>
          </w:tcPr>
          <w:p w14:paraId="1FAC98B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0.745 (0.543–1.022)</w:t>
            </w:r>
          </w:p>
        </w:tc>
        <w:tc>
          <w:tcPr>
            <w:tcW w:w="0" w:type="auto"/>
            <w:tcBorders>
              <w:top w:val="nil"/>
              <w:left w:val="nil"/>
              <w:bottom w:val="nil"/>
              <w:right w:val="nil"/>
            </w:tcBorders>
            <w:shd w:val="clear" w:color="auto" w:fill="auto"/>
            <w:vAlign w:val="center"/>
          </w:tcPr>
          <w:p w14:paraId="3B6B8E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0.743 (0.541–1.019)</w:t>
            </w:r>
          </w:p>
        </w:tc>
        <w:tc>
          <w:tcPr>
            <w:tcW w:w="0" w:type="auto"/>
            <w:tcBorders>
              <w:top w:val="nil"/>
              <w:left w:val="nil"/>
              <w:bottom w:val="nil"/>
              <w:right w:val="nil"/>
            </w:tcBorders>
            <w:shd w:val="clear" w:color="auto" w:fill="auto"/>
            <w:vAlign w:val="center"/>
          </w:tcPr>
          <w:p w14:paraId="2852450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42856B4E" w14:textId="77777777" w:rsidTr="00646F04">
        <w:tc>
          <w:tcPr>
            <w:tcW w:w="0" w:type="auto"/>
            <w:tcBorders>
              <w:top w:val="nil"/>
              <w:left w:val="nil"/>
              <w:bottom w:val="nil"/>
              <w:right w:val="nil"/>
            </w:tcBorders>
            <w:shd w:val="clear" w:color="auto" w:fill="auto"/>
            <w:vAlign w:val="center"/>
          </w:tcPr>
          <w:p w14:paraId="4521AFC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386282D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IADL</w:t>
            </w:r>
          </w:p>
        </w:tc>
        <w:tc>
          <w:tcPr>
            <w:tcW w:w="0" w:type="auto"/>
            <w:tcBorders>
              <w:top w:val="nil"/>
              <w:left w:val="nil"/>
              <w:bottom w:val="nil"/>
              <w:right w:val="nil"/>
            </w:tcBorders>
            <w:shd w:val="clear" w:color="auto" w:fill="auto"/>
            <w:vAlign w:val="center"/>
          </w:tcPr>
          <w:p w14:paraId="36419E5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0.676 (0.514–0.889)</w:t>
            </w:r>
          </w:p>
        </w:tc>
        <w:tc>
          <w:tcPr>
            <w:tcW w:w="0" w:type="auto"/>
            <w:tcBorders>
              <w:top w:val="nil"/>
              <w:left w:val="nil"/>
              <w:bottom w:val="nil"/>
              <w:right w:val="nil"/>
            </w:tcBorders>
            <w:shd w:val="clear" w:color="auto" w:fill="auto"/>
            <w:vAlign w:val="center"/>
          </w:tcPr>
          <w:p w14:paraId="0E64203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0.677 (0.515–0.891)</w:t>
            </w:r>
          </w:p>
        </w:tc>
        <w:tc>
          <w:tcPr>
            <w:tcW w:w="0" w:type="auto"/>
            <w:tcBorders>
              <w:top w:val="nil"/>
              <w:left w:val="nil"/>
              <w:bottom w:val="nil"/>
              <w:right w:val="nil"/>
            </w:tcBorders>
            <w:shd w:val="clear" w:color="auto" w:fill="auto"/>
            <w:vAlign w:val="center"/>
          </w:tcPr>
          <w:p w14:paraId="3235733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0.677 (0.514–0.891)</w:t>
            </w:r>
          </w:p>
        </w:tc>
        <w:tc>
          <w:tcPr>
            <w:tcW w:w="0" w:type="auto"/>
            <w:tcBorders>
              <w:top w:val="nil"/>
              <w:left w:val="nil"/>
              <w:bottom w:val="nil"/>
              <w:right w:val="nil"/>
            </w:tcBorders>
            <w:shd w:val="clear" w:color="auto" w:fill="auto"/>
            <w:vAlign w:val="center"/>
          </w:tcPr>
          <w:p w14:paraId="4791E18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56DB6737" w14:textId="77777777" w:rsidTr="00646F04">
        <w:tc>
          <w:tcPr>
            <w:tcW w:w="0" w:type="auto"/>
            <w:tcBorders>
              <w:top w:val="nil"/>
              <w:left w:val="nil"/>
              <w:bottom w:val="nil"/>
              <w:right w:val="nil"/>
            </w:tcBorders>
            <w:shd w:val="clear" w:color="auto" w:fill="auto"/>
            <w:vAlign w:val="center"/>
          </w:tcPr>
          <w:p w14:paraId="13726DD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7EBED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First new disease</w:t>
            </w:r>
          </w:p>
        </w:tc>
        <w:tc>
          <w:tcPr>
            <w:tcW w:w="0" w:type="auto"/>
            <w:tcBorders>
              <w:top w:val="nil"/>
              <w:left w:val="nil"/>
              <w:bottom w:val="nil"/>
              <w:right w:val="nil"/>
            </w:tcBorders>
            <w:shd w:val="clear" w:color="auto" w:fill="auto"/>
            <w:vAlign w:val="center"/>
          </w:tcPr>
          <w:p w14:paraId="20EFFF6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0.854 (0.729–1.001)</w:t>
            </w:r>
          </w:p>
        </w:tc>
        <w:tc>
          <w:tcPr>
            <w:tcW w:w="0" w:type="auto"/>
            <w:tcBorders>
              <w:top w:val="nil"/>
              <w:left w:val="nil"/>
              <w:bottom w:val="nil"/>
              <w:right w:val="nil"/>
            </w:tcBorders>
            <w:shd w:val="clear" w:color="auto" w:fill="auto"/>
            <w:vAlign w:val="center"/>
          </w:tcPr>
          <w:p w14:paraId="3226DE0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0.855 (0.730–1.001)</w:t>
            </w:r>
          </w:p>
        </w:tc>
        <w:tc>
          <w:tcPr>
            <w:tcW w:w="0" w:type="auto"/>
            <w:tcBorders>
              <w:top w:val="nil"/>
              <w:left w:val="nil"/>
              <w:bottom w:val="nil"/>
              <w:right w:val="nil"/>
            </w:tcBorders>
            <w:shd w:val="clear" w:color="auto" w:fill="auto"/>
            <w:vAlign w:val="center"/>
          </w:tcPr>
          <w:p w14:paraId="1821705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0.857 (0.731–1.003)</w:t>
            </w:r>
          </w:p>
        </w:tc>
        <w:tc>
          <w:tcPr>
            <w:tcW w:w="0" w:type="auto"/>
            <w:tcBorders>
              <w:top w:val="nil"/>
              <w:left w:val="nil"/>
              <w:bottom w:val="nil"/>
              <w:right w:val="nil"/>
            </w:tcBorders>
            <w:shd w:val="clear" w:color="auto" w:fill="auto"/>
            <w:vAlign w:val="center"/>
          </w:tcPr>
          <w:p w14:paraId="55DE93D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06E6CEBB" w14:textId="77777777" w:rsidTr="00646F04">
        <w:tc>
          <w:tcPr>
            <w:tcW w:w="0" w:type="auto"/>
            <w:tcBorders>
              <w:top w:val="nil"/>
              <w:left w:val="nil"/>
              <w:bottom w:val="nil"/>
              <w:right w:val="nil"/>
            </w:tcBorders>
            <w:shd w:val="clear" w:color="auto" w:fill="auto"/>
            <w:vAlign w:val="center"/>
          </w:tcPr>
          <w:p w14:paraId="3A13925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1BE1893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ADL</w:t>
            </w:r>
          </w:p>
        </w:tc>
        <w:tc>
          <w:tcPr>
            <w:tcW w:w="0" w:type="auto"/>
            <w:tcBorders>
              <w:top w:val="nil"/>
              <w:left w:val="nil"/>
              <w:bottom w:val="nil"/>
              <w:right w:val="nil"/>
            </w:tcBorders>
            <w:shd w:val="clear" w:color="auto" w:fill="auto"/>
            <w:vAlign w:val="center"/>
          </w:tcPr>
          <w:p w14:paraId="3658ED2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1.503 (1.154–1.958)</w:t>
            </w:r>
          </w:p>
        </w:tc>
        <w:tc>
          <w:tcPr>
            <w:tcW w:w="0" w:type="auto"/>
            <w:tcBorders>
              <w:top w:val="nil"/>
              <w:left w:val="nil"/>
              <w:bottom w:val="nil"/>
              <w:right w:val="nil"/>
            </w:tcBorders>
            <w:shd w:val="clear" w:color="auto" w:fill="auto"/>
            <w:vAlign w:val="center"/>
          </w:tcPr>
          <w:p w14:paraId="0C8DB3A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1.501 (1.154–1.954)</w:t>
            </w:r>
          </w:p>
        </w:tc>
        <w:tc>
          <w:tcPr>
            <w:tcW w:w="0" w:type="auto"/>
            <w:tcBorders>
              <w:top w:val="nil"/>
              <w:left w:val="nil"/>
              <w:bottom w:val="nil"/>
              <w:right w:val="nil"/>
            </w:tcBorders>
            <w:shd w:val="clear" w:color="auto" w:fill="auto"/>
            <w:vAlign w:val="center"/>
          </w:tcPr>
          <w:p w14:paraId="3332BF8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1.501 (1.154–1.953)</w:t>
            </w:r>
          </w:p>
        </w:tc>
        <w:tc>
          <w:tcPr>
            <w:tcW w:w="0" w:type="auto"/>
            <w:tcBorders>
              <w:top w:val="nil"/>
              <w:left w:val="nil"/>
              <w:bottom w:val="nil"/>
              <w:right w:val="nil"/>
            </w:tcBorders>
            <w:shd w:val="clear" w:color="auto" w:fill="auto"/>
            <w:vAlign w:val="center"/>
          </w:tcPr>
          <w:p w14:paraId="3CEA630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r w:rsidR="00646F04" w:rsidRPr="00646F04" w14:paraId="29574DC3" w14:textId="77777777" w:rsidTr="00646F04">
        <w:tc>
          <w:tcPr>
            <w:tcW w:w="0" w:type="auto"/>
            <w:tcBorders>
              <w:top w:val="nil"/>
              <w:left w:val="nil"/>
              <w:bottom w:val="single" w:sz="8" w:space="0" w:color="404040"/>
              <w:right w:val="nil"/>
            </w:tcBorders>
            <w:shd w:val="clear" w:color="auto" w:fill="auto"/>
            <w:vAlign w:val="center"/>
          </w:tcPr>
          <w:p w14:paraId="5F9589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06D10AA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Incident IADL</w:t>
            </w:r>
          </w:p>
        </w:tc>
        <w:tc>
          <w:tcPr>
            <w:tcW w:w="0" w:type="auto"/>
            <w:tcBorders>
              <w:top w:val="nil"/>
              <w:left w:val="nil"/>
              <w:bottom w:val="single" w:sz="8" w:space="0" w:color="404040"/>
              <w:right w:val="nil"/>
            </w:tcBorders>
            <w:shd w:val="clear" w:color="auto" w:fill="auto"/>
            <w:vAlign w:val="center"/>
          </w:tcPr>
          <w:p w14:paraId="1C923B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1.258 (0.902–1.755)</w:t>
            </w:r>
          </w:p>
        </w:tc>
        <w:tc>
          <w:tcPr>
            <w:tcW w:w="0" w:type="auto"/>
            <w:tcBorders>
              <w:top w:val="nil"/>
              <w:left w:val="nil"/>
              <w:bottom w:val="single" w:sz="8" w:space="0" w:color="404040"/>
              <w:right w:val="nil"/>
            </w:tcBorders>
            <w:shd w:val="clear" w:color="auto" w:fill="auto"/>
            <w:vAlign w:val="center"/>
          </w:tcPr>
          <w:p w14:paraId="3106413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1.260 (0.903–1.757)</w:t>
            </w:r>
          </w:p>
        </w:tc>
        <w:tc>
          <w:tcPr>
            <w:tcW w:w="0" w:type="auto"/>
            <w:tcBorders>
              <w:top w:val="nil"/>
              <w:left w:val="nil"/>
              <w:bottom w:val="single" w:sz="8" w:space="0" w:color="404040"/>
              <w:right w:val="nil"/>
            </w:tcBorders>
            <w:shd w:val="clear" w:color="auto" w:fill="auto"/>
            <w:vAlign w:val="center"/>
          </w:tcPr>
          <w:p w14:paraId="5801B26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1.265 (0.906–1.767)</w:t>
            </w:r>
          </w:p>
        </w:tc>
        <w:tc>
          <w:tcPr>
            <w:tcW w:w="0" w:type="auto"/>
            <w:tcBorders>
              <w:top w:val="nil"/>
              <w:left w:val="nil"/>
              <w:bottom w:val="single" w:sz="8" w:space="0" w:color="404040"/>
              <w:right w:val="nil"/>
            </w:tcBorders>
            <w:shd w:val="clear" w:color="auto" w:fill="auto"/>
            <w:vAlign w:val="center"/>
          </w:tcPr>
          <w:p w14:paraId="5424F85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w:t>
            </w:r>
          </w:p>
        </w:tc>
      </w:tr>
    </w:tbl>
    <w:p w14:paraId="154F01DE" w14:textId="77777777" w:rsidR="001C2B6A" w:rsidRPr="00646F04" w:rsidRDefault="00000000">
      <w:pPr>
        <w:pStyle w:val="3"/>
        <w:rPr>
          <w:color w:val="000000" w:themeColor="text1"/>
        </w:rPr>
      </w:pPr>
      <w:bookmarkStart w:id="50" w:name="panel-c.-direction-audit-summary"/>
      <w:bookmarkEnd w:id="49"/>
      <w:r w:rsidRPr="00646F04">
        <w:rPr>
          <w:rFonts w:ascii="Arial" w:eastAsia="Source Han Serif SC" w:hAnsi="Arial" w:cs="Arial"/>
          <w:color w:val="000000" w:themeColor="text1"/>
        </w:rPr>
        <w:t>Panel C. Direction-consistency summary</w:t>
      </w:r>
    </w:p>
    <w:tbl>
      <w:tblPr>
        <w:tblStyle w:val="Table"/>
        <w:tblW w:w="5000" w:type="pct"/>
        <w:tblLook w:val="0020" w:firstRow="1" w:lastRow="0" w:firstColumn="0" w:lastColumn="0" w:noHBand="0" w:noVBand="0"/>
      </w:tblPr>
      <w:tblGrid>
        <w:gridCol w:w="2723"/>
        <w:gridCol w:w="896"/>
        <w:gridCol w:w="11059"/>
      </w:tblGrid>
      <w:tr w:rsidR="00646F04" w:rsidRPr="00646F04" w14:paraId="0C01A46B"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130754D4"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Audit family</w:t>
            </w:r>
          </w:p>
        </w:tc>
        <w:tc>
          <w:tcPr>
            <w:tcW w:w="0" w:type="auto"/>
            <w:tcBorders>
              <w:top w:val="single" w:sz="8" w:space="0" w:color="404040"/>
              <w:left w:val="nil"/>
              <w:bottom w:val="single" w:sz="5" w:space="0" w:color="707070"/>
              <w:right w:val="nil"/>
            </w:tcBorders>
            <w:shd w:val="clear" w:color="auto" w:fill="auto"/>
            <w:vAlign w:val="center"/>
          </w:tcPr>
          <w:p w14:paraId="1B4DFED1"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Agreement</w:t>
            </w:r>
          </w:p>
        </w:tc>
        <w:tc>
          <w:tcPr>
            <w:tcW w:w="0" w:type="auto"/>
            <w:tcBorders>
              <w:top w:val="single" w:sz="8" w:space="0" w:color="404040"/>
              <w:left w:val="nil"/>
              <w:bottom w:val="single" w:sz="5" w:space="0" w:color="707070"/>
              <w:right w:val="nil"/>
            </w:tcBorders>
            <w:shd w:val="clear" w:color="auto" w:fill="auto"/>
            <w:vAlign w:val="center"/>
          </w:tcPr>
          <w:p w14:paraId="1A355B70"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Preserved exception/caveat</w:t>
            </w:r>
          </w:p>
        </w:tc>
      </w:tr>
      <w:tr w:rsidR="00646F04" w:rsidRPr="00646F04" w14:paraId="30905557" w14:textId="77777777" w:rsidTr="00646F04">
        <w:tc>
          <w:tcPr>
            <w:tcW w:w="0" w:type="auto"/>
            <w:tcBorders>
              <w:top w:val="nil"/>
              <w:left w:val="nil"/>
              <w:bottom w:val="nil"/>
              <w:right w:val="nil"/>
            </w:tcBorders>
            <w:shd w:val="clear" w:color="auto" w:fill="auto"/>
            <w:vAlign w:val="center"/>
          </w:tcPr>
          <w:p w14:paraId="360D505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Three conventional exact-four-year sensitivity families</w:t>
            </w:r>
          </w:p>
        </w:tc>
        <w:tc>
          <w:tcPr>
            <w:tcW w:w="0" w:type="auto"/>
            <w:tcBorders>
              <w:top w:val="nil"/>
              <w:left w:val="nil"/>
              <w:bottom w:val="nil"/>
              <w:right w:val="nil"/>
            </w:tcBorders>
            <w:shd w:val="clear" w:color="auto" w:fill="auto"/>
            <w:vAlign w:val="center"/>
          </w:tcPr>
          <w:p w14:paraId="37D0380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29/36</w:t>
            </w:r>
          </w:p>
        </w:tc>
        <w:tc>
          <w:tcPr>
            <w:tcW w:w="0" w:type="auto"/>
            <w:tcBorders>
              <w:top w:val="nil"/>
              <w:left w:val="nil"/>
              <w:bottom w:val="nil"/>
              <w:right w:val="nil"/>
            </w:tcBorders>
            <w:shd w:val="clear" w:color="auto" w:fill="auto"/>
            <w:vAlign w:val="center"/>
          </w:tcPr>
          <w:p w14:paraId="4A0157C1" w14:textId="77777777" w:rsidR="001C2B6A" w:rsidRPr="00646F04" w:rsidRDefault="00000000">
            <w:pPr>
              <w:pStyle w:val="Compact"/>
              <w:spacing w:after="0" w:line="240" w:lineRule="auto"/>
              <w:jc w:val="left"/>
              <w:rPr>
                <w:color w:val="000000" w:themeColor="text1"/>
              </w:rPr>
            </w:pPr>
            <w:r w:rsidRPr="00646F04">
              <w:rPr>
                <w:color w:val="000000" w:themeColor="text1"/>
              </w:rPr>
              <w:t>Seven reversals occurred in near-null, wide-interval functional estimates; the complete results are available from the corresponding author on reasonable request.</w:t>
            </w:r>
          </w:p>
        </w:tc>
      </w:tr>
      <w:tr w:rsidR="00646F04" w:rsidRPr="00646F04" w14:paraId="52533BB5" w14:textId="77777777" w:rsidTr="00646F04">
        <w:tc>
          <w:tcPr>
            <w:tcW w:w="0" w:type="auto"/>
            <w:tcBorders>
              <w:top w:val="nil"/>
              <w:left w:val="nil"/>
              <w:bottom w:val="nil"/>
              <w:right w:val="nil"/>
            </w:tcBorders>
            <w:shd w:val="clear" w:color="auto" w:fill="auto"/>
            <w:vAlign w:val="center"/>
          </w:tcPr>
          <w:p w14:paraId="2C26B65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Full-wave 0.5/99.5 and untruncated IPCW, H1 vs H2/H3 T2</w:t>
            </w:r>
          </w:p>
        </w:tc>
        <w:tc>
          <w:tcPr>
            <w:tcW w:w="0" w:type="auto"/>
            <w:tcBorders>
              <w:top w:val="nil"/>
              <w:left w:val="nil"/>
              <w:bottom w:val="nil"/>
              <w:right w:val="nil"/>
            </w:tcBorders>
            <w:shd w:val="clear" w:color="auto" w:fill="auto"/>
            <w:vAlign w:val="center"/>
          </w:tcPr>
          <w:p w14:paraId="642EB36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24/24</w:t>
            </w:r>
          </w:p>
        </w:tc>
        <w:tc>
          <w:tcPr>
            <w:tcW w:w="0" w:type="auto"/>
            <w:tcBorders>
              <w:top w:val="nil"/>
              <w:left w:val="nil"/>
              <w:bottom w:val="nil"/>
              <w:right w:val="nil"/>
            </w:tcBorders>
            <w:shd w:val="clear" w:color="auto" w:fill="auto"/>
            <w:vAlign w:val="center"/>
          </w:tcPr>
          <w:p w14:paraId="6EA530E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All models converged and agreed in direction with the 1/99 main models.</w:t>
            </w:r>
          </w:p>
        </w:tc>
      </w:tr>
      <w:tr w:rsidR="00646F04" w:rsidRPr="00646F04" w14:paraId="4B3A7B37" w14:textId="77777777" w:rsidTr="00646F04">
        <w:tc>
          <w:tcPr>
            <w:tcW w:w="0" w:type="auto"/>
            <w:tcBorders>
              <w:top w:val="nil"/>
              <w:left w:val="nil"/>
              <w:bottom w:val="single" w:sz="8" w:space="0" w:color="404040"/>
              <w:right w:val="nil"/>
            </w:tcBorders>
            <w:shd w:val="clear" w:color="auto" w:fill="auto"/>
            <w:vAlign w:val="center"/>
          </w:tcPr>
          <w:p w14:paraId="5E26646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Python vs Stata closest-specification comparisons</w:t>
            </w:r>
          </w:p>
        </w:tc>
        <w:tc>
          <w:tcPr>
            <w:tcW w:w="0" w:type="auto"/>
            <w:tcBorders>
              <w:top w:val="nil"/>
              <w:left w:val="nil"/>
              <w:bottom w:val="single" w:sz="8" w:space="0" w:color="404040"/>
              <w:right w:val="nil"/>
            </w:tcBorders>
            <w:shd w:val="clear" w:color="auto" w:fill="auto"/>
            <w:vAlign w:val="center"/>
          </w:tcPr>
          <w:p w14:paraId="01E6682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11/12</w:t>
            </w:r>
          </w:p>
        </w:tc>
        <w:tc>
          <w:tcPr>
            <w:tcW w:w="0" w:type="auto"/>
            <w:tcBorders>
              <w:top w:val="nil"/>
              <w:left w:val="nil"/>
              <w:bottom w:val="single" w:sz="8" w:space="0" w:color="404040"/>
              <w:right w:val="nil"/>
            </w:tcBorders>
            <w:shd w:val="clear" w:color="auto" w:fill="auto"/>
            <w:vAlign w:val="center"/>
          </w:tcPr>
          <w:p w14:paraId="7F35BA5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Discordant row: CHARLS H1 vs H3 ADL, Python 1.045 (0.665–1.642) vs Stata 0.893 (0.563–1.414); both intervals cross 1.</w:t>
            </w:r>
          </w:p>
        </w:tc>
      </w:tr>
    </w:tbl>
    <w:p w14:paraId="1D95D535" w14:textId="77777777" w:rsidR="001C2B6A" w:rsidRPr="00646F04" w:rsidRDefault="00000000">
      <w:pPr>
        <w:pStyle w:val="a0"/>
        <w:rPr>
          <w:color w:val="000000" w:themeColor="text1"/>
        </w:rPr>
      </w:pPr>
      <w:r w:rsidRPr="00646F04">
        <w:rPr>
          <w:color w:val="000000" w:themeColor="text1"/>
        </w:rPr>
        <w:t>Notes. Panel A compares the saved T1 core reference with two T1 sensitivity specifications and an available-context complete-case model; numerical identity is neither expected nor claimed. Panel B uses the T2 full-wave specification. The 2018–2020 pandemic/mode interval was analysed separately and is not mixed with the pre-2018 primary non-mortality window; the results are available from the corresponding author on reasonable request. Stata is an independent direction-validation companion, not a numerically identical replication of the Python model.</w:t>
      </w:r>
    </w:p>
    <w:p w14:paraId="18211F22" w14:textId="77777777" w:rsidR="001C2B6A" w:rsidRPr="00646F04" w:rsidRDefault="005C035C">
      <w:pPr>
        <w:rPr>
          <w:color w:val="000000" w:themeColor="text1"/>
        </w:rPr>
      </w:pPr>
      <w:r>
        <w:rPr>
          <w:rFonts w:eastAsia="Source Han Serif SC"/>
          <w:noProof/>
          <w:color w:val="000000" w:themeColor="text1"/>
        </w:rPr>
        <w:lastRenderedPageBreak/>
        <w:pict w14:anchorId="369DDBE1">
          <v:rect id="_x0000_i1027" alt="" style="width:415.3pt;height:.05pt;mso-width-percent:0;mso-height-percent:0;mso-width-percent:0;mso-height-percent:0" o:hralign="center" o:hrstd="t" o:hr="t"/>
        </w:pict>
      </w:r>
    </w:p>
    <w:p w14:paraId="49B41CC4" w14:textId="77777777" w:rsidR="001C2B6A" w:rsidRPr="00646F04" w:rsidRDefault="00000000">
      <w:pPr>
        <w:pStyle w:val="2"/>
        <w:rPr>
          <w:color w:val="000000" w:themeColor="text1"/>
        </w:rPr>
      </w:pPr>
      <w:bookmarkStart w:id="51" w:name="Xe80761832f8aab9e7b8045fb57078e574000cb9"/>
      <w:bookmarkEnd w:id="47"/>
      <w:bookmarkEnd w:id="50"/>
      <w:r w:rsidRPr="00646F04">
        <w:rPr>
          <w:rFonts w:ascii="Arial" w:eastAsia="Source Han Serif SC" w:hAnsi="Arial" w:cs="Arial"/>
          <w:color w:val="000000" w:themeColor="text1"/>
        </w:rPr>
        <w:t>Table S8. DFM validation, adjusted multistate transitions and multimorbidity-network diagnostics</w:t>
      </w:r>
    </w:p>
    <w:p w14:paraId="1DC054A3" w14:textId="77777777" w:rsidR="001C2B6A" w:rsidRPr="00646F04" w:rsidRDefault="00000000">
      <w:pPr>
        <w:pStyle w:val="3"/>
        <w:rPr>
          <w:color w:val="000000" w:themeColor="text1"/>
        </w:rPr>
      </w:pPr>
      <w:bookmarkStart w:id="52" w:name="X3ee8d79d724bddbb212c359e37e69e8ae56f66b"/>
      <w:r w:rsidRPr="00646F04">
        <w:rPr>
          <w:rFonts w:ascii="Arial" w:eastAsia="Source Han Serif SC" w:hAnsi="Arial" w:cs="Arial"/>
          <w:color w:val="000000" w:themeColor="text1"/>
        </w:rPr>
        <w:t>Panel A. Internal validation of disease–function mismatch (per 1-SD higher DFM)</w:t>
      </w:r>
    </w:p>
    <w:tbl>
      <w:tblPr>
        <w:tblStyle w:val="Table"/>
        <w:tblW w:w="5000" w:type="pct"/>
        <w:tblLook w:val="0020" w:firstRow="1" w:lastRow="0" w:firstColumn="0" w:lastColumn="0" w:noHBand="0" w:noVBand="0"/>
      </w:tblPr>
      <w:tblGrid>
        <w:gridCol w:w="1206"/>
        <w:gridCol w:w="2305"/>
        <w:gridCol w:w="2113"/>
        <w:gridCol w:w="1493"/>
        <w:gridCol w:w="3602"/>
        <w:gridCol w:w="3959"/>
      </w:tblGrid>
      <w:tr w:rsidR="00646F04" w:rsidRPr="00646F04" w14:paraId="68798B09"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767BA4FD"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00756B7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Four-year outcome</w:t>
            </w:r>
          </w:p>
        </w:tc>
        <w:tc>
          <w:tcPr>
            <w:tcW w:w="0" w:type="auto"/>
            <w:tcBorders>
              <w:top w:val="single" w:sz="8" w:space="0" w:color="404040"/>
              <w:left w:val="nil"/>
              <w:bottom w:val="single" w:sz="5" w:space="0" w:color="707070"/>
              <w:right w:val="nil"/>
            </w:tcBorders>
            <w:shd w:val="clear" w:color="auto" w:fill="auto"/>
            <w:vAlign w:val="center"/>
          </w:tcPr>
          <w:p w14:paraId="33A8308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OR (95% CI)</w:t>
            </w:r>
          </w:p>
        </w:tc>
        <w:tc>
          <w:tcPr>
            <w:tcW w:w="0" w:type="auto"/>
            <w:tcBorders>
              <w:top w:val="single" w:sz="8" w:space="0" w:color="404040"/>
              <w:left w:val="nil"/>
              <w:bottom w:val="single" w:sz="5" w:space="0" w:color="707070"/>
              <w:right w:val="nil"/>
            </w:tcBorders>
            <w:shd w:val="clear" w:color="auto" w:fill="auto"/>
            <w:vAlign w:val="center"/>
          </w:tcPr>
          <w:p w14:paraId="565BBB9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n/events</w:t>
            </w:r>
          </w:p>
        </w:tc>
        <w:tc>
          <w:tcPr>
            <w:tcW w:w="0" w:type="auto"/>
            <w:tcBorders>
              <w:top w:val="single" w:sz="8" w:space="0" w:color="404040"/>
              <w:left w:val="nil"/>
              <w:bottom w:val="single" w:sz="5" w:space="0" w:color="707070"/>
              <w:right w:val="nil"/>
            </w:tcBorders>
            <w:shd w:val="clear" w:color="auto" w:fill="auto"/>
            <w:vAlign w:val="center"/>
          </w:tcPr>
          <w:p w14:paraId="183936F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AUC: base → +DFM (increment)</w:t>
            </w:r>
          </w:p>
        </w:tc>
        <w:tc>
          <w:tcPr>
            <w:tcW w:w="0" w:type="auto"/>
            <w:tcBorders>
              <w:top w:val="single" w:sz="8" w:space="0" w:color="404040"/>
              <w:left w:val="nil"/>
              <w:bottom w:val="single" w:sz="5" w:space="0" w:color="707070"/>
              <w:right w:val="nil"/>
            </w:tcBorders>
            <w:shd w:val="clear" w:color="auto" w:fill="auto"/>
            <w:vAlign w:val="center"/>
          </w:tcPr>
          <w:p w14:paraId="65FE5115"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Brier: base → +DFM (improvement)</w:t>
            </w:r>
          </w:p>
        </w:tc>
      </w:tr>
      <w:tr w:rsidR="00646F04" w:rsidRPr="00646F04" w14:paraId="795AB3DF" w14:textId="77777777" w:rsidTr="00646F04">
        <w:tc>
          <w:tcPr>
            <w:tcW w:w="0" w:type="auto"/>
            <w:tcBorders>
              <w:top w:val="nil"/>
              <w:left w:val="nil"/>
              <w:bottom w:val="nil"/>
              <w:right w:val="nil"/>
            </w:tcBorders>
            <w:shd w:val="clear" w:color="auto" w:fill="auto"/>
            <w:vAlign w:val="center"/>
          </w:tcPr>
          <w:p w14:paraId="19D7D48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0800127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disease</w:t>
            </w:r>
          </w:p>
        </w:tc>
        <w:tc>
          <w:tcPr>
            <w:tcW w:w="0" w:type="auto"/>
            <w:tcBorders>
              <w:top w:val="nil"/>
              <w:left w:val="nil"/>
              <w:bottom w:val="nil"/>
              <w:right w:val="nil"/>
            </w:tcBorders>
            <w:shd w:val="clear" w:color="auto" w:fill="auto"/>
            <w:vAlign w:val="center"/>
          </w:tcPr>
          <w:p w14:paraId="05D1ECA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0.801 (0.709–0.904)</w:t>
            </w:r>
          </w:p>
        </w:tc>
        <w:tc>
          <w:tcPr>
            <w:tcW w:w="0" w:type="auto"/>
            <w:tcBorders>
              <w:top w:val="nil"/>
              <w:left w:val="nil"/>
              <w:bottom w:val="nil"/>
              <w:right w:val="nil"/>
            </w:tcBorders>
            <w:shd w:val="clear" w:color="auto" w:fill="auto"/>
            <w:vAlign w:val="center"/>
          </w:tcPr>
          <w:p w14:paraId="6171633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8,169/2,278</w:t>
            </w:r>
          </w:p>
        </w:tc>
        <w:tc>
          <w:tcPr>
            <w:tcW w:w="0" w:type="auto"/>
            <w:tcBorders>
              <w:top w:val="nil"/>
              <w:left w:val="nil"/>
              <w:bottom w:val="nil"/>
              <w:right w:val="nil"/>
            </w:tcBorders>
            <w:shd w:val="clear" w:color="auto" w:fill="auto"/>
            <w:vAlign w:val="center"/>
          </w:tcPr>
          <w:p w14:paraId="55F821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0.580 → 0.600 (+0.020)</w:t>
            </w:r>
          </w:p>
        </w:tc>
        <w:tc>
          <w:tcPr>
            <w:tcW w:w="0" w:type="auto"/>
            <w:tcBorders>
              <w:top w:val="nil"/>
              <w:left w:val="nil"/>
              <w:bottom w:val="nil"/>
              <w:right w:val="nil"/>
            </w:tcBorders>
            <w:shd w:val="clear" w:color="auto" w:fill="auto"/>
            <w:vAlign w:val="center"/>
          </w:tcPr>
          <w:p w14:paraId="2B3A5E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0.1985 → 0.1964 (+0.0021)</w:t>
            </w:r>
          </w:p>
        </w:tc>
      </w:tr>
      <w:tr w:rsidR="00646F04" w:rsidRPr="00646F04" w14:paraId="73E73159" w14:textId="77777777" w:rsidTr="00646F04">
        <w:tc>
          <w:tcPr>
            <w:tcW w:w="0" w:type="auto"/>
            <w:tcBorders>
              <w:top w:val="nil"/>
              <w:left w:val="nil"/>
              <w:bottom w:val="nil"/>
              <w:right w:val="nil"/>
            </w:tcBorders>
            <w:shd w:val="clear" w:color="auto" w:fill="auto"/>
            <w:vAlign w:val="center"/>
          </w:tcPr>
          <w:p w14:paraId="27B3796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2B456D5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217F6A6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0.533 (0.474–0.600)</w:t>
            </w:r>
          </w:p>
        </w:tc>
        <w:tc>
          <w:tcPr>
            <w:tcW w:w="0" w:type="auto"/>
            <w:tcBorders>
              <w:top w:val="nil"/>
              <w:left w:val="nil"/>
              <w:bottom w:val="nil"/>
              <w:right w:val="nil"/>
            </w:tcBorders>
            <w:shd w:val="clear" w:color="auto" w:fill="auto"/>
            <w:vAlign w:val="center"/>
          </w:tcPr>
          <w:p w14:paraId="3022EC0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7,080/1,288</w:t>
            </w:r>
          </w:p>
        </w:tc>
        <w:tc>
          <w:tcPr>
            <w:tcW w:w="0" w:type="auto"/>
            <w:tcBorders>
              <w:top w:val="nil"/>
              <w:left w:val="nil"/>
              <w:bottom w:val="nil"/>
              <w:right w:val="nil"/>
            </w:tcBorders>
            <w:shd w:val="clear" w:color="auto" w:fill="auto"/>
            <w:vAlign w:val="center"/>
          </w:tcPr>
          <w:p w14:paraId="46C5C23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0.687 → 0.740 (+0.053)</w:t>
            </w:r>
          </w:p>
        </w:tc>
        <w:tc>
          <w:tcPr>
            <w:tcW w:w="0" w:type="auto"/>
            <w:tcBorders>
              <w:top w:val="nil"/>
              <w:left w:val="nil"/>
              <w:bottom w:val="nil"/>
              <w:right w:val="nil"/>
            </w:tcBorders>
            <w:shd w:val="clear" w:color="auto" w:fill="auto"/>
            <w:vAlign w:val="center"/>
          </w:tcPr>
          <w:p w14:paraId="2BB9045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0.1290 → 0.1220 (+0.0070)</w:t>
            </w:r>
          </w:p>
        </w:tc>
      </w:tr>
      <w:tr w:rsidR="00646F04" w:rsidRPr="00646F04" w14:paraId="6951F15F" w14:textId="77777777" w:rsidTr="00646F04">
        <w:tc>
          <w:tcPr>
            <w:tcW w:w="0" w:type="auto"/>
            <w:tcBorders>
              <w:top w:val="nil"/>
              <w:left w:val="nil"/>
              <w:bottom w:val="nil"/>
              <w:right w:val="nil"/>
            </w:tcBorders>
            <w:shd w:val="clear" w:color="auto" w:fill="auto"/>
            <w:vAlign w:val="center"/>
          </w:tcPr>
          <w:p w14:paraId="075D1DB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1A48DA9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nil"/>
              <w:right w:val="nil"/>
            </w:tcBorders>
            <w:shd w:val="clear" w:color="auto" w:fill="auto"/>
            <w:vAlign w:val="center"/>
          </w:tcPr>
          <w:p w14:paraId="77F734D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0.556 (0.497–0.623)</w:t>
            </w:r>
          </w:p>
        </w:tc>
        <w:tc>
          <w:tcPr>
            <w:tcW w:w="0" w:type="auto"/>
            <w:tcBorders>
              <w:top w:val="nil"/>
              <w:left w:val="nil"/>
              <w:bottom w:val="nil"/>
              <w:right w:val="nil"/>
            </w:tcBorders>
            <w:shd w:val="clear" w:color="auto" w:fill="auto"/>
            <w:vAlign w:val="center"/>
          </w:tcPr>
          <w:p w14:paraId="61B2EF5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6,624/1,141</w:t>
            </w:r>
          </w:p>
        </w:tc>
        <w:tc>
          <w:tcPr>
            <w:tcW w:w="0" w:type="auto"/>
            <w:tcBorders>
              <w:top w:val="nil"/>
              <w:left w:val="nil"/>
              <w:bottom w:val="nil"/>
              <w:right w:val="nil"/>
            </w:tcBorders>
            <w:shd w:val="clear" w:color="auto" w:fill="auto"/>
            <w:vAlign w:val="center"/>
          </w:tcPr>
          <w:p w14:paraId="2895220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0.684 → 0.732 (+0.048)</w:t>
            </w:r>
          </w:p>
        </w:tc>
        <w:tc>
          <w:tcPr>
            <w:tcW w:w="0" w:type="auto"/>
            <w:tcBorders>
              <w:top w:val="nil"/>
              <w:left w:val="nil"/>
              <w:bottom w:val="nil"/>
              <w:right w:val="nil"/>
            </w:tcBorders>
            <w:shd w:val="clear" w:color="auto" w:fill="auto"/>
            <w:vAlign w:val="center"/>
          </w:tcPr>
          <w:p w14:paraId="7C47CB5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0.1223 → 0.1168 (+0.0055)</w:t>
            </w:r>
          </w:p>
        </w:tc>
      </w:tr>
      <w:tr w:rsidR="00646F04" w:rsidRPr="00646F04" w14:paraId="7CC52562" w14:textId="77777777" w:rsidTr="00646F04">
        <w:tc>
          <w:tcPr>
            <w:tcW w:w="0" w:type="auto"/>
            <w:tcBorders>
              <w:top w:val="nil"/>
              <w:left w:val="nil"/>
              <w:bottom w:val="nil"/>
              <w:right w:val="nil"/>
            </w:tcBorders>
            <w:shd w:val="clear" w:color="auto" w:fill="auto"/>
            <w:vAlign w:val="center"/>
          </w:tcPr>
          <w:p w14:paraId="07A5BF1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7CA015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new disease</w:t>
            </w:r>
          </w:p>
        </w:tc>
        <w:tc>
          <w:tcPr>
            <w:tcW w:w="0" w:type="auto"/>
            <w:tcBorders>
              <w:top w:val="nil"/>
              <w:left w:val="nil"/>
              <w:bottom w:val="nil"/>
              <w:right w:val="nil"/>
            </w:tcBorders>
            <w:shd w:val="clear" w:color="auto" w:fill="auto"/>
            <w:vAlign w:val="center"/>
          </w:tcPr>
          <w:p w14:paraId="24664C1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0.764 (0.723–0.807)</w:t>
            </w:r>
          </w:p>
        </w:tc>
        <w:tc>
          <w:tcPr>
            <w:tcW w:w="0" w:type="auto"/>
            <w:tcBorders>
              <w:top w:val="nil"/>
              <w:left w:val="nil"/>
              <w:bottom w:val="nil"/>
              <w:right w:val="nil"/>
            </w:tcBorders>
            <w:shd w:val="clear" w:color="auto" w:fill="auto"/>
            <w:vAlign w:val="center"/>
          </w:tcPr>
          <w:p w14:paraId="0381A77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12,073/3,292</w:t>
            </w:r>
          </w:p>
        </w:tc>
        <w:tc>
          <w:tcPr>
            <w:tcW w:w="0" w:type="auto"/>
            <w:tcBorders>
              <w:top w:val="nil"/>
              <w:left w:val="nil"/>
              <w:bottom w:val="nil"/>
              <w:right w:val="nil"/>
            </w:tcBorders>
            <w:shd w:val="clear" w:color="auto" w:fill="auto"/>
            <w:vAlign w:val="center"/>
          </w:tcPr>
          <w:p w14:paraId="2002079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0.591 → 0.616 (+0.024)</w:t>
            </w:r>
          </w:p>
        </w:tc>
        <w:tc>
          <w:tcPr>
            <w:tcW w:w="0" w:type="auto"/>
            <w:tcBorders>
              <w:top w:val="nil"/>
              <w:left w:val="nil"/>
              <w:bottom w:val="nil"/>
              <w:right w:val="nil"/>
            </w:tcBorders>
            <w:shd w:val="clear" w:color="auto" w:fill="auto"/>
            <w:vAlign w:val="center"/>
          </w:tcPr>
          <w:p w14:paraId="08E9649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0.1910 → 0.1885 (+0.0025)</w:t>
            </w:r>
          </w:p>
        </w:tc>
      </w:tr>
      <w:tr w:rsidR="00646F04" w:rsidRPr="00646F04" w14:paraId="331CDAF2" w14:textId="77777777" w:rsidTr="00646F04">
        <w:tc>
          <w:tcPr>
            <w:tcW w:w="0" w:type="auto"/>
            <w:tcBorders>
              <w:top w:val="nil"/>
              <w:left w:val="nil"/>
              <w:bottom w:val="nil"/>
              <w:right w:val="nil"/>
            </w:tcBorders>
            <w:shd w:val="clear" w:color="auto" w:fill="auto"/>
            <w:vAlign w:val="center"/>
          </w:tcPr>
          <w:p w14:paraId="32381EB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DFED43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ADL</w:t>
            </w:r>
          </w:p>
        </w:tc>
        <w:tc>
          <w:tcPr>
            <w:tcW w:w="0" w:type="auto"/>
            <w:tcBorders>
              <w:top w:val="nil"/>
              <w:left w:val="nil"/>
              <w:bottom w:val="nil"/>
              <w:right w:val="nil"/>
            </w:tcBorders>
            <w:shd w:val="clear" w:color="auto" w:fill="auto"/>
            <w:vAlign w:val="center"/>
          </w:tcPr>
          <w:p w14:paraId="241FAF8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0.516 (0.471–0.565)</w:t>
            </w:r>
          </w:p>
        </w:tc>
        <w:tc>
          <w:tcPr>
            <w:tcW w:w="0" w:type="auto"/>
            <w:tcBorders>
              <w:top w:val="nil"/>
              <w:left w:val="nil"/>
              <w:bottom w:val="nil"/>
              <w:right w:val="nil"/>
            </w:tcBorders>
            <w:shd w:val="clear" w:color="auto" w:fill="auto"/>
            <w:vAlign w:val="center"/>
          </w:tcPr>
          <w:p w14:paraId="6E9E73D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10,521/1,102</w:t>
            </w:r>
          </w:p>
        </w:tc>
        <w:tc>
          <w:tcPr>
            <w:tcW w:w="0" w:type="auto"/>
            <w:tcBorders>
              <w:top w:val="nil"/>
              <w:left w:val="nil"/>
              <w:bottom w:val="nil"/>
              <w:right w:val="nil"/>
            </w:tcBorders>
            <w:shd w:val="clear" w:color="auto" w:fill="auto"/>
            <w:vAlign w:val="center"/>
          </w:tcPr>
          <w:p w14:paraId="4FCEBAB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0.731 → 0.781 (+0.050)</w:t>
            </w:r>
          </w:p>
        </w:tc>
        <w:tc>
          <w:tcPr>
            <w:tcW w:w="0" w:type="auto"/>
            <w:tcBorders>
              <w:top w:val="nil"/>
              <w:left w:val="nil"/>
              <w:bottom w:val="nil"/>
              <w:right w:val="nil"/>
            </w:tcBorders>
            <w:shd w:val="clear" w:color="auto" w:fill="auto"/>
            <w:vAlign w:val="center"/>
          </w:tcPr>
          <w:p w14:paraId="48DF21B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0.0768 → 0.0738 (+0.0030)</w:t>
            </w:r>
          </w:p>
        </w:tc>
      </w:tr>
      <w:tr w:rsidR="00646F04" w:rsidRPr="00646F04" w14:paraId="6DD10F3F" w14:textId="77777777" w:rsidTr="00646F04">
        <w:tc>
          <w:tcPr>
            <w:tcW w:w="0" w:type="auto"/>
            <w:tcBorders>
              <w:top w:val="nil"/>
              <w:left w:val="nil"/>
              <w:bottom w:val="single" w:sz="8" w:space="0" w:color="404040"/>
              <w:right w:val="nil"/>
            </w:tcBorders>
            <w:shd w:val="clear" w:color="auto" w:fill="auto"/>
            <w:vAlign w:val="center"/>
          </w:tcPr>
          <w:p w14:paraId="7508469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5989C09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IADL</w:t>
            </w:r>
          </w:p>
        </w:tc>
        <w:tc>
          <w:tcPr>
            <w:tcW w:w="0" w:type="auto"/>
            <w:tcBorders>
              <w:top w:val="nil"/>
              <w:left w:val="nil"/>
              <w:bottom w:val="single" w:sz="8" w:space="0" w:color="404040"/>
              <w:right w:val="nil"/>
            </w:tcBorders>
            <w:shd w:val="clear" w:color="auto" w:fill="auto"/>
            <w:vAlign w:val="center"/>
          </w:tcPr>
          <w:p w14:paraId="14AD31C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0.505 (0.458–0.556)</w:t>
            </w:r>
          </w:p>
        </w:tc>
        <w:tc>
          <w:tcPr>
            <w:tcW w:w="0" w:type="auto"/>
            <w:tcBorders>
              <w:top w:val="nil"/>
              <w:left w:val="nil"/>
              <w:bottom w:val="single" w:sz="8" w:space="0" w:color="404040"/>
              <w:right w:val="nil"/>
            </w:tcBorders>
            <w:shd w:val="clear" w:color="auto" w:fill="auto"/>
            <w:vAlign w:val="center"/>
          </w:tcPr>
          <w:p w14:paraId="535A59A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10,011/880</w:t>
            </w:r>
          </w:p>
        </w:tc>
        <w:tc>
          <w:tcPr>
            <w:tcW w:w="0" w:type="auto"/>
            <w:tcBorders>
              <w:top w:val="nil"/>
              <w:left w:val="nil"/>
              <w:bottom w:val="single" w:sz="8" w:space="0" w:color="404040"/>
              <w:right w:val="nil"/>
            </w:tcBorders>
            <w:shd w:val="clear" w:color="auto" w:fill="auto"/>
            <w:vAlign w:val="center"/>
          </w:tcPr>
          <w:p w14:paraId="4C2D6F3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0.736 → 0.791 (+0.055)</w:t>
            </w:r>
          </w:p>
        </w:tc>
        <w:tc>
          <w:tcPr>
            <w:tcW w:w="0" w:type="auto"/>
            <w:tcBorders>
              <w:top w:val="nil"/>
              <w:left w:val="nil"/>
              <w:bottom w:val="single" w:sz="8" w:space="0" w:color="404040"/>
              <w:right w:val="nil"/>
            </w:tcBorders>
            <w:shd w:val="clear" w:color="auto" w:fill="auto"/>
            <w:vAlign w:val="center"/>
          </w:tcPr>
          <w:p w14:paraId="0611A41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0.0639 → 0.0616 (+0.0024)</w:t>
            </w:r>
          </w:p>
        </w:tc>
      </w:tr>
    </w:tbl>
    <w:p w14:paraId="0842DE9F" w14:textId="77777777" w:rsidR="001C2B6A" w:rsidRPr="00646F04" w:rsidRDefault="00000000">
      <w:pPr>
        <w:pStyle w:val="3"/>
        <w:rPr>
          <w:color w:val="000000" w:themeColor="text1"/>
        </w:rPr>
      </w:pPr>
      <w:bookmarkStart w:id="53" w:name="Xa3f49eda7afbff14618792a97009f49c96feb31"/>
      <w:bookmarkEnd w:id="52"/>
      <w:r w:rsidRPr="00646F04">
        <w:rPr>
          <w:rFonts w:ascii="Arial" w:eastAsia="Source Han Serif SC" w:hAnsi="Arial" w:cs="Arial"/>
          <w:color w:val="000000" w:themeColor="text1"/>
        </w:rPr>
        <w:t>Panel B. H1 vs H3 T2 cause-specific multistate models</w:t>
      </w:r>
    </w:p>
    <w:tbl>
      <w:tblPr>
        <w:tblStyle w:val="Table"/>
        <w:tblW w:w="5000" w:type="pct"/>
        <w:tblLook w:val="0020" w:firstRow="1" w:lastRow="0" w:firstColumn="0" w:lastColumn="0" w:noHBand="0" w:noVBand="0"/>
      </w:tblPr>
      <w:tblGrid>
        <w:gridCol w:w="1695"/>
        <w:gridCol w:w="3786"/>
        <w:gridCol w:w="2972"/>
        <w:gridCol w:w="1353"/>
        <w:gridCol w:w="1730"/>
        <w:gridCol w:w="3142"/>
      </w:tblGrid>
      <w:tr w:rsidR="00646F04" w:rsidRPr="00646F04" w14:paraId="75012D36"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0863419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62D92BA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Transition</w:t>
            </w:r>
          </w:p>
        </w:tc>
        <w:tc>
          <w:tcPr>
            <w:tcW w:w="0" w:type="auto"/>
            <w:tcBorders>
              <w:top w:val="single" w:sz="8" w:space="0" w:color="404040"/>
              <w:left w:val="nil"/>
              <w:bottom w:val="single" w:sz="5" w:space="0" w:color="707070"/>
              <w:right w:val="nil"/>
            </w:tcBorders>
            <w:shd w:val="clear" w:color="auto" w:fill="auto"/>
            <w:vAlign w:val="center"/>
          </w:tcPr>
          <w:p w14:paraId="406C9D07"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HR (95% CI)</w:t>
            </w:r>
          </w:p>
        </w:tc>
        <w:tc>
          <w:tcPr>
            <w:tcW w:w="0" w:type="auto"/>
            <w:tcBorders>
              <w:top w:val="single" w:sz="8" w:space="0" w:color="404040"/>
              <w:left w:val="nil"/>
              <w:bottom w:val="single" w:sz="5" w:space="0" w:color="707070"/>
              <w:right w:val="nil"/>
            </w:tcBorders>
            <w:shd w:val="clear" w:color="auto" w:fill="auto"/>
            <w:vAlign w:val="center"/>
          </w:tcPr>
          <w:p w14:paraId="21D0FCF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P</w:t>
            </w:r>
          </w:p>
        </w:tc>
        <w:tc>
          <w:tcPr>
            <w:tcW w:w="0" w:type="auto"/>
            <w:tcBorders>
              <w:top w:val="single" w:sz="8" w:space="0" w:color="404040"/>
              <w:left w:val="nil"/>
              <w:bottom w:val="single" w:sz="5" w:space="0" w:color="707070"/>
              <w:right w:val="nil"/>
            </w:tcBorders>
            <w:shd w:val="clear" w:color="auto" w:fill="auto"/>
            <w:vAlign w:val="center"/>
          </w:tcPr>
          <w:p w14:paraId="69849CDD"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n/events</w:t>
            </w:r>
          </w:p>
        </w:tc>
        <w:tc>
          <w:tcPr>
            <w:tcW w:w="0" w:type="auto"/>
            <w:tcBorders>
              <w:top w:val="single" w:sz="8" w:space="0" w:color="404040"/>
              <w:left w:val="nil"/>
              <w:bottom w:val="single" w:sz="5" w:space="0" w:color="707070"/>
              <w:right w:val="nil"/>
            </w:tcBorders>
            <w:shd w:val="clear" w:color="auto" w:fill="auto"/>
            <w:vAlign w:val="center"/>
          </w:tcPr>
          <w:p w14:paraId="1F82B90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Converged/sparse</w:t>
            </w:r>
          </w:p>
        </w:tc>
      </w:tr>
      <w:tr w:rsidR="00646F04" w:rsidRPr="00646F04" w14:paraId="760D6E24" w14:textId="77777777" w:rsidTr="00646F04">
        <w:tc>
          <w:tcPr>
            <w:tcW w:w="0" w:type="auto"/>
            <w:tcBorders>
              <w:top w:val="nil"/>
              <w:left w:val="nil"/>
              <w:bottom w:val="nil"/>
              <w:right w:val="nil"/>
            </w:tcBorders>
            <w:shd w:val="clear" w:color="auto" w:fill="auto"/>
            <w:vAlign w:val="center"/>
          </w:tcPr>
          <w:p w14:paraId="4930717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627ED8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S0→S1</w:t>
            </w:r>
          </w:p>
        </w:tc>
        <w:tc>
          <w:tcPr>
            <w:tcW w:w="0" w:type="auto"/>
            <w:tcBorders>
              <w:top w:val="nil"/>
              <w:left w:val="nil"/>
              <w:bottom w:val="nil"/>
              <w:right w:val="nil"/>
            </w:tcBorders>
            <w:shd w:val="clear" w:color="auto" w:fill="auto"/>
            <w:vAlign w:val="center"/>
          </w:tcPr>
          <w:p w14:paraId="374FE4C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0.429 (0.270–0.680)</w:t>
            </w:r>
          </w:p>
        </w:tc>
        <w:tc>
          <w:tcPr>
            <w:tcW w:w="0" w:type="auto"/>
            <w:tcBorders>
              <w:top w:val="nil"/>
              <w:left w:val="nil"/>
              <w:bottom w:val="nil"/>
              <w:right w:val="nil"/>
            </w:tcBorders>
            <w:shd w:val="clear" w:color="auto" w:fill="auto"/>
            <w:vAlign w:val="center"/>
          </w:tcPr>
          <w:p w14:paraId="0F08518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&lt;0.001</w:t>
            </w:r>
          </w:p>
        </w:tc>
        <w:tc>
          <w:tcPr>
            <w:tcW w:w="0" w:type="auto"/>
            <w:tcBorders>
              <w:top w:val="nil"/>
              <w:left w:val="nil"/>
              <w:bottom w:val="nil"/>
              <w:right w:val="nil"/>
            </w:tcBorders>
            <w:shd w:val="clear" w:color="auto" w:fill="auto"/>
            <w:vAlign w:val="center"/>
          </w:tcPr>
          <w:p w14:paraId="4D2C7A7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2,046/142</w:t>
            </w:r>
          </w:p>
        </w:tc>
        <w:tc>
          <w:tcPr>
            <w:tcW w:w="0" w:type="auto"/>
            <w:tcBorders>
              <w:top w:val="nil"/>
              <w:left w:val="nil"/>
              <w:bottom w:val="nil"/>
              <w:right w:val="nil"/>
            </w:tcBorders>
            <w:shd w:val="clear" w:color="auto" w:fill="auto"/>
            <w:vAlign w:val="center"/>
          </w:tcPr>
          <w:p w14:paraId="3E62F994"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0B34F764" w14:textId="77777777" w:rsidTr="00646F04">
        <w:tc>
          <w:tcPr>
            <w:tcW w:w="0" w:type="auto"/>
            <w:tcBorders>
              <w:top w:val="nil"/>
              <w:left w:val="nil"/>
              <w:bottom w:val="nil"/>
              <w:right w:val="nil"/>
            </w:tcBorders>
            <w:shd w:val="clear" w:color="auto" w:fill="auto"/>
            <w:vAlign w:val="center"/>
          </w:tcPr>
          <w:p w14:paraId="7C4750F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56F8FCC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S0 or S1→S2</w:t>
            </w:r>
          </w:p>
        </w:tc>
        <w:tc>
          <w:tcPr>
            <w:tcW w:w="0" w:type="auto"/>
            <w:tcBorders>
              <w:top w:val="nil"/>
              <w:left w:val="nil"/>
              <w:bottom w:val="nil"/>
              <w:right w:val="nil"/>
            </w:tcBorders>
            <w:shd w:val="clear" w:color="auto" w:fill="auto"/>
            <w:vAlign w:val="center"/>
          </w:tcPr>
          <w:p w14:paraId="29052B7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0.713 (0.477–1.066)</w:t>
            </w:r>
          </w:p>
        </w:tc>
        <w:tc>
          <w:tcPr>
            <w:tcW w:w="0" w:type="auto"/>
            <w:tcBorders>
              <w:top w:val="nil"/>
              <w:left w:val="nil"/>
              <w:bottom w:val="nil"/>
              <w:right w:val="nil"/>
            </w:tcBorders>
            <w:shd w:val="clear" w:color="auto" w:fill="auto"/>
            <w:vAlign w:val="center"/>
          </w:tcPr>
          <w:p w14:paraId="466051C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0.099</w:t>
            </w:r>
          </w:p>
        </w:tc>
        <w:tc>
          <w:tcPr>
            <w:tcW w:w="0" w:type="auto"/>
            <w:tcBorders>
              <w:top w:val="nil"/>
              <w:left w:val="nil"/>
              <w:bottom w:val="nil"/>
              <w:right w:val="nil"/>
            </w:tcBorders>
            <w:shd w:val="clear" w:color="auto" w:fill="auto"/>
            <w:vAlign w:val="center"/>
          </w:tcPr>
          <w:p w14:paraId="782E6DA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2,490/216</w:t>
            </w:r>
          </w:p>
        </w:tc>
        <w:tc>
          <w:tcPr>
            <w:tcW w:w="0" w:type="auto"/>
            <w:tcBorders>
              <w:top w:val="nil"/>
              <w:left w:val="nil"/>
              <w:bottom w:val="nil"/>
              <w:right w:val="nil"/>
            </w:tcBorders>
            <w:shd w:val="clear" w:color="auto" w:fill="auto"/>
            <w:vAlign w:val="center"/>
          </w:tcPr>
          <w:p w14:paraId="28316D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521F1C63" w14:textId="77777777" w:rsidTr="00646F04">
        <w:tc>
          <w:tcPr>
            <w:tcW w:w="0" w:type="auto"/>
            <w:tcBorders>
              <w:top w:val="nil"/>
              <w:left w:val="nil"/>
              <w:bottom w:val="nil"/>
              <w:right w:val="nil"/>
            </w:tcBorders>
            <w:shd w:val="clear" w:color="auto" w:fill="auto"/>
            <w:vAlign w:val="center"/>
          </w:tcPr>
          <w:p w14:paraId="0A036DB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40954D7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Living without ADL→S3</w:t>
            </w:r>
          </w:p>
        </w:tc>
        <w:tc>
          <w:tcPr>
            <w:tcW w:w="0" w:type="auto"/>
            <w:tcBorders>
              <w:top w:val="nil"/>
              <w:left w:val="nil"/>
              <w:bottom w:val="nil"/>
              <w:right w:val="nil"/>
            </w:tcBorders>
            <w:shd w:val="clear" w:color="auto" w:fill="auto"/>
            <w:vAlign w:val="center"/>
          </w:tcPr>
          <w:p w14:paraId="3AC9A05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0.750 (0.537–1.046)</w:t>
            </w:r>
          </w:p>
        </w:tc>
        <w:tc>
          <w:tcPr>
            <w:tcW w:w="0" w:type="auto"/>
            <w:tcBorders>
              <w:top w:val="nil"/>
              <w:left w:val="nil"/>
              <w:bottom w:val="nil"/>
              <w:right w:val="nil"/>
            </w:tcBorders>
            <w:shd w:val="clear" w:color="auto" w:fill="auto"/>
            <w:vAlign w:val="center"/>
          </w:tcPr>
          <w:p w14:paraId="6419798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0.090</w:t>
            </w:r>
          </w:p>
        </w:tc>
        <w:tc>
          <w:tcPr>
            <w:tcW w:w="0" w:type="auto"/>
            <w:tcBorders>
              <w:top w:val="nil"/>
              <w:left w:val="nil"/>
              <w:bottom w:val="nil"/>
              <w:right w:val="nil"/>
            </w:tcBorders>
            <w:shd w:val="clear" w:color="auto" w:fill="auto"/>
            <w:vAlign w:val="center"/>
          </w:tcPr>
          <w:p w14:paraId="4058324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2,915/487</w:t>
            </w:r>
          </w:p>
        </w:tc>
        <w:tc>
          <w:tcPr>
            <w:tcW w:w="0" w:type="auto"/>
            <w:tcBorders>
              <w:top w:val="nil"/>
              <w:left w:val="nil"/>
              <w:bottom w:val="nil"/>
              <w:right w:val="nil"/>
            </w:tcBorders>
            <w:shd w:val="clear" w:color="auto" w:fill="auto"/>
            <w:vAlign w:val="center"/>
          </w:tcPr>
          <w:p w14:paraId="128D4F1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06F6DC6D" w14:textId="77777777" w:rsidTr="00646F04">
        <w:tc>
          <w:tcPr>
            <w:tcW w:w="0" w:type="auto"/>
            <w:tcBorders>
              <w:top w:val="nil"/>
              <w:left w:val="nil"/>
              <w:bottom w:val="nil"/>
              <w:right w:val="nil"/>
            </w:tcBorders>
            <w:shd w:val="clear" w:color="auto" w:fill="auto"/>
            <w:vAlign w:val="center"/>
          </w:tcPr>
          <w:p w14:paraId="0E90DA4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6613C21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living state→S4 death</w:t>
            </w:r>
          </w:p>
        </w:tc>
        <w:tc>
          <w:tcPr>
            <w:tcW w:w="0" w:type="auto"/>
            <w:tcBorders>
              <w:top w:val="nil"/>
              <w:left w:val="nil"/>
              <w:bottom w:val="nil"/>
              <w:right w:val="nil"/>
            </w:tcBorders>
            <w:shd w:val="clear" w:color="auto" w:fill="auto"/>
            <w:vAlign w:val="center"/>
          </w:tcPr>
          <w:p w14:paraId="1F09F1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0.951 (0.679–1.332)</w:t>
            </w:r>
          </w:p>
        </w:tc>
        <w:tc>
          <w:tcPr>
            <w:tcW w:w="0" w:type="auto"/>
            <w:tcBorders>
              <w:top w:val="nil"/>
              <w:left w:val="nil"/>
              <w:bottom w:val="nil"/>
              <w:right w:val="nil"/>
            </w:tcBorders>
            <w:shd w:val="clear" w:color="auto" w:fill="auto"/>
            <w:vAlign w:val="center"/>
          </w:tcPr>
          <w:p w14:paraId="5B8E329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0.769</w:t>
            </w:r>
          </w:p>
        </w:tc>
        <w:tc>
          <w:tcPr>
            <w:tcW w:w="0" w:type="auto"/>
            <w:tcBorders>
              <w:top w:val="nil"/>
              <w:left w:val="nil"/>
              <w:bottom w:val="nil"/>
              <w:right w:val="nil"/>
            </w:tcBorders>
            <w:shd w:val="clear" w:color="auto" w:fill="auto"/>
            <w:vAlign w:val="center"/>
          </w:tcPr>
          <w:p w14:paraId="7936D0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5,065/299</w:t>
            </w:r>
          </w:p>
        </w:tc>
        <w:tc>
          <w:tcPr>
            <w:tcW w:w="0" w:type="auto"/>
            <w:tcBorders>
              <w:top w:val="nil"/>
              <w:left w:val="nil"/>
              <w:bottom w:val="nil"/>
              <w:right w:val="nil"/>
            </w:tcBorders>
            <w:shd w:val="clear" w:color="auto" w:fill="auto"/>
            <w:vAlign w:val="center"/>
          </w:tcPr>
          <w:p w14:paraId="46E9809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09D2C714" w14:textId="77777777" w:rsidTr="00646F04">
        <w:tc>
          <w:tcPr>
            <w:tcW w:w="0" w:type="auto"/>
            <w:tcBorders>
              <w:top w:val="nil"/>
              <w:left w:val="nil"/>
              <w:bottom w:val="nil"/>
              <w:right w:val="nil"/>
            </w:tcBorders>
            <w:shd w:val="clear" w:color="auto" w:fill="auto"/>
            <w:vAlign w:val="center"/>
          </w:tcPr>
          <w:p w14:paraId="477304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2283B0C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S0→S1</w:t>
            </w:r>
          </w:p>
        </w:tc>
        <w:tc>
          <w:tcPr>
            <w:tcW w:w="0" w:type="auto"/>
            <w:tcBorders>
              <w:top w:val="nil"/>
              <w:left w:val="nil"/>
              <w:bottom w:val="nil"/>
              <w:right w:val="nil"/>
            </w:tcBorders>
            <w:shd w:val="clear" w:color="auto" w:fill="auto"/>
            <w:vAlign w:val="center"/>
          </w:tcPr>
          <w:p w14:paraId="31229F2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0.977 (0.721–1.324)</w:t>
            </w:r>
          </w:p>
        </w:tc>
        <w:tc>
          <w:tcPr>
            <w:tcW w:w="0" w:type="auto"/>
            <w:tcBorders>
              <w:top w:val="nil"/>
              <w:left w:val="nil"/>
              <w:bottom w:val="nil"/>
              <w:right w:val="nil"/>
            </w:tcBorders>
            <w:shd w:val="clear" w:color="auto" w:fill="auto"/>
            <w:vAlign w:val="center"/>
          </w:tcPr>
          <w:p w14:paraId="1840B6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0.882</w:t>
            </w:r>
          </w:p>
        </w:tc>
        <w:tc>
          <w:tcPr>
            <w:tcW w:w="0" w:type="auto"/>
            <w:tcBorders>
              <w:top w:val="nil"/>
              <w:left w:val="nil"/>
              <w:bottom w:val="nil"/>
              <w:right w:val="nil"/>
            </w:tcBorders>
            <w:shd w:val="clear" w:color="auto" w:fill="auto"/>
            <w:vAlign w:val="center"/>
          </w:tcPr>
          <w:p w14:paraId="05B72D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3,190/281</w:t>
            </w:r>
          </w:p>
        </w:tc>
        <w:tc>
          <w:tcPr>
            <w:tcW w:w="0" w:type="auto"/>
            <w:tcBorders>
              <w:top w:val="nil"/>
              <w:left w:val="nil"/>
              <w:bottom w:val="nil"/>
              <w:right w:val="nil"/>
            </w:tcBorders>
            <w:shd w:val="clear" w:color="auto" w:fill="auto"/>
            <w:vAlign w:val="center"/>
          </w:tcPr>
          <w:p w14:paraId="5F5CE53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3317D2CD" w14:textId="77777777" w:rsidTr="00646F04">
        <w:tc>
          <w:tcPr>
            <w:tcW w:w="0" w:type="auto"/>
            <w:tcBorders>
              <w:top w:val="nil"/>
              <w:left w:val="nil"/>
              <w:bottom w:val="nil"/>
              <w:right w:val="nil"/>
            </w:tcBorders>
            <w:shd w:val="clear" w:color="auto" w:fill="auto"/>
            <w:vAlign w:val="center"/>
          </w:tcPr>
          <w:p w14:paraId="762BF80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0FD7BD8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S0 or S1→S2</w:t>
            </w:r>
          </w:p>
        </w:tc>
        <w:tc>
          <w:tcPr>
            <w:tcW w:w="0" w:type="auto"/>
            <w:tcBorders>
              <w:top w:val="nil"/>
              <w:left w:val="nil"/>
              <w:bottom w:val="nil"/>
              <w:right w:val="nil"/>
            </w:tcBorders>
            <w:shd w:val="clear" w:color="auto" w:fill="auto"/>
            <w:vAlign w:val="center"/>
          </w:tcPr>
          <w:p w14:paraId="628E9D8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1.181 (0.769–1.814)</w:t>
            </w:r>
          </w:p>
        </w:tc>
        <w:tc>
          <w:tcPr>
            <w:tcW w:w="0" w:type="auto"/>
            <w:tcBorders>
              <w:top w:val="nil"/>
              <w:left w:val="nil"/>
              <w:bottom w:val="nil"/>
              <w:right w:val="nil"/>
            </w:tcBorders>
            <w:shd w:val="clear" w:color="auto" w:fill="auto"/>
            <w:vAlign w:val="center"/>
          </w:tcPr>
          <w:p w14:paraId="143D90A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0.448</w:t>
            </w:r>
          </w:p>
        </w:tc>
        <w:tc>
          <w:tcPr>
            <w:tcW w:w="0" w:type="auto"/>
            <w:tcBorders>
              <w:top w:val="nil"/>
              <w:left w:val="nil"/>
              <w:bottom w:val="nil"/>
              <w:right w:val="nil"/>
            </w:tcBorders>
            <w:shd w:val="clear" w:color="auto" w:fill="auto"/>
            <w:vAlign w:val="center"/>
          </w:tcPr>
          <w:p w14:paraId="18E2CC8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5,502/200</w:t>
            </w:r>
          </w:p>
        </w:tc>
        <w:tc>
          <w:tcPr>
            <w:tcW w:w="0" w:type="auto"/>
            <w:tcBorders>
              <w:top w:val="nil"/>
              <w:left w:val="nil"/>
              <w:bottom w:val="nil"/>
              <w:right w:val="nil"/>
            </w:tcBorders>
            <w:shd w:val="clear" w:color="auto" w:fill="auto"/>
            <w:vAlign w:val="center"/>
          </w:tcPr>
          <w:p w14:paraId="4FCE296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35DB1BFF" w14:textId="77777777" w:rsidTr="00646F04">
        <w:tc>
          <w:tcPr>
            <w:tcW w:w="0" w:type="auto"/>
            <w:tcBorders>
              <w:top w:val="nil"/>
              <w:left w:val="nil"/>
              <w:bottom w:val="nil"/>
              <w:right w:val="nil"/>
            </w:tcBorders>
            <w:shd w:val="clear" w:color="auto" w:fill="auto"/>
            <w:vAlign w:val="center"/>
          </w:tcPr>
          <w:p w14:paraId="33FECFA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nil"/>
              <w:right w:val="nil"/>
            </w:tcBorders>
            <w:shd w:val="clear" w:color="auto" w:fill="auto"/>
            <w:vAlign w:val="center"/>
          </w:tcPr>
          <w:p w14:paraId="5170F09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Living without ADL→S3</w:t>
            </w:r>
          </w:p>
        </w:tc>
        <w:tc>
          <w:tcPr>
            <w:tcW w:w="0" w:type="auto"/>
            <w:tcBorders>
              <w:top w:val="nil"/>
              <w:left w:val="nil"/>
              <w:bottom w:val="nil"/>
              <w:right w:val="nil"/>
            </w:tcBorders>
            <w:shd w:val="clear" w:color="auto" w:fill="auto"/>
            <w:vAlign w:val="center"/>
          </w:tcPr>
          <w:p w14:paraId="74CAB02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1.557 (1.162–2.086)</w:t>
            </w:r>
          </w:p>
        </w:tc>
        <w:tc>
          <w:tcPr>
            <w:tcW w:w="0" w:type="auto"/>
            <w:tcBorders>
              <w:top w:val="nil"/>
              <w:left w:val="nil"/>
              <w:bottom w:val="nil"/>
              <w:right w:val="nil"/>
            </w:tcBorders>
            <w:shd w:val="clear" w:color="auto" w:fill="auto"/>
            <w:vAlign w:val="center"/>
          </w:tcPr>
          <w:p w14:paraId="1ED516E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0.003</w:t>
            </w:r>
          </w:p>
        </w:tc>
        <w:tc>
          <w:tcPr>
            <w:tcW w:w="0" w:type="auto"/>
            <w:tcBorders>
              <w:top w:val="nil"/>
              <w:left w:val="nil"/>
              <w:bottom w:val="nil"/>
              <w:right w:val="nil"/>
            </w:tcBorders>
            <w:shd w:val="clear" w:color="auto" w:fill="auto"/>
            <w:vAlign w:val="center"/>
          </w:tcPr>
          <w:p w14:paraId="6FDC2EB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5,877/536</w:t>
            </w:r>
          </w:p>
        </w:tc>
        <w:tc>
          <w:tcPr>
            <w:tcW w:w="0" w:type="auto"/>
            <w:tcBorders>
              <w:top w:val="nil"/>
              <w:left w:val="nil"/>
              <w:bottom w:val="nil"/>
              <w:right w:val="nil"/>
            </w:tcBorders>
            <w:shd w:val="clear" w:color="auto" w:fill="auto"/>
            <w:vAlign w:val="center"/>
          </w:tcPr>
          <w:p w14:paraId="6CF95FB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r w:rsidR="00646F04" w:rsidRPr="00646F04" w14:paraId="0CC7EBB8" w14:textId="77777777" w:rsidTr="00646F04">
        <w:tc>
          <w:tcPr>
            <w:tcW w:w="0" w:type="auto"/>
            <w:tcBorders>
              <w:top w:val="nil"/>
              <w:left w:val="nil"/>
              <w:bottom w:val="single" w:sz="8" w:space="0" w:color="404040"/>
              <w:right w:val="nil"/>
            </w:tcBorders>
            <w:shd w:val="clear" w:color="auto" w:fill="auto"/>
            <w:vAlign w:val="center"/>
          </w:tcPr>
          <w:p w14:paraId="31CDD7F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40E3A9E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Any living state→S4 death</w:t>
            </w:r>
          </w:p>
        </w:tc>
        <w:tc>
          <w:tcPr>
            <w:tcW w:w="0" w:type="auto"/>
            <w:tcBorders>
              <w:top w:val="nil"/>
              <w:left w:val="nil"/>
              <w:bottom w:val="single" w:sz="8" w:space="0" w:color="404040"/>
              <w:right w:val="nil"/>
            </w:tcBorders>
            <w:shd w:val="clear" w:color="auto" w:fill="auto"/>
            <w:vAlign w:val="center"/>
          </w:tcPr>
          <w:p w14:paraId="78FAB89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0.916 (0.729–1.150)</w:t>
            </w:r>
          </w:p>
        </w:tc>
        <w:tc>
          <w:tcPr>
            <w:tcW w:w="0" w:type="auto"/>
            <w:tcBorders>
              <w:top w:val="nil"/>
              <w:left w:val="nil"/>
              <w:bottom w:val="single" w:sz="8" w:space="0" w:color="404040"/>
              <w:right w:val="nil"/>
            </w:tcBorders>
            <w:shd w:val="clear" w:color="auto" w:fill="auto"/>
            <w:vAlign w:val="center"/>
          </w:tcPr>
          <w:p w14:paraId="458894B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0.448</w:t>
            </w:r>
          </w:p>
        </w:tc>
        <w:tc>
          <w:tcPr>
            <w:tcW w:w="0" w:type="auto"/>
            <w:tcBorders>
              <w:top w:val="nil"/>
              <w:left w:val="nil"/>
              <w:bottom w:val="single" w:sz="8" w:space="0" w:color="404040"/>
              <w:right w:val="nil"/>
            </w:tcBorders>
            <w:shd w:val="clear" w:color="auto" w:fill="auto"/>
            <w:vAlign w:val="center"/>
          </w:tcPr>
          <w:p w14:paraId="23BDB66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9,123/704</w:t>
            </w:r>
          </w:p>
        </w:tc>
        <w:tc>
          <w:tcPr>
            <w:tcW w:w="0" w:type="auto"/>
            <w:tcBorders>
              <w:top w:val="nil"/>
              <w:left w:val="nil"/>
              <w:bottom w:val="single" w:sz="8" w:space="0" w:color="404040"/>
              <w:right w:val="nil"/>
            </w:tcBorders>
            <w:shd w:val="clear" w:color="auto" w:fill="auto"/>
            <w:vAlign w:val="center"/>
          </w:tcPr>
          <w:p w14:paraId="400B4E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Yes/No</w:t>
            </w:r>
          </w:p>
        </w:tc>
      </w:tr>
    </w:tbl>
    <w:p w14:paraId="6CAA9C1A" w14:textId="77777777" w:rsidR="001C2B6A" w:rsidRPr="00646F04" w:rsidRDefault="00000000">
      <w:pPr>
        <w:pStyle w:val="3"/>
        <w:rPr>
          <w:color w:val="000000" w:themeColor="text1"/>
        </w:rPr>
      </w:pPr>
      <w:bookmarkStart w:id="54" w:name="Xb292995024f2540ce99e5edfaed06e4f26db84e"/>
      <w:bookmarkEnd w:id="53"/>
      <w:r w:rsidRPr="00646F04">
        <w:rPr>
          <w:rFonts w:ascii="Arial" w:eastAsia="Source Han Serif SC" w:hAnsi="Arial" w:cs="Arial"/>
          <w:color w:val="000000" w:themeColor="text1"/>
        </w:rPr>
        <w:t>Panel C. Baseline seven-disease network summary (Figure S1 source)</w:t>
      </w:r>
    </w:p>
    <w:tbl>
      <w:tblPr>
        <w:tblStyle w:val="Table"/>
        <w:tblW w:w="5000" w:type="pct"/>
        <w:tblLook w:val="0020" w:firstRow="1" w:lastRow="0" w:firstColumn="0" w:lastColumn="0" w:noHBand="0" w:noVBand="0"/>
      </w:tblPr>
      <w:tblGrid>
        <w:gridCol w:w="1243"/>
        <w:gridCol w:w="3855"/>
        <w:gridCol w:w="3448"/>
        <w:gridCol w:w="6132"/>
      </w:tblGrid>
      <w:tr w:rsidR="00646F04" w:rsidRPr="00646F04" w14:paraId="32A564A1"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68337C5E"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Cohort</w:t>
            </w:r>
          </w:p>
        </w:tc>
        <w:tc>
          <w:tcPr>
            <w:tcW w:w="0" w:type="auto"/>
            <w:tcBorders>
              <w:top w:val="single" w:sz="8" w:space="0" w:color="404040"/>
              <w:left w:val="nil"/>
              <w:bottom w:val="single" w:sz="5" w:space="0" w:color="707070"/>
              <w:right w:val="nil"/>
            </w:tcBorders>
            <w:shd w:val="clear" w:color="auto" w:fill="auto"/>
            <w:vAlign w:val="center"/>
          </w:tcPr>
          <w:p w14:paraId="1A3703C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Weighted node-prevalence range</w:t>
            </w:r>
          </w:p>
        </w:tc>
        <w:tc>
          <w:tcPr>
            <w:tcW w:w="0" w:type="auto"/>
            <w:tcBorders>
              <w:top w:val="single" w:sz="8" w:space="0" w:color="404040"/>
              <w:left w:val="nil"/>
              <w:bottom w:val="single" w:sz="5" w:space="0" w:color="707070"/>
              <w:right w:val="nil"/>
            </w:tcBorders>
            <w:shd w:val="clear" w:color="auto" w:fill="auto"/>
            <w:vAlign w:val="center"/>
          </w:tcPr>
          <w:p w14:paraId="4B98DD2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Edges displayed at |phi|≥0.05</w:t>
            </w:r>
          </w:p>
        </w:tc>
        <w:tc>
          <w:tcPr>
            <w:tcW w:w="0" w:type="auto"/>
            <w:tcBorders>
              <w:top w:val="single" w:sz="8" w:space="0" w:color="404040"/>
              <w:left w:val="nil"/>
              <w:bottom w:val="single" w:sz="5" w:space="0" w:color="707070"/>
              <w:right w:val="nil"/>
            </w:tcBorders>
            <w:shd w:val="clear" w:color="auto" w:fill="auto"/>
            <w:vAlign w:val="center"/>
          </w:tcPr>
          <w:p w14:paraId="4268342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Three strongest edges by |phi|</w:t>
            </w:r>
          </w:p>
        </w:tc>
      </w:tr>
      <w:tr w:rsidR="00646F04" w:rsidRPr="00646F04" w14:paraId="72F1F174" w14:textId="77777777" w:rsidTr="00646F04">
        <w:tc>
          <w:tcPr>
            <w:tcW w:w="0" w:type="auto"/>
            <w:tcBorders>
              <w:top w:val="nil"/>
              <w:left w:val="nil"/>
              <w:bottom w:val="nil"/>
              <w:right w:val="nil"/>
            </w:tcBorders>
            <w:shd w:val="clear" w:color="auto" w:fill="auto"/>
            <w:vAlign w:val="center"/>
          </w:tcPr>
          <w:p w14:paraId="0E1251A1"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w:t>
            </w:r>
          </w:p>
        </w:tc>
        <w:tc>
          <w:tcPr>
            <w:tcW w:w="0" w:type="auto"/>
            <w:tcBorders>
              <w:top w:val="nil"/>
              <w:left w:val="nil"/>
              <w:bottom w:val="nil"/>
              <w:right w:val="nil"/>
            </w:tcBorders>
            <w:shd w:val="clear" w:color="auto" w:fill="auto"/>
            <w:vAlign w:val="center"/>
          </w:tcPr>
          <w:p w14:paraId="6FD2387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Cancer 0.92% to arthritis 34.05%</w:t>
            </w:r>
          </w:p>
        </w:tc>
        <w:tc>
          <w:tcPr>
            <w:tcW w:w="0" w:type="auto"/>
            <w:tcBorders>
              <w:top w:val="nil"/>
              <w:left w:val="nil"/>
              <w:bottom w:val="nil"/>
              <w:right w:val="nil"/>
            </w:tcBorders>
            <w:shd w:val="clear" w:color="auto" w:fill="auto"/>
            <w:vAlign w:val="center"/>
          </w:tcPr>
          <w:p w14:paraId="6ECE440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6/21</w:t>
            </w:r>
          </w:p>
        </w:tc>
        <w:tc>
          <w:tcPr>
            <w:tcW w:w="0" w:type="auto"/>
            <w:tcBorders>
              <w:top w:val="nil"/>
              <w:left w:val="nil"/>
              <w:bottom w:val="nil"/>
              <w:right w:val="nil"/>
            </w:tcBorders>
            <w:shd w:val="clear" w:color="auto" w:fill="auto"/>
            <w:vAlign w:val="center"/>
          </w:tcPr>
          <w:p w14:paraId="7A142C3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Diabetes–heart 0.155; lung–heart 0.133; heart–stroke 0.097</w:t>
            </w:r>
          </w:p>
        </w:tc>
      </w:tr>
      <w:tr w:rsidR="00646F04" w:rsidRPr="00646F04" w14:paraId="335BC33E" w14:textId="77777777" w:rsidTr="00646F04">
        <w:tc>
          <w:tcPr>
            <w:tcW w:w="0" w:type="auto"/>
            <w:tcBorders>
              <w:top w:val="nil"/>
              <w:left w:val="nil"/>
              <w:bottom w:val="single" w:sz="8" w:space="0" w:color="404040"/>
              <w:right w:val="nil"/>
            </w:tcBorders>
            <w:shd w:val="clear" w:color="auto" w:fill="auto"/>
            <w:vAlign w:val="center"/>
          </w:tcPr>
          <w:p w14:paraId="46C8F27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w:t>
            </w:r>
          </w:p>
        </w:tc>
        <w:tc>
          <w:tcPr>
            <w:tcW w:w="0" w:type="auto"/>
            <w:tcBorders>
              <w:top w:val="nil"/>
              <w:left w:val="nil"/>
              <w:bottom w:val="single" w:sz="8" w:space="0" w:color="404040"/>
              <w:right w:val="nil"/>
            </w:tcBorders>
            <w:shd w:val="clear" w:color="auto" w:fill="auto"/>
            <w:vAlign w:val="center"/>
          </w:tcPr>
          <w:p w14:paraId="260B8F4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Stroke 6.56% to arthritis 53.04%</w:t>
            </w:r>
          </w:p>
        </w:tc>
        <w:tc>
          <w:tcPr>
            <w:tcW w:w="0" w:type="auto"/>
            <w:tcBorders>
              <w:top w:val="nil"/>
              <w:left w:val="nil"/>
              <w:bottom w:val="single" w:sz="8" w:space="0" w:color="404040"/>
              <w:right w:val="nil"/>
            </w:tcBorders>
            <w:shd w:val="clear" w:color="auto" w:fill="auto"/>
            <w:vAlign w:val="center"/>
          </w:tcPr>
          <w:p w14:paraId="2484B04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19/21</w:t>
            </w:r>
          </w:p>
        </w:tc>
        <w:tc>
          <w:tcPr>
            <w:tcW w:w="0" w:type="auto"/>
            <w:tcBorders>
              <w:top w:val="nil"/>
              <w:left w:val="nil"/>
              <w:bottom w:val="single" w:sz="8" w:space="0" w:color="404040"/>
              <w:right w:val="nil"/>
            </w:tcBorders>
            <w:shd w:val="clear" w:color="auto" w:fill="auto"/>
            <w:vAlign w:val="center"/>
          </w:tcPr>
          <w:p w14:paraId="116A3AB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Heart–stroke 0.175; heart–arthritis 0.162; lung–psychiatric 0.145</w:t>
            </w:r>
          </w:p>
        </w:tc>
      </w:tr>
    </w:tbl>
    <w:p w14:paraId="625DFAE9" w14:textId="77777777" w:rsidR="001C2B6A" w:rsidRPr="00646F04" w:rsidRDefault="00000000">
      <w:pPr>
        <w:pStyle w:val="a0"/>
        <w:rPr>
          <w:color w:val="000000" w:themeColor="text1"/>
        </w:rPr>
      </w:pPr>
      <w:r w:rsidRPr="00646F04">
        <w:rPr>
          <w:rFonts w:eastAsia="Source Han Serif SC"/>
          <w:b/>
          <w:bCs/>
          <w:color w:val="000000" w:themeColor="text1"/>
        </w:rPr>
        <w:t>Notes.</w:t>
      </w:r>
      <w:r w:rsidRPr="00646F04">
        <w:rPr>
          <w:rFonts w:eastAsia="Source Han Serif SC"/>
          <w:color w:val="000000" w:themeColor="text1"/>
        </w:rPr>
        <w:t xml:space="preserve"> DFM is an internally constructed research phenotype, not an externally validated clinical score. Of 42 state-stratified DFM rows, 39 met the event threshold and converged; 38/39 point estimates were below 1 and 33 had within-family FDR q&lt;0.05. Multistate states are S0, 0–1 non-HTN disease with intact function; S1, ≥2 diseases with intact function; S2, IADL disability without ADL disability; S3, ADL disability; and S4, ascertained death. CHARLS death transitions inherit incomplete linkage. Network nodes are scaled within cohort; edges are cross-sectional, undirected and non-causal. H3 vs H4 and the remaining adjusted transitions, </w:t>
      </w:r>
      <w:r w:rsidRPr="00646F04">
        <w:rPr>
          <w:rFonts w:eastAsia="Source Han Serif SC"/>
          <w:color w:val="000000" w:themeColor="text1"/>
        </w:rPr>
        <w:lastRenderedPageBreak/>
        <w:t>all weighted transition probabilities, all node values and all 21 pairwise edges per cohort remain in the analytic archive available from the corresponding author on reasonable request.</w:t>
      </w:r>
    </w:p>
    <w:p w14:paraId="4A6FB13C" w14:textId="77777777" w:rsidR="001C2B6A" w:rsidRPr="00646F04" w:rsidRDefault="005C035C">
      <w:pPr>
        <w:rPr>
          <w:color w:val="000000" w:themeColor="text1"/>
        </w:rPr>
      </w:pPr>
      <w:r>
        <w:rPr>
          <w:rFonts w:eastAsia="Source Han Serif SC"/>
          <w:noProof/>
          <w:color w:val="000000" w:themeColor="text1"/>
        </w:rPr>
        <w:pict w14:anchorId="364D7E46">
          <v:rect id="_x0000_i1026" alt="" style="width:415.3pt;height:.05pt;mso-width-percent:0;mso-height-percent:0;mso-width-percent:0;mso-height-percent:0" o:hralign="center" o:hrstd="t" o:hr="t"/>
        </w:pict>
      </w:r>
    </w:p>
    <w:p w14:paraId="39EF168D" w14:textId="77777777" w:rsidR="001C2B6A" w:rsidRPr="00646F04" w:rsidRDefault="00000000">
      <w:pPr>
        <w:pStyle w:val="2"/>
        <w:pageBreakBefore/>
        <w:rPr>
          <w:color w:val="000000" w:themeColor="text1"/>
        </w:rPr>
      </w:pPr>
      <w:bookmarkStart w:id="55" w:name="Xfab40c34da805097f0608a28da87b048f0d4841"/>
      <w:bookmarkEnd w:id="51"/>
      <w:bookmarkEnd w:id="54"/>
      <w:r w:rsidRPr="00646F04">
        <w:rPr>
          <w:rFonts w:ascii="Arial" w:eastAsia="Source Han Serif SC" w:hAnsi="Arial" w:cs="Arial"/>
          <w:color w:val="000000" w:themeColor="text1"/>
        </w:rPr>
        <w:lastRenderedPageBreak/>
        <w:t>Table S9. Model convergence, model convergence and quality-control and prespecified prespecified interpretation criteria</w:t>
      </w:r>
    </w:p>
    <w:p w14:paraId="2440EB34" w14:textId="77777777" w:rsidR="001C2B6A" w:rsidRPr="00646F04" w:rsidRDefault="00000000">
      <w:pPr>
        <w:pStyle w:val="3"/>
        <w:rPr>
          <w:color w:val="000000" w:themeColor="text1"/>
        </w:rPr>
      </w:pPr>
      <w:bookmarkStart w:id="56" w:name="panel-a.-model-stability"/>
      <w:r w:rsidRPr="00646F04">
        <w:rPr>
          <w:rFonts w:ascii="Arial" w:eastAsia="Source Han Serif SC" w:hAnsi="Arial" w:cs="Arial"/>
          <w:color w:val="000000" w:themeColor="text1"/>
        </w:rPr>
        <w:t>Panel A. Model stability</w:t>
      </w:r>
    </w:p>
    <w:tbl>
      <w:tblPr>
        <w:tblStyle w:val="Table"/>
        <w:tblW w:w="5000" w:type="pct"/>
        <w:tblLook w:val="0020" w:firstRow="1" w:lastRow="0" w:firstColumn="0" w:lastColumn="0" w:noHBand="0" w:noVBand="0"/>
      </w:tblPr>
      <w:tblGrid>
        <w:gridCol w:w="5582"/>
        <w:gridCol w:w="2038"/>
        <w:gridCol w:w="7058"/>
      </w:tblGrid>
      <w:tr w:rsidR="00646F04" w:rsidRPr="00646F04" w14:paraId="3D59717F"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698BE46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Model family</w:t>
            </w:r>
          </w:p>
        </w:tc>
        <w:tc>
          <w:tcPr>
            <w:tcW w:w="0" w:type="auto"/>
            <w:tcBorders>
              <w:top w:val="single" w:sz="8" w:space="0" w:color="404040"/>
              <w:left w:val="nil"/>
              <w:bottom w:val="single" w:sz="5" w:space="0" w:color="707070"/>
              <w:right w:val="nil"/>
            </w:tcBorders>
            <w:shd w:val="clear" w:color="auto" w:fill="auto"/>
            <w:vAlign w:val="center"/>
          </w:tcPr>
          <w:p w14:paraId="36C664AA"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Converged/fitted</w:t>
            </w:r>
          </w:p>
        </w:tc>
        <w:tc>
          <w:tcPr>
            <w:tcW w:w="0" w:type="auto"/>
            <w:tcBorders>
              <w:top w:val="single" w:sz="8" w:space="0" w:color="404040"/>
              <w:left w:val="nil"/>
              <w:bottom w:val="single" w:sz="5" w:space="0" w:color="707070"/>
              <w:right w:val="nil"/>
            </w:tcBorders>
            <w:shd w:val="clear" w:color="auto" w:fill="auto"/>
            <w:vAlign w:val="center"/>
          </w:tcPr>
          <w:p w14:paraId="7410A366"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Audit conclusion</w:t>
            </w:r>
          </w:p>
        </w:tc>
      </w:tr>
      <w:tr w:rsidR="00646F04" w:rsidRPr="00646F04" w14:paraId="7F13774A" w14:textId="77777777" w:rsidTr="00646F04">
        <w:tc>
          <w:tcPr>
            <w:tcW w:w="0" w:type="auto"/>
            <w:tcBorders>
              <w:top w:val="nil"/>
              <w:left w:val="nil"/>
              <w:bottom w:val="nil"/>
              <w:right w:val="nil"/>
            </w:tcBorders>
            <w:shd w:val="clear" w:color="auto" w:fill="auto"/>
            <w:vAlign w:val="center"/>
          </w:tcPr>
          <w:p w14:paraId="2B63EF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Exact-four-year main models</w:t>
            </w:r>
          </w:p>
        </w:tc>
        <w:tc>
          <w:tcPr>
            <w:tcW w:w="0" w:type="auto"/>
            <w:tcBorders>
              <w:top w:val="nil"/>
              <w:left w:val="nil"/>
              <w:bottom w:val="nil"/>
              <w:right w:val="nil"/>
            </w:tcBorders>
            <w:shd w:val="clear" w:color="auto" w:fill="auto"/>
            <w:vAlign w:val="center"/>
          </w:tcPr>
          <w:p w14:paraId="33DF3DF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64/64</w:t>
            </w:r>
          </w:p>
        </w:tc>
        <w:tc>
          <w:tcPr>
            <w:tcW w:w="0" w:type="auto"/>
            <w:tcBorders>
              <w:top w:val="nil"/>
              <w:left w:val="nil"/>
              <w:bottom w:val="nil"/>
              <w:right w:val="nil"/>
            </w:tcBorders>
            <w:shd w:val="clear" w:color="auto" w:fill="auto"/>
            <w:vAlign w:val="center"/>
          </w:tcPr>
          <w:p w14:paraId="165968B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All T1/T2 models converged.</w:t>
            </w:r>
          </w:p>
        </w:tc>
      </w:tr>
      <w:tr w:rsidR="00646F04" w:rsidRPr="00646F04" w14:paraId="61670BA5" w14:textId="77777777" w:rsidTr="00646F04">
        <w:tc>
          <w:tcPr>
            <w:tcW w:w="0" w:type="auto"/>
            <w:tcBorders>
              <w:top w:val="nil"/>
              <w:left w:val="nil"/>
              <w:bottom w:val="nil"/>
              <w:right w:val="nil"/>
            </w:tcBorders>
            <w:shd w:val="clear" w:color="auto" w:fill="auto"/>
            <w:vAlign w:val="center"/>
          </w:tcPr>
          <w:p w14:paraId="28D45C4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Pre-2018 full-wave discrete-time main models</w:t>
            </w:r>
          </w:p>
        </w:tc>
        <w:tc>
          <w:tcPr>
            <w:tcW w:w="0" w:type="auto"/>
            <w:tcBorders>
              <w:top w:val="nil"/>
              <w:left w:val="nil"/>
              <w:bottom w:val="nil"/>
              <w:right w:val="nil"/>
            </w:tcBorders>
            <w:shd w:val="clear" w:color="auto" w:fill="auto"/>
            <w:vAlign w:val="center"/>
          </w:tcPr>
          <w:p w14:paraId="75E4D626"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48/48</w:t>
            </w:r>
          </w:p>
        </w:tc>
        <w:tc>
          <w:tcPr>
            <w:tcW w:w="0" w:type="auto"/>
            <w:tcBorders>
              <w:top w:val="nil"/>
              <w:left w:val="nil"/>
              <w:bottom w:val="nil"/>
              <w:right w:val="nil"/>
            </w:tcBorders>
            <w:shd w:val="clear" w:color="auto" w:fill="auto"/>
            <w:vAlign w:val="center"/>
          </w:tcPr>
          <w:p w14:paraId="66F85F2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All T1/T2 models converged.</w:t>
            </w:r>
          </w:p>
        </w:tc>
      </w:tr>
      <w:tr w:rsidR="00646F04" w:rsidRPr="00646F04" w14:paraId="3259FFA5" w14:textId="77777777" w:rsidTr="00646F04">
        <w:tc>
          <w:tcPr>
            <w:tcW w:w="0" w:type="auto"/>
            <w:tcBorders>
              <w:top w:val="nil"/>
              <w:left w:val="nil"/>
              <w:bottom w:val="nil"/>
              <w:right w:val="nil"/>
            </w:tcBorders>
            <w:shd w:val="clear" w:color="auto" w:fill="auto"/>
            <w:vAlign w:val="center"/>
          </w:tcPr>
          <w:p w14:paraId="4936A6C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Alternative 0.5/99.5 and untruncated full-wave IPCW models</w:t>
            </w:r>
          </w:p>
        </w:tc>
        <w:tc>
          <w:tcPr>
            <w:tcW w:w="0" w:type="auto"/>
            <w:tcBorders>
              <w:top w:val="nil"/>
              <w:left w:val="nil"/>
              <w:bottom w:val="nil"/>
              <w:right w:val="nil"/>
            </w:tcBorders>
            <w:shd w:val="clear" w:color="auto" w:fill="auto"/>
            <w:vAlign w:val="center"/>
          </w:tcPr>
          <w:p w14:paraId="50A951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96/96</w:t>
            </w:r>
          </w:p>
        </w:tc>
        <w:tc>
          <w:tcPr>
            <w:tcW w:w="0" w:type="auto"/>
            <w:tcBorders>
              <w:top w:val="nil"/>
              <w:left w:val="nil"/>
              <w:bottom w:val="nil"/>
              <w:right w:val="nil"/>
            </w:tcBorders>
            <w:shd w:val="clear" w:color="auto" w:fill="auto"/>
            <w:vAlign w:val="center"/>
          </w:tcPr>
          <w:p w14:paraId="0AB3E4B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All converged; H1 vs H2/H3 T2 directions 24/24 agreed with main.</w:t>
            </w:r>
          </w:p>
        </w:tc>
      </w:tr>
      <w:tr w:rsidR="00646F04" w:rsidRPr="00646F04" w14:paraId="680F4A47" w14:textId="77777777" w:rsidTr="00646F04">
        <w:tc>
          <w:tcPr>
            <w:tcW w:w="0" w:type="auto"/>
            <w:tcBorders>
              <w:top w:val="nil"/>
              <w:left w:val="nil"/>
              <w:bottom w:val="nil"/>
              <w:right w:val="nil"/>
            </w:tcBorders>
            <w:shd w:val="clear" w:color="auto" w:fill="auto"/>
            <w:vAlign w:val="center"/>
          </w:tcPr>
          <w:p w14:paraId="41B13B8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Non-sparse adjusted multistate models</w:t>
            </w:r>
          </w:p>
        </w:tc>
        <w:tc>
          <w:tcPr>
            <w:tcW w:w="0" w:type="auto"/>
            <w:tcBorders>
              <w:top w:val="nil"/>
              <w:left w:val="nil"/>
              <w:bottom w:val="nil"/>
              <w:right w:val="nil"/>
            </w:tcBorders>
            <w:shd w:val="clear" w:color="auto" w:fill="auto"/>
            <w:vAlign w:val="center"/>
          </w:tcPr>
          <w:p w14:paraId="4744802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32/32</w:t>
            </w:r>
          </w:p>
        </w:tc>
        <w:tc>
          <w:tcPr>
            <w:tcW w:w="0" w:type="auto"/>
            <w:tcBorders>
              <w:top w:val="nil"/>
              <w:left w:val="nil"/>
              <w:bottom w:val="nil"/>
              <w:right w:val="nil"/>
            </w:tcBorders>
            <w:shd w:val="clear" w:color="auto" w:fill="auto"/>
            <w:vAlign w:val="center"/>
          </w:tcPr>
          <w:p w14:paraId="29F6470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Sparse cells were retained descriptively and not forced into adjusted models.</w:t>
            </w:r>
          </w:p>
        </w:tc>
      </w:tr>
      <w:tr w:rsidR="00646F04" w:rsidRPr="00646F04" w14:paraId="523CF1F8" w14:textId="77777777" w:rsidTr="00646F04">
        <w:tc>
          <w:tcPr>
            <w:tcW w:w="0" w:type="auto"/>
            <w:tcBorders>
              <w:top w:val="nil"/>
              <w:left w:val="nil"/>
              <w:bottom w:val="single" w:sz="8" w:space="0" w:color="404040"/>
              <w:right w:val="nil"/>
            </w:tcBorders>
            <w:shd w:val="clear" w:color="auto" w:fill="auto"/>
            <w:vAlign w:val="center"/>
          </w:tcPr>
          <w:p w14:paraId="2DA1803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Age/sex stratified models</w:t>
            </w:r>
          </w:p>
        </w:tc>
        <w:tc>
          <w:tcPr>
            <w:tcW w:w="0" w:type="auto"/>
            <w:tcBorders>
              <w:top w:val="nil"/>
              <w:left w:val="nil"/>
              <w:bottom w:val="single" w:sz="8" w:space="0" w:color="404040"/>
              <w:right w:val="nil"/>
            </w:tcBorders>
            <w:shd w:val="clear" w:color="auto" w:fill="auto"/>
            <w:vAlign w:val="center"/>
          </w:tcPr>
          <w:p w14:paraId="27C1034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36/36</w:t>
            </w:r>
          </w:p>
        </w:tc>
        <w:tc>
          <w:tcPr>
            <w:tcW w:w="0" w:type="auto"/>
            <w:tcBorders>
              <w:top w:val="nil"/>
              <w:left w:val="nil"/>
              <w:bottom w:val="single" w:sz="8" w:space="0" w:color="404040"/>
              <w:right w:val="nil"/>
            </w:tcBorders>
            <w:shd w:val="clear" w:color="auto" w:fill="auto"/>
            <w:vAlign w:val="center"/>
          </w:tcPr>
          <w:p w14:paraId="32A72B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Twelve interaction tests yielded one nominal P&lt;0.05; no stable modifier claim.</w:t>
            </w:r>
          </w:p>
        </w:tc>
      </w:tr>
    </w:tbl>
    <w:p w14:paraId="071B8579" w14:textId="77777777" w:rsidR="001C2B6A" w:rsidRPr="00646F04" w:rsidRDefault="00000000">
      <w:pPr>
        <w:pStyle w:val="3"/>
        <w:rPr>
          <w:color w:val="000000" w:themeColor="text1"/>
        </w:rPr>
      </w:pPr>
      <w:bookmarkStart w:id="57" w:name="panel-b.-automated-qa-disclosure"/>
      <w:bookmarkEnd w:id="56"/>
      <w:r w:rsidRPr="00646F04">
        <w:rPr>
          <w:rFonts w:ascii="Arial" w:eastAsia="Source Han Serif SC" w:hAnsi="Arial" w:cs="Arial"/>
          <w:color w:val="000000" w:themeColor="text1"/>
        </w:rPr>
        <w:t>Panel B. Automated QA disclosure</w:t>
      </w:r>
    </w:p>
    <w:tbl>
      <w:tblPr>
        <w:tblStyle w:val="Table"/>
        <w:tblW w:w="5000" w:type="pct"/>
        <w:tblLook w:val="0020" w:firstRow="1" w:lastRow="0" w:firstColumn="0" w:lastColumn="0" w:noHBand="0" w:noVBand="0"/>
      </w:tblPr>
      <w:tblGrid>
        <w:gridCol w:w="4159"/>
        <w:gridCol w:w="1842"/>
        <w:gridCol w:w="8677"/>
      </w:tblGrid>
      <w:tr w:rsidR="00646F04" w:rsidRPr="00646F04" w14:paraId="0C65135E"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45DC2648"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QA item</w:t>
            </w:r>
          </w:p>
        </w:tc>
        <w:tc>
          <w:tcPr>
            <w:tcW w:w="0" w:type="auto"/>
            <w:tcBorders>
              <w:top w:val="single" w:sz="8" w:space="0" w:color="404040"/>
              <w:left w:val="nil"/>
              <w:bottom w:val="single" w:sz="5" w:space="0" w:color="707070"/>
              <w:right w:val="nil"/>
            </w:tcBorders>
            <w:shd w:val="clear" w:color="auto" w:fill="auto"/>
            <w:vAlign w:val="center"/>
          </w:tcPr>
          <w:p w14:paraId="29B58242"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Result</w:t>
            </w:r>
          </w:p>
        </w:tc>
        <w:tc>
          <w:tcPr>
            <w:tcW w:w="0" w:type="auto"/>
            <w:tcBorders>
              <w:top w:val="single" w:sz="8" w:space="0" w:color="404040"/>
              <w:left w:val="nil"/>
              <w:bottom w:val="single" w:sz="5" w:space="0" w:color="707070"/>
              <w:right w:val="nil"/>
            </w:tcBorders>
            <w:shd w:val="clear" w:color="auto" w:fill="auto"/>
            <w:vAlign w:val="center"/>
          </w:tcPr>
          <w:p w14:paraId="3352D93F"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Required disclosure</w:t>
            </w:r>
          </w:p>
        </w:tc>
      </w:tr>
      <w:tr w:rsidR="00646F04" w:rsidRPr="00646F04" w14:paraId="6D3C3BBD" w14:textId="77777777" w:rsidTr="00646F04">
        <w:tc>
          <w:tcPr>
            <w:tcW w:w="0" w:type="auto"/>
            <w:tcBorders>
              <w:top w:val="nil"/>
              <w:left w:val="nil"/>
              <w:bottom w:val="nil"/>
              <w:right w:val="nil"/>
            </w:tcBorders>
            <w:shd w:val="clear" w:color="auto" w:fill="auto"/>
            <w:vAlign w:val="center"/>
          </w:tcPr>
          <w:p w14:paraId="1CA4A995"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Total automated checks/errors</w:t>
            </w:r>
          </w:p>
        </w:tc>
        <w:tc>
          <w:tcPr>
            <w:tcW w:w="0" w:type="auto"/>
            <w:tcBorders>
              <w:top w:val="nil"/>
              <w:left w:val="nil"/>
              <w:bottom w:val="nil"/>
              <w:right w:val="nil"/>
            </w:tcBorders>
            <w:shd w:val="clear" w:color="auto" w:fill="auto"/>
            <w:vAlign w:val="center"/>
          </w:tcPr>
          <w:p w14:paraId="740A87F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95/0</w:t>
            </w:r>
          </w:p>
        </w:tc>
        <w:tc>
          <w:tcPr>
            <w:tcW w:w="0" w:type="auto"/>
            <w:tcBorders>
              <w:top w:val="nil"/>
              <w:left w:val="nil"/>
              <w:bottom w:val="nil"/>
              <w:right w:val="nil"/>
            </w:tcBorders>
            <w:shd w:val="clear" w:color="auto" w:fill="auto"/>
            <w:vAlign w:val="center"/>
          </w:tcPr>
          <w:p w14:paraId="530E78C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No ERROR-level failure.</w:t>
            </w:r>
          </w:p>
        </w:tc>
      </w:tr>
      <w:tr w:rsidR="00646F04" w:rsidRPr="00646F04" w14:paraId="496036E9" w14:textId="77777777" w:rsidTr="00646F04">
        <w:tc>
          <w:tcPr>
            <w:tcW w:w="0" w:type="auto"/>
            <w:tcBorders>
              <w:top w:val="nil"/>
              <w:left w:val="nil"/>
              <w:bottom w:val="nil"/>
              <w:right w:val="nil"/>
            </w:tcBorders>
            <w:shd w:val="clear" w:color="auto" w:fill="auto"/>
            <w:vAlign w:val="center"/>
          </w:tcPr>
          <w:p w14:paraId="3ACCAC8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HRS source rows without positive baseline weight</w:t>
            </w:r>
          </w:p>
        </w:tc>
        <w:tc>
          <w:tcPr>
            <w:tcW w:w="0" w:type="auto"/>
            <w:tcBorders>
              <w:top w:val="nil"/>
              <w:left w:val="nil"/>
              <w:bottom w:val="nil"/>
              <w:right w:val="nil"/>
            </w:tcBorders>
            <w:shd w:val="clear" w:color="auto" w:fill="auto"/>
            <w:vAlign w:val="center"/>
          </w:tcPr>
          <w:p w14:paraId="5902D1F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316/15,699 (2.01%)</w:t>
            </w:r>
          </w:p>
        </w:tc>
        <w:tc>
          <w:tcPr>
            <w:tcW w:w="0" w:type="auto"/>
            <w:tcBorders>
              <w:top w:val="nil"/>
              <w:left w:val="nil"/>
              <w:bottom w:val="nil"/>
              <w:right w:val="nil"/>
            </w:tcBorders>
            <w:shd w:val="clear" w:color="auto" w:fill="auto"/>
            <w:vAlign w:val="center"/>
          </w:tcPr>
          <w:p w14:paraId="5C3DC94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Retained in the unweighted source flow; excluded from weighted estimates.</w:t>
            </w:r>
          </w:p>
        </w:tc>
      </w:tr>
      <w:tr w:rsidR="00646F04" w:rsidRPr="00646F04" w14:paraId="15C544E9" w14:textId="77777777" w:rsidTr="00646F04">
        <w:tc>
          <w:tcPr>
            <w:tcW w:w="0" w:type="auto"/>
            <w:tcBorders>
              <w:top w:val="nil"/>
              <w:left w:val="nil"/>
              <w:bottom w:val="nil"/>
              <w:right w:val="nil"/>
            </w:tcBorders>
            <w:shd w:val="clear" w:color="auto" w:fill="auto"/>
            <w:vAlign w:val="center"/>
          </w:tcPr>
          <w:p w14:paraId="0B275B5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Conventional sensitivity direction reversals</w:t>
            </w:r>
          </w:p>
        </w:tc>
        <w:tc>
          <w:tcPr>
            <w:tcW w:w="0" w:type="auto"/>
            <w:tcBorders>
              <w:top w:val="nil"/>
              <w:left w:val="nil"/>
              <w:bottom w:val="nil"/>
              <w:right w:val="nil"/>
            </w:tcBorders>
            <w:shd w:val="clear" w:color="auto" w:fill="auto"/>
            <w:vAlign w:val="center"/>
          </w:tcPr>
          <w:p w14:paraId="7FE8ED0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7/36</w:t>
            </w:r>
          </w:p>
        </w:tc>
        <w:tc>
          <w:tcPr>
            <w:tcW w:w="0" w:type="auto"/>
            <w:tcBorders>
              <w:top w:val="nil"/>
              <w:left w:val="nil"/>
              <w:bottom w:val="nil"/>
              <w:right w:val="nil"/>
            </w:tcBorders>
            <w:shd w:val="clear" w:color="auto" w:fill="auto"/>
            <w:vAlign w:val="center"/>
          </w:tcPr>
          <w:p w14:paraId="25D9209F"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Near-null, wide-interval functional estimates; contributes to failure to meet the strict transportability criterion.</w:t>
            </w:r>
          </w:p>
        </w:tc>
      </w:tr>
      <w:tr w:rsidR="00646F04" w:rsidRPr="00646F04" w14:paraId="3800089F" w14:textId="77777777" w:rsidTr="00646F04">
        <w:tc>
          <w:tcPr>
            <w:tcW w:w="0" w:type="auto"/>
            <w:tcBorders>
              <w:top w:val="nil"/>
              <w:left w:val="nil"/>
              <w:bottom w:val="single" w:sz="8" w:space="0" w:color="404040"/>
              <w:right w:val="nil"/>
            </w:tcBorders>
            <w:shd w:val="clear" w:color="auto" w:fill="auto"/>
            <w:vAlign w:val="center"/>
          </w:tcPr>
          <w:p w14:paraId="4BF16D9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Python–Stata direction disagreement</w:t>
            </w:r>
          </w:p>
        </w:tc>
        <w:tc>
          <w:tcPr>
            <w:tcW w:w="0" w:type="auto"/>
            <w:tcBorders>
              <w:top w:val="nil"/>
              <w:left w:val="nil"/>
              <w:bottom w:val="single" w:sz="8" w:space="0" w:color="404040"/>
              <w:right w:val="nil"/>
            </w:tcBorders>
            <w:shd w:val="clear" w:color="auto" w:fill="auto"/>
            <w:vAlign w:val="center"/>
          </w:tcPr>
          <w:p w14:paraId="0807317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1/12</w:t>
            </w:r>
          </w:p>
        </w:tc>
        <w:tc>
          <w:tcPr>
            <w:tcW w:w="0" w:type="auto"/>
            <w:tcBorders>
              <w:top w:val="nil"/>
              <w:left w:val="nil"/>
              <w:bottom w:val="single" w:sz="8" w:space="0" w:color="404040"/>
              <w:right w:val="nil"/>
            </w:tcBorders>
            <w:shd w:val="clear" w:color="auto" w:fill="auto"/>
            <w:vAlign w:val="center"/>
          </w:tcPr>
          <w:p w14:paraId="1701B817"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 H1 vs H3 ADL; both software intervals cross 1.</w:t>
            </w:r>
          </w:p>
        </w:tc>
      </w:tr>
    </w:tbl>
    <w:p w14:paraId="7457936D" w14:textId="77777777" w:rsidR="001C2B6A" w:rsidRPr="00646F04" w:rsidRDefault="00000000">
      <w:pPr>
        <w:pStyle w:val="3"/>
        <w:rPr>
          <w:color w:val="000000" w:themeColor="text1"/>
        </w:rPr>
      </w:pPr>
      <w:bookmarkStart w:id="58" w:name="panel-c.-topic-lock-gates"/>
      <w:bookmarkEnd w:id="57"/>
      <w:r w:rsidRPr="00646F04">
        <w:rPr>
          <w:rFonts w:ascii="Arial" w:eastAsia="Source Han Serif SC" w:hAnsi="Arial" w:cs="Arial"/>
          <w:color w:val="000000" w:themeColor="text1"/>
        </w:rPr>
        <w:t>Panel C. Prespecified interpretation criteria</w:t>
      </w:r>
    </w:p>
    <w:tbl>
      <w:tblPr>
        <w:tblStyle w:val="Table"/>
        <w:tblW w:w="5000" w:type="pct"/>
        <w:tblLook w:val="0020" w:firstRow="1" w:lastRow="0" w:firstColumn="0" w:lastColumn="0" w:noHBand="0" w:noVBand="0"/>
      </w:tblPr>
      <w:tblGrid>
        <w:gridCol w:w="936"/>
        <w:gridCol w:w="3005"/>
        <w:gridCol w:w="5602"/>
        <w:gridCol w:w="5135"/>
      </w:tblGrid>
      <w:tr w:rsidR="00646F04" w:rsidRPr="00646F04" w14:paraId="7CB1487D" w14:textId="77777777" w:rsidTr="00646F0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404040"/>
              <w:left w:val="nil"/>
              <w:bottom w:val="single" w:sz="5" w:space="0" w:color="707070"/>
              <w:right w:val="nil"/>
            </w:tcBorders>
            <w:shd w:val="clear" w:color="auto" w:fill="auto"/>
            <w:vAlign w:val="center"/>
          </w:tcPr>
          <w:p w14:paraId="5EBFAA5E" w14:textId="77777777" w:rsidR="001C2B6A" w:rsidRPr="00646F04" w:rsidRDefault="00000000">
            <w:pPr>
              <w:rPr>
                <w:color w:val="000000" w:themeColor="text1"/>
              </w:rPr>
            </w:pPr>
            <w:r w:rsidRPr="00646F04">
              <w:rPr>
                <w:b/>
                <w:color w:val="000000" w:themeColor="text1"/>
                <w:sz w:val="18"/>
              </w:rPr>
              <w:t>Criterion</w:t>
            </w:r>
          </w:p>
        </w:tc>
        <w:tc>
          <w:tcPr>
            <w:tcW w:w="0" w:type="auto"/>
            <w:tcBorders>
              <w:top w:val="single" w:sz="8" w:space="0" w:color="404040"/>
              <w:left w:val="nil"/>
              <w:bottom w:val="single" w:sz="5" w:space="0" w:color="707070"/>
              <w:right w:val="nil"/>
            </w:tcBorders>
            <w:shd w:val="clear" w:color="auto" w:fill="auto"/>
            <w:vAlign w:val="center"/>
          </w:tcPr>
          <w:p w14:paraId="79F7B608" w14:textId="77777777" w:rsidR="001C2B6A" w:rsidRPr="00646F04" w:rsidRDefault="00000000">
            <w:pPr>
              <w:rPr>
                <w:color w:val="000000" w:themeColor="text1"/>
              </w:rPr>
            </w:pPr>
            <w:r w:rsidRPr="00646F04">
              <w:rPr>
                <w:b/>
                <w:color w:val="000000" w:themeColor="text1"/>
                <w:sz w:val="18"/>
              </w:rPr>
              <w:t>Condition</w:t>
            </w:r>
          </w:p>
        </w:tc>
        <w:tc>
          <w:tcPr>
            <w:tcW w:w="0" w:type="auto"/>
            <w:tcBorders>
              <w:top w:val="single" w:sz="8" w:space="0" w:color="404040"/>
              <w:left w:val="nil"/>
              <w:bottom w:val="single" w:sz="5" w:space="0" w:color="707070"/>
              <w:right w:val="nil"/>
            </w:tcBorders>
            <w:shd w:val="clear" w:color="auto" w:fill="auto"/>
            <w:vAlign w:val="center"/>
          </w:tcPr>
          <w:p w14:paraId="2F0F419A" w14:textId="77777777" w:rsidR="001C2B6A" w:rsidRPr="00646F04" w:rsidRDefault="00000000">
            <w:pPr>
              <w:rPr>
                <w:color w:val="000000" w:themeColor="text1"/>
              </w:rPr>
            </w:pPr>
            <w:r w:rsidRPr="00646F04">
              <w:rPr>
                <w:b/>
                <w:color w:val="000000" w:themeColor="text1"/>
                <w:sz w:val="18"/>
              </w:rPr>
              <w:t>Status</w:t>
            </w:r>
          </w:p>
        </w:tc>
        <w:tc>
          <w:tcPr>
            <w:tcW w:w="0" w:type="auto"/>
            <w:tcBorders>
              <w:top w:val="single" w:sz="8" w:space="0" w:color="404040"/>
              <w:left w:val="nil"/>
              <w:bottom w:val="single" w:sz="5" w:space="0" w:color="707070"/>
              <w:right w:val="nil"/>
            </w:tcBorders>
            <w:shd w:val="clear" w:color="auto" w:fill="auto"/>
            <w:vAlign w:val="center"/>
          </w:tcPr>
          <w:p w14:paraId="77546B9C" w14:textId="77777777" w:rsidR="001C2B6A" w:rsidRPr="00646F04" w:rsidRDefault="00000000">
            <w:pPr>
              <w:pStyle w:val="Compact"/>
              <w:spacing w:after="0" w:line="240" w:lineRule="auto"/>
              <w:jc w:val="left"/>
              <w:rPr>
                <w:color w:val="000000" w:themeColor="text1"/>
              </w:rPr>
            </w:pPr>
            <w:r w:rsidRPr="00646F04">
              <w:rPr>
                <w:rFonts w:ascii="Arial" w:eastAsia="Source Han Serif SC" w:hAnsi="Arial" w:cs="Arial"/>
                <w:b/>
                <w:color w:val="000000" w:themeColor="text1"/>
                <w:sz w:val="13"/>
              </w:rPr>
              <w:t>Saved metric/decision</w:t>
            </w:r>
          </w:p>
        </w:tc>
      </w:tr>
      <w:tr w:rsidR="00646F04" w:rsidRPr="00646F04" w14:paraId="591AA48F" w14:textId="77777777" w:rsidTr="00646F04">
        <w:tc>
          <w:tcPr>
            <w:tcW w:w="0" w:type="auto"/>
            <w:tcBorders>
              <w:top w:val="nil"/>
              <w:left w:val="nil"/>
              <w:bottom w:val="nil"/>
              <w:right w:val="nil"/>
            </w:tcBorders>
            <w:shd w:val="clear" w:color="auto" w:fill="auto"/>
            <w:vAlign w:val="center"/>
          </w:tcPr>
          <w:p w14:paraId="3836D75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w:t>
            </w:r>
          </w:p>
        </w:tc>
        <w:tc>
          <w:tcPr>
            <w:tcW w:w="0" w:type="auto"/>
            <w:tcBorders>
              <w:top w:val="nil"/>
              <w:left w:val="nil"/>
              <w:bottom w:val="nil"/>
              <w:right w:val="nil"/>
            </w:tcBorders>
            <w:shd w:val="clear" w:color="auto" w:fill="auto"/>
            <w:vAlign w:val="center"/>
          </w:tcPr>
          <w:p w14:paraId="2AEF64F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CHARLS 2015–2020 death/exit tracking verified</w:t>
            </w:r>
          </w:p>
        </w:tc>
        <w:tc>
          <w:tcPr>
            <w:tcW w:w="0" w:type="auto"/>
            <w:tcBorders>
              <w:top w:val="nil"/>
              <w:left w:val="nil"/>
              <w:bottom w:val="nil"/>
              <w:right w:val="nil"/>
            </w:tcBorders>
            <w:shd w:val="clear" w:color="auto" w:fill="auto"/>
            <w:vAlign w:val="center"/>
          </w:tcPr>
          <w:p w14:paraId="3D0235F2"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Pass with limitations</w:t>
            </w:r>
          </w:p>
        </w:tc>
        <w:tc>
          <w:tcPr>
            <w:tcW w:w="0" w:type="auto"/>
            <w:tcBorders>
              <w:top w:val="nil"/>
              <w:left w:val="nil"/>
              <w:bottom w:val="nil"/>
              <w:right w:val="nil"/>
            </w:tcBorders>
            <w:shd w:val="clear" w:color="auto" w:fill="auto"/>
            <w:vAlign w:val="center"/>
          </w:tcPr>
          <w:p w14:paraId="18DC5E4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Three linked roster years; 1,450 baseline death flags; 161 exact dates.</w:t>
            </w:r>
          </w:p>
        </w:tc>
      </w:tr>
      <w:tr w:rsidR="00646F04" w:rsidRPr="00646F04" w14:paraId="26AA6BF3" w14:textId="77777777" w:rsidTr="00646F04">
        <w:tc>
          <w:tcPr>
            <w:tcW w:w="0" w:type="auto"/>
            <w:tcBorders>
              <w:top w:val="nil"/>
              <w:left w:val="nil"/>
              <w:bottom w:val="nil"/>
              <w:right w:val="nil"/>
            </w:tcBorders>
            <w:shd w:val="clear" w:color="auto" w:fill="auto"/>
            <w:vAlign w:val="center"/>
          </w:tcPr>
          <w:p w14:paraId="6E27F41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2</w:t>
            </w:r>
          </w:p>
        </w:tc>
        <w:tc>
          <w:tcPr>
            <w:tcW w:w="0" w:type="auto"/>
            <w:tcBorders>
              <w:top w:val="nil"/>
              <w:left w:val="nil"/>
              <w:bottom w:val="nil"/>
              <w:right w:val="nil"/>
            </w:tcBorders>
            <w:shd w:val="clear" w:color="auto" w:fill="auto"/>
            <w:vAlign w:val="center"/>
          </w:tcPr>
          <w:p w14:paraId="0DCAFC2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Wealth, depression, utilisation, insurance, activity, proxy and mode added</w:t>
            </w:r>
          </w:p>
        </w:tc>
        <w:tc>
          <w:tcPr>
            <w:tcW w:w="0" w:type="auto"/>
            <w:tcBorders>
              <w:top w:val="nil"/>
              <w:left w:val="nil"/>
              <w:bottom w:val="nil"/>
              <w:right w:val="nil"/>
            </w:tcBorders>
            <w:shd w:val="clear" w:color="auto" w:fill="auto"/>
            <w:vAlign w:val="center"/>
          </w:tcPr>
          <w:p w14:paraId="3F38453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Pass with limitations</w:t>
            </w:r>
          </w:p>
        </w:tc>
        <w:tc>
          <w:tcPr>
            <w:tcW w:w="0" w:type="auto"/>
            <w:tcBorders>
              <w:top w:val="nil"/>
              <w:left w:val="nil"/>
              <w:bottom w:val="nil"/>
              <w:right w:val="nil"/>
            </w:tcBorders>
            <w:shd w:val="clear" w:color="auto" w:fill="auto"/>
            <w:vAlign w:val="center"/>
          </w:tcPr>
          <w:p w14:paraId="6CC397FB"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Minimum core coverage: CHARLS 41.9%, HRS 98.0%; individual-level CHARLS mode is unavailable.</w:t>
            </w:r>
          </w:p>
        </w:tc>
      </w:tr>
      <w:tr w:rsidR="00646F04" w:rsidRPr="00646F04" w14:paraId="643191B4" w14:textId="77777777" w:rsidTr="00646F04">
        <w:tc>
          <w:tcPr>
            <w:tcW w:w="0" w:type="auto"/>
            <w:tcBorders>
              <w:top w:val="nil"/>
              <w:left w:val="nil"/>
              <w:bottom w:val="nil"/>
              <w:right w:val="nil"/>
            </w:tcBorders>
            <w:shd w:val="clear" w:color="auto" w:fill="auto"/>
            <w:vAlign w:val="center"/>
          </w:tcPr>
          <w:p w14:paraId="72FC152D"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3</w:t>
            </w:r>
          </w:p>
        </w:tc>
        <w:tc>
          <w:tcPr>
            <w:tcW w:w="0" w:type="auto"/>
            <w:tcBorders>
              <w:top w:val="nil"/>
              <w:left w:val="nil"/>
              <w:bottom w:val="nil"/>
              <w:right w:val="nil"/>
            </w:tcBorders>
            <w:shd w:val="clear" w:color="auto" w:fill="auto"/>
            <w:vAlign w:val="center"/>
          </w:tcPr>
          <w:p w14:paraId="4BC55FA0"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H1 vs H2/H3 common-support overlap balance</w:t>
            </w:r>
          </w:p>
        </w:tc>
        <w:tc>
          <w:tcPr>
            <w:tcW w:w="0" w:type="auto"/>
            <w:tcBorders>
              <w:top w:val="nil"/>
              <w:left w:val="nil"/>
              <w:bottom w:val="nil"/>
              <w:right w:val="nil"/>
            </w:tcBorders>
            <w:shd w:val="clear" w:color="auto" w:fill="auto"/>
            <w:vAlign w:val="center"/>
          </w:tcPr>
          <w:p w14:paraId="6DF255C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Pass</w:t>
            </w:r>
          </w:p>
        </w:tc>
        <w:tc>
          <w:tcPr>
            <w:tcW w:w="0" w:type="auto"/>
            <w:tcBorders>
              <w:top w:val="nil"/>
              <w:left w:val="nil"/>
              <w:bottom w:val="nil"/>
              <w:right w:val="nil"/>
            </w:tcBorders>
            <w:shd w:val="clear" w:color="auto" w:fill="auto"/>
            <w:vAlign w:val="center"/>
          </w:tcPr>
          <w:p w14:paraId="04D1157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Maximum post-weight absolute SMD 0.000; minimum group ESS 125.2.</w:t>
            </w:r>
          </w:p>
        </w:tc>
      </w:tr>
      <w:tr w:rsidR="00646F04" w:rsidRPr="00646F04" w14:paraId="11F93FCA" w14:textId="77777777" w:rsidTr="00646F04">
        <w:tc>
          <w:tcPr>
            <w:tcW w:w="0" w:type="auto"/>
            <w:tcBorders>
              <w:top w:val="nil"/>
              <w:left w:val="nil"/>
              <w:bottom w:val="nil"/>
              <w:right w:val="nil"/>
            </w:tcBorders>
            <w:shd w:val="clear" w:color="auto" w:fill="auto"/>
            <w:vAlign w:val="center"/>
          </w:tcPr>
          <w:p w14:paraId="5CAFA2E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4</w:t>
            </w:r>
          </w:p>
        </w:tc>
        <w:tc>
          <w:tcPr>
            <w:tcW w:w="0" w:type="auto"/>
            <w:tcBorders>
              <w:top w:val="nil"/>
              <w:left w:val="nil"/>
              <w:bottom w:val="nil"/>
              <w:right w:val="nil"/>
            </w:tcBorders>
            <w:shd w:val="clear" w:color="auto" w:fill="auto"/>
            <w:vAlign w:val="center"/>
          </w:tcPr>
          <w:p w14:paraId="590A0D3A"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Full-wave discrete-time/multistate analysis and IPCW stable</w:t>
            </w:r>
          </w:p>
        </w:tc>
        <w:tc>
          <w:tcPr>
            <w:tcW w:w="0" w:type="auto"/>
            <w:tcBorders>
              <w:top w:val="nil"/>
              <w:left w:val="nil"/>
              <w:bottom w:val="nil"/>
              <w:right w:val="nil"/>
            </w:tcBorders>
            <w:shd w:val="clear" w:color="auto" w:fill="auto"/>
            <w:vAlign w:val="center"/>
          </w:tcPr>
          <w:p w14:paraId="71AA4D9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Pass</w:t>
            </w:r>
          </w:p>
        </w:tc>
        <w:tc>
          <w:tcPr>
            <w:tcW w:w="0" w:type="auto"/>
            <w:tcBorders>
              <w:top w:val="nil"/>
              <w:left w:val="nil"/>
              <w:bottom w:val="nil"/>
              <w:right w:val="nil"/>
            </w:tcBorders>
            <w:shd w:val="clear" w:color="auto" w:fill="auto"/>
            <w:vAlign w:val="center"/>
          </w:tcPr>
          <w:p w14:paraId="2D6EE2A3"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100% main-model convergence; max IPCW p99 1.32, raw max 87.28, truncated max 1.32.</w:t>
            </w:r>
          </w:p>
        </w:tc>
      </w:tr>
      <w:tr w:rsidR="00646F04" w:rsidRPr="00646F04" w14:paraId="18A90C95" w14:textId="77777777" w:rsidTr="00646F04">
        <w:tc>
          <w:tcPr>
            <w:tcW w:w="0" w:type="auto"/>
            <w:tcBorders>
              <w:top w:val="nil"/>
              <w:left w:val="nil"/>
              <w:bottom w:val="nil"/>
              <w:right w:val="nil"/>
            </w:tcBorders>
            <w:shd w:val="clear" w:color="auto" w:fill="auto"/>
            <w:vAlign w:val="center"/>
          </w:tcPr>
          <w:p w14:paraId="2210E12E"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5</w:t>
            </w:r>
          </w:p>
        </w:tc>
        <w:tc>
          <w:tcPr>
            <w:tcW w:w="0" w:type="auto"/>
            <w:tcBorders>
              <w:top w:val="nil"/>
              <w:left w:val="nil"/>
              <w:bottom w:val="nil"/>
              <w:right w:val="nil"/>
            </w:tcBorders>
            <w:shd w:val="clear" w:color="auto" w:fill="auto"/>
            <w:vAlign w:val="center"/>
          </w:tcPr>
          <w:p w14:paraId="7C9B6F69"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Direction, absolute effects and intervals transport or show stable heterogeneity</w:t>
            </w:r>
          </w:p>
        </w:tc>
        <w:tc>
          <w:tcPr>
            <w:tcW w:w="0" w:type="auto"/>
            <w:tcBorders>
              <w:top w:val="nil"/>
              <w:left w:val="nil"/>
              <w:bottom w:val="nil"/>
              <w:right w:val="nil"/>
            </w:tcBorders>
            <w:shd w:val="clear" w:color="auto" w:fill="auto"/>
            <w:vAlign w:val="center"/>
          </w:tcPr>
          <w:p w14:paraId="720DF6D8" w14:textId="77777777" w:rsidR="001C2B6A" w:rsidRPr="00646F04" w:rsidRDefault="00000000">
            <w:pPr>
              <w:rPr>
                <w:color w:val="000000" w:themeColor="text1"/>
              </w:rPr>
            </w:pPr>
            <w:r w:rsidRPr="00646F04">
              <w:rPr>
                <w:color w:val="000000" w:themeColor="text1"/>
                <w:sz w:val="18"/>
              </w:rPr>
              <w:t>Not met</w:t>
            </w:r>
          </w:p>
        </w:tc>
        <w:tc>
          <w:tcPr>
            <w:tcW w:w="0" w:type="auto"/>
            <w:tcBorders>
              <w:top w:val="nil"/>
              <w:left w:val="nil"/>
              <w:bottom w:val="nil"/>
              <w:right w:val="nil"/>
            </w:tcBorders>
            <w:shd w:val="clear" w:color="auto" w:fill="auto"/>
            <w:vAlign w:val="center"/>
          </w:tcPr>
          <w:p w14:paraId="1CC3A54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No strict common-mechanism comparison; three full-wave heterogeneity signals; one strict full-wave row; zero exact-plus-full-wave stable keys.</w:t>
            </w:r>
          </w:p>
        </w:tc>
      </w:tr>
      <w:tr w:rsidR="00646F04" w:rsidRPr="00646F04" w14:paraId="60B447C2" w14:textId="77777777" w:rsidTr="00646F04">
        <w:tc>
          <w:tcPr>
            <w:tcW w:w="0" w:type="auto"/>
            <w:tcBorders>
              <w:top w:val="nil"/>
              <w:left w:val="nil"/>
              <w:bottom w:val="single" w:sz="8" w:space="0" w:color="404040"/>
              <w:right w:val="nil"/>
            </w:tcBorders>
            <w:shd w:val="clear" w:color="auto" w:fill="auto"/>
            <w:vAlign w:val="center"/>
          </w:tcPr>
          <w:p w14:paraId="28547DE8"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Final</w:t>
            </w:r>
          </w:p>
        </w:tc>
        <w:tc>
          <w:tcPr>
            <w:tcW w:w="0" w:type="auto"/>
            <w:tcBorders>
              <w:top w:val="nil"/>
              <w:left w:val="nil"/>
              <w:bottom w:val="single" w:sz="8" w:space="0" w:color="404040"/>
              <w:right w:val="nil"/>
            </w:tcBorders>
            <w:shd w:val="clear" w:color="auto" w:fill="auto"/>
            <w:vAlign w:val="center"/>
          </w:tcPr>
          <w:p w14:paraId="4C6EF596" w14:textId="77777777" w:rsidR="001C2B6A" w:rsidRPr="00646F04" w:rsidRDefault="00000000">
            <w:pPr>
              <w:rPr>
                <w:color w:val="000000" w:themeColor="text1"/>
              </w:rPr>
            </w:pPr>
            <w:r w:rsidRPr="00646F04">
              <w:rPr>
                <w:color w:val="000000" w:themeColor="text1"/>
                <w:sz w:val="18"/>
              </w:rPr>
              <w:t>Interpretive conclusion</w:t>
            </w:r>
          </w:p>
        </w:tc>
        <w:tc>
          <w:tcPr>
            <w:tcW w:w="0" w:type="auto"/>
            <w:tcBorders>
              <w:top w:val="nil"/>
              <w:left w:val="nil"/>
              <w:bottom w:val="single" w:sz="8" w:space="0" w:color="404040"/>
              <w:right w:val="nil"/>
            </w:tcBorders>
            <w:shd w:val="clear" w:color="auto" w:fill="auto"/>
            <w:vAlign w:val="center"/>
          </w:tcPr>
          <w:p w14:paraId="57D06032" w14:textId="77777777" w:rsidR="001C2B6A" w:rsidRPr="00646F04" w:rsidRDefault="00000000">
            <w:pPr>
              <w:rPr>
                <w:color w:val="000000" w:themeColor="text1"/>
              </w:rPr>
            </w:pPr>
            <w:r w:rsidRPr="00646F04">
              <w:rPr>
                <w:color w:val="000000" w:themeColor="text1"/>
                <w:sz w:val="18"/>
              </w:rPr>
              <w:t>Use a result-neutral parallel-cohort title; describe heterogeneity as time-scale-dependent and partially transportable.</w:t>
            </w:r>
          </w:p>
        </w:tc>
        <w:tc>
          <w:tcPr>
            <w:tcW w:w="0" w:type="auto"/>
            <w:tcBorders>
              <w:top w:val="nil"/>
              <w:left w:val="nil"/>
              <w:bottom w:val="single" w:sz="8" w:space="0" w:color="404040"/>
              <w:right w:val="nil"/>
            </w:tcBorders>
            <w:shd w:val="clear" w:color="auto" w:fill="auto"/>
            <w:vAlign w:val="center"/>
          </w:tcPr>
          <w:p w14:paraId="70073CCC" w14:textId="77777777" w:rsidR="001C2B6A" w:rsidRPr="00646F04" w:rsidRDefault="00000000">
            <w:pPr>
              <w:pStyle w:val="Compact"/>
              <w:spacing w:after="0" w:line="240" w:lineRule="auto"/>
              <w:jc w:val="left"/>
              <w:rPr>
                <w:color w:val="000000" w:themeColor="text1"/>
              </w:rPr>
            </w:pPr>
            <w:r w:rsidRPr="00646F04">
              <w:rPr>
                <w:rFonts w:eastAsia="Source Han Serif SC"/>
                <w:color w:val="000000" w:themeColor="text1"/>
                <w:sz w:val="13"/>
              </w:rPr>
              <w:t>Use a result-neutral parallel-cohort title; describe heterogeneity as time-scale-dependent and partially transportable.</w:t>
            </w:r>
          </w:p>
        </w:tc>
      </w:tr>
    </w:tbl>
    <w:p w14:paraId="7F31BBCF" w14:textId="77777777" w:rsidR="001C2B6A" w:rsidRPr="00646F04" w:rsidRDefault="00000000">
      <w:pPr>
        <w:pStyle w:val="a0"/>
        <w:rPr>
          <w:color w:val="000000" w:themeColor="text1"/>
        </w:rPr>
      </w:pPr>
      <w:r w:rsidRPr="00646F04">
        <w:rPr>
          <w:color w:val="000000" w:themeColor="text1"/>
        </w:rPr>
        <w:t>Notes. The criteria are conservative rules for the strength of the cross-cohort claim. Because the strict transportability criterion was not met, the title does not imply a common mechanism or stable national heterogeneity. Cohort-specific associations remain available for bounded interpretation. The retained title is “Hypertension care-cascade states, multimorbidity and functional outcomes in China and the United States: parallel longitudinal cohort analyses”.</w:t>
      </w:r>
    </w:p>
    <w:p w14:paraId="31FEE857" w14:textId="77777777" w:rsidR="001C2B6A" w:rsidRPr="00646F04" w:rsidRDefault="005C035C">
      <w:pPr>
        <w:rPr>
          <w:color w:val="000000" w:themeColor="text1"/>
        </w:rPr>
      </w:pPr>
      <w:r>
        <w:rPr>
          <w:rFonts w:eastAsia="Source Han Serif SC"/>
          <w:noProof/>
          <w:color w:val="000000" w:themeColor="text1"/>
        </w:rPr>
        <w:lastRenderedPageBreak/>
        <w:pict w14:anchorId="44795051">
          <v:rect id="_x0000_i1025" alt="" style="width:415.3pt;height:.05pt;mso-width-percent:0;mso-height-percent:0;mso-width-percent:0;mso-height-percent:0" o:hralign="center" o:hrstd="t" o:hr="t"/>
        </w:pict>
      </w:r>
    </w:p>
    <w:p w14:paraId="1B241A10" w14:textId="77777777" w:rsidR="001C2B6A" w:rsidRPr="00646F04" w:rsidRDefault="00000000">
      <w:pPr>
        <w:pStyle w:val="2"/>
        <w:rPr>
          <w:color w:val="000000" w:themeColor="text1"/>
        </w:rPr>
      </w:pPr>
      <w:bookmarkStart w:id="59" w:name="shared-abbreviations-and-display-rules"/>
      <w:bookmarkStart w:id="60" w:name="Xd0290bcfd2db2c673fcbfe896a63e2889225b02"/>
      <w:bookmarkEnd w:id="16"/>
      <w:bookmarkEnd w:id="55"/>
      <w:bookmarkEnd w:id="58"/>
      <w:r w:rsidRPr="00646F04">
        <w:rPr>
          <w:rFonts w:ascii="Arial" w:eastAsia="Source Han Serif SC" w:hAnsi="Arial" w:cs="Arial"/>
          <w:color w:val="000000" w:themeColor="text1"/>
        </w:rPr>
        <w:t>Shared abbreviations and display rules</w:t>
      </w:r>
    </w:p>
    <w:p w14:paraId="5308A417" w14:textId="77777777" w:rsidR="001C2B6A" w:rsidRPr="00646F04" w:rsidRDefault="00000000">
      <w:pPr>
        <w:pStyle w:val="FirstParagraph"/>
        <w:rPr>
          <w:color w:val="000000" w:themeColor="text1"/>
        </w:rPr>
      </w:pPr>
      <w:r w:rsidRPr="00646F04">
        <w:rPr>
          <w:rFonts w:eastAsia="Source Han Serif SC"/>
          <w:color w:val="000000" w:themeColor="text1"/>
        </w:rPr>
        <w:t>ADL, activities of daily living; AUC, area under the receiver-operating-characteristic curve; BP, blood pressure; CES-D6, six-item Center for Epidemiologic Studies Depression scale; CHARLS, China Health and Retirement Longitudinal Study; CI, confidence interval; DBP, diastolic blood pressure; DFM, disease–function mismatch; ESS, effective sample size; HRS, Health and Retirement Study; IADL, instrumental activities of daily living; IPCW, inverse-probability-of-censoring/observation weighting; OR, odds ratio; SBP, systolic blood pressure; SD, standard deviation; SMD, standardised mean difference.</w:t>
      </w:r>
    </w:p>
    <w:p w14:paraId="0D8BDCC0" w14:textId="77777777" w:rsidR="001C2B6A" w:rsidRPr="00646F04" w:rsidRDefault="00000000">
      <w:pPr>
        <w:pStyle w:val="a0"/>
        <w:rPr>
          <w:color w:val="000000" w:themeColor="text1"/>
        </w:rPr>
      </w:pPr>
      <w:r w:rsidRPr="00646F04">
        <w:rPr>
          <w:rFonts w:eastAsia="Source Han Serif SC"/>
          <w:color w:val="000000" w:themeColor="text1"/>
        </w:rPr>
        <w:t>Display rounding does not alter the source estimates. Relative effects and CIs are generally shown to three decimals, risks/differences to two percentage points where applicable, and diagnostics to three decimals. The underlying unrounded analytic outputs are available from the corresponding author on reasonable request.</w:t>
      </w:r>
    </w:p>
    <w:p w14:paraId="49A075C9" w14:textId="77777777" w:rsidR="001C2B6A" w:rsidRPr="00646F04" w:rsidRDefault="00000000">
      <w:pPr>
        <w:pStyle w:val="2"/>
        <w:rPr>
          <w:color w:val="000000" w:themeColor="text1"/>
        </w:rPr>
      </w:pPr>
      <w:bookmarkStart w:id="61" w:name="supplementary-figures"/>
      <w:bookmarkEnd w:id="59"/>
      <w:r w:rsidRPr="00646F04">
        <w:rPr>
          <w:rFonts w:ascii="Arial" w:eastAsia="Source Han Serif SC" w:hAnsi="Arial" w:cs="Arial"/>
          <w:color w:val="000000" w:themeColor="text1"/>
        </w:rPr>
        <w:lastRenderedPageBreak/>
        <w:t>Supplementary figures</w:t>
      </w:r>
    </w:p>
    <w:p w14:paraId="2BD3772A" w14:textId="77777777" w:rsidR="001C2B6A" w:rsidRPr="00646F04" w:rsidRDefault="00000000">
      <w:pPr>
        <w:pStyle w:val="2"/>
        <w:rPr>
          <w:color w:val="000000" w:themeColor="text1"/>
        </w:rPr>
      </w:pPr>
      <w:bookmarkStart w:id="62" w:name="X8752fc455f30e20ce1efe6a410b68fb333701cb"/>
      <w:bookmarkEnd w:id="61"/>
      <w:r w:rsidRPr="00646F04">
        <w:rPr>
          <w:rFonts w:ascii="Arial" w:eastAsia="Source Han Serif SC" w:hAnsi="Arial" w:cs="Arial"/>
          <w:color w:val="000000" w:themeColor="text1"/>
        </w:rPr>
        <w:t>Figure S1. Survey-weighted baseline multimorbidity networks</w:t>
      </w:r>
    </w:p>
    <w:p w14:paraId="6A8F433F" w14:textId="77777777" w:rsidR="001C2B6A" w:rsidRPr="00646F04" w:rsidRDefault="00000000">
      <w:pPr>
        <w:pStyle w:val="FirstParagraph"/>
        <w:rPr>
          <w:color w:val="000000" w:themeColor="text1"/>
        </w:rPr>
      </w:pPr>
      <w:r w:rsidRPr="00646F04">
        <w:rPr>
          <w:rFonts w:eastAsia="Source Han Serif SC"/>
          <w:noProof/>
          <w:color w:val="000000" w:themeColor="text1"/>
        </w:rPr>
        <w:drawing>
          <wp:inline distT="0" distB="0" distL="0" distR="0" wp14:anchorId="2AEC282E" wp14:editId="40CE382A">
            <wp:extent cx="5334000" cy="3037416"/>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Picture" descr="../figures/supplement/Appendix_Figure1_multimorbidity_network.png"/>
                    <pic:cNvPicPr>
                      <a:picLocks noChangeAspect="1" noChangeArrowheads="1"/>
                    </pic:cNvPicPr>
                  </pic:nvPicPr>
                  <pic:blipFill>
                    <a:blip r:embed="rId7"/>
                    <a:stretch>
                      <a:fillRect/>
                    </a:stretch>
                  </pic:blipFill>
                  <pic:spPr bwMode="auto">
                    <a:xfrm>
                      <a:off x="0" y="0"/>
                      <a:ext cx="5334000" cy="3037416"/>
                    </a:xfrm>
                    <a:prstGeom prst="rect">
                      <a:avLst/>
                    </a:prstGeom>
                    <a:noFill/>
                    <a:ln w="9525">
                      <a:noFill/>
                      <a:headEnd/>
                      <a:tailEnd/>
                    </a:ln>
                  </pic:spPr>
                </pic:pic>
              </a:graphicData>
            </a:graphic>
          </wp:inline>
        </w:drawing>
      </w:r>
    </w:p>
    <w:p w14:paraId="1513C28C" w14:textId="77777777" w:rsidR="001C2B6A" w:rsidRPr="00646F04" w:rsidRDefault="00000000">
      <w:pPr>
        <w:pStyle w:val="a0"/>
        <w:rPr>
          <w:color w:val="000000" w:themeColor="text1"/>
        </w:rPr>
      </w:pPr>
      <w:r w:rsidRPr="00646F04">
        <w:rPr>
          <w:rFonts w:eastAsia="Source Han Serif SC"/>
          <w:color w:val="000000" w:themeColor="text1"/>
        </w:rPr>
        <w:t>Fixed node positions show baseline networks for the Health and Retirement Study in panel a and the China Health and Retirement Longitudinal Study in panel b. Nodes represent seven non-hypertension disease domains. Node area is scaled within each cohort to survey-weighted prevalence. Absolute node areas should not be compared between panels. Edges show survey-weighted pairwise phi correlations with an absolute value of at least 0.05. Edge width increases with correlation magnitude. Teal edges are positive and purple edges are negative. These cross-sectional networks describe co-occurrence. They contain no temporal or causal direction.</w:t>
      </w:r>
    </w:p>
    <w:p w14:paraId="321B3599" w14:textId="77777777" w:rsidR="001C2B6A" w:rsidRPr="00646F04" w:rsidRDefault="00000000">
      <w:pPr>
        <w:pStyle w:val="a0"/>
        <w:rPr>
          <w:color w:val="000000" w:themeColor="text1"/>
        </w:rPr>
      </w:pPr>
      <w:r w:rsidRPr="00646F04">
        <w:rPr>
          <w:rFonts w:eastAsia="Source Han Serif SC"/>
          <w:color w:val="000000" w:themeColor="text1"/>
        </w:rPr>
        <w:lastRenderedPageBreak/>
        <w:t>Alt text: Two network diagrams compare baseline co-occurrence among seven chronic disease domains. Solid nodes vary in size within each cohort according to prevalence. Thicker teal or purple links show stronger positive or negative correlations. The panels use fixed node positions, while node areas remain scaled within each cohort.</w:t>
      </w:r>
    </w:p>
    <w:p w14:paraId="58E40606" w14:textId="77777777" w:rsidR="001C2B6A" w:rsidRPr="00646F04" w:rsidRDefault="00000000">
      <w:pPr>
        <w:pStyle w:val="2"/>
        <w:rPr>
          <w:color w:val="000000" w:themeColor="text1"/>
        </w:rPr>
      </w:pPr>
      <w:bookmarkStart w:id="63" w:name="X6db11f19e221c01e7fc6f6758606d0893cd6cb8"/>
      <w:bookmarkEnd w:id="62"/>
      <w:r w:rsidRPr="00646F04">
        <w:rPr>
          <w:rFonts w:ascii="Arial" w:eastAsia="Source Han Serif SC" w:hAnsi="Arial" w:cs="Arial"/>
          <w:color w:val="000000" w:themeColor="text1"/>
        </w:rPr>
        <w:t>Figure S2. Descriptive disease-function multistate transition probabilities</w:t>
      </w:r>
    </w:p>
    <w:p w14:paraId="3EC7ED0C" w14:textId="77777777" w:rsidR="001C2B6A" w:rsidRPr="00646F04" w:rsidRDefault="00000000">
      <w:pPr>
        <w:pStyle w:val="FirstParagraph"/>
        <w:rPr>
          <w:color w:val="000000" w:themeColor="text1"/>
        </w:rPr>
      </w:pPr>
      <w:r w:rsidRPr="00646F04">
        <w:rPr>
          <w:rFonts w:eastAsia="Source Han Serif SC"/>
          <w:noProof/>
          <w:color w:val="000000" w:themeColor="text1"/>
        </w:rPr>
        <w:drawing>
          <wp:inline distT="0" distB="0" distL="0" distR="0" wp14:anchorId="424D79BA" wp14:editId="31439F93">
            <wp:extent cx="5334000" cy="2852208"/>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6" name="Picture" descr="../figures/supplement/Appendix_Figure2_multistate_transitions.png"/>
                    <pic:cNvPicPr>
                      <a:picLocks noChangeAspect="1" noChangeArrowheads="1"/>
                    </pic:cNvPicPr>
                  </pic:nvPicPr>
                  <pic:blipFill>
                    <a:blip r:embed="rId8"/>
                    <a:stretch>
                      <a:fillRect/>
                    </a:stretch>
                  </pic:blipFill>
                  <pic:spPr bwMode="auto">
                    <a:xfrm>
                      <a:off x="0" y="0"/>
                      <a:ext cx="5334000" cy="2852208"/>
                    </a:xfrm>
                    <a:prstGeom prst="rect">
                      <a:avLst/>
                    </a:prstGeom>
                    <a:noFill/>
                    <a:ln w="9525">
                      <a:noFill/>
                      <a:headEnd/>
                      <a:tailEnd/>
                    </a:ln>
                  </pic:spPr>
                </pic:pic>
              </a:graphicData>
            </a:graphic>
          </wp:inline>
        </w:drawing>
      </w:r>
    </w:p>
    <w:p w14:paraId="16DDA92C" w14:textId="77777777" w:rsidR="001C2B6A" w:rsidRPr="00646F04" w:rsidRDefault="00000000">
      <w:pPr>
        <w:pStyle w:val="a0"/>
        <w:rPr>
          <w:color w:val="000000" w:themeColor="text1"/>
        </w:rPr>
      </w:pPr>
      <w:r w:rsidRPr="00646F04">
        <w:rPr>
          <w:rFonts w:eastAsia="Source Han Serif SC"/>
          <w:color w:val="000000" w:themeColor="text1"/>
        </w:rPr>
        <w:t xml:space="preserve">Heat maps show survey-weighted and inverse probability weighted transitions between adjacent observed waves in the Health and Retirement Study and the China Health and Retirement Longitudinal Study. Rows give the current state and columns give the next observed state. S0 indicates zero or one disease with intact function. S1 indicates at least two diseases with intact function. S2 indicates instrumental activities of daily living disability without activities of daily living disability. S3 </w:t>
      </w:r>
      <w:r w:rsidRPr="00646F04">
        <w:rPr>
          <w:rFonts w:eastAsia="Source Han Serif SC"/>
          <w:color w:val="000000" w:themeColor="text1"/>
        </w:rPr>
        <w:lastRenderedPageBreak/>
        <w:t>indicates activities of daily living disability. S4 indicates ascertained death and is absorbing by design. Cell labels are weighted row percentages. The heat maps are descriptive. Adjusted cause-specific models appear in Supplementary Table S8. Death linkage in the Chinese cohort was incomplete.</w:t>
      </w:r>
    </w:p>
    <w:p w14:paraId="50AFBF38" w14:textId="77777777" w:rsidR="001C2B6A" w:rsidRPr="00646F04" w:rsidRDefault="00000000">
      <w:pPr>
        <w:pStyle w:val="a0"/>
        <w:rPr>
          <w:color w:val="000000" w:themeColor="text1"/>
        </w:rPr>
      </w:pPr>
      <w:r w:rsidRPr="00646F04">
        <w:rPr>
          <w:rFonts w:eastAsia="Source Han Serif SC"/>
          <w:color w:val="000000" w:themeColor="text1"/>
        </w:rPr>
        <w:t>Alt text: Two heat maps show weighted transitions among five disease and function states. Darker cells represent more frequent transitions. The first two states distinguish lower and higher disease burden with intact function. The next two represent instrumental and basic activities of daily living disability. The final state is ascertained death. Chinese mortality cells reflect incomplete linkage.</w:t>
      </w:r>
      <w:bookmarkEnd w:id="60"/>
      <w:bookmarkEnd w:id="63"/>
    </w:p>
    <w:sectPr w:rsidR="001C2B6A" w:rsidRPr="00646F04">
      <w:headerReference w:type="default" r:id="rId9"/>
      <w:footerReference w:type="default" r:id="rId10"/>
      <w:footnotePr>
        <w:numRestart w:val="eachSect"/>
      </w:footnotePr>
      <w:pgSz w:w="16838" w:h="11906" w:orient="landscape"/>
      <w:pgMar w:top="1152" w:right="1080" w:bottom="1152" w:left="1080" w:header="454" w:footer="454"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BD94E" w14:textId="77777777" w:rsidR="005C035C" w:rsidRDefault="005C035C">
      <w:pPr>
        <w:spacing w:line="240" w:lineRule="auto"/>
      </w:pPr>
      <w:r>
        <w:separator/>
      </w:r>
    </w:p>
  </w:endnote>
  <w:endnote w:type="continuationSeparator" w:id="0">
    <w:p w14:paraId="3F41C235" w14:textId="77777777" w:rsidR="005C035C" w:rsidRDefault="005C0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ource Han Serif SC">
    <w:panose1 w:val="020204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9A271" w14:textId="77777777" w:rsidR="001C2B6A" w:rsidRDefault="00000000">
    <w:pPr>
      <w:jc w:val="center"/>
    </w:pPr>
    <w:r>
      <w:t xml:space="preserve">Page </w:t>
    </w:r>
    <w:r>
      <w:fldChar w:fldCharType="begin"/>
    </w:r>
    <w:r>
      <w:instrText>PAGE</w:instrText>
    </w:r>
    <w:r>
      <w:fldChar w:fldCharType="separate"/>
    </w:r>
    <w:r w:rsidR="00646F0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C9B75" w14:textId="77777777" w:rsidR="005C035C" w:rsidRDefault="005C035C">
      <w:pPr>
        <w:spacing w:line="240" w:lineRule="auto"/>
      </w:pPr>
      <w:r>
        <w:separator/>
      </w:r>
    </w:p>
  </w:footnote>
  <w:footnote w:type="continuationSeparator" w:id="0">
    <w:p w14:paraId="50057729" w14:textId="77777777" w:rsidR="005C035C" w:rsidRDefault="005C0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4A7B0" w14:textId="77777777" w:rsidR="001C2B6A" w:rsidRDefault="001C2B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BA7C979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04C64A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323EFD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70628608">
    <w:abstractNumId w:val="0"/>
  </w:num>
  <w:num w:numId="2" w16cid:durableId="2045397331">
    <w:abstractNumId w:val="1"/>
  </w:num>
  <w:num w:numId="3" w16cid:durableId="1388991487">
    <w:abstractNumId w:val="1"/>
  </w:num>
  <w:num w:numId="4" w16cid:durableId="1197768297">
    <w:abstractNumId w:val="1"/>
  </w:num>
  <w:num w:numId="5" w16cid:durableId="1275673270">
    <w:abstractNumId w:val="1"/>
  </w:num>
  <w:num w:numId="6" w16cid:durableId="1662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6A"/>
    <w:rsid w:val="000D00F6"/>
    <w:rsid w:val="001C2B6A"/>
    <w:rsid w:val="005C035C"/>
    <w:rsid w:val="00646F04"/>
    <w:rsid w:val="00786579"/>
    <w:rsid w:val="00AC1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B9D0"/>
  <w15:docId w15:val="{A18D25FA-8EB9-2443-AFA6-AE647D90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0" w:line="480" w:lineRule="auto"/>
      <w:jc w:val="both"/>
    </w:pPr>
    <w:rPr>
      <w:rFonts w:ascii="Times New Roman" w:eastAsia="Times New Roman" w:hAnsi="Times New Roman" w:cs="Times New Roman"/>
      <w:sz w:val="22"/>
    </w:rPr>
  </w:style>
  <w:style w:type="paragraph" w:styleId="1">
    <w:name w:val="heading 1"/>
    <w:basedOn w:val="a"/>
    <w:next w:val="a0"/>
    <w:link w:val="10"/>
    <w:uiPriority w:val="9"/>
    <w:qFormat/>
    <w:rsid w:val="00A10FD9"/>
    <w:pPr>
      <w:keepNext/>
      <w:keepLines/>
      <w:spacing w:before="180" w:after="80"/>
      <w:outlineLvl w:val="0"/>
    </w:pPr>
    <w:rPr>
      <w:rFonts w:asciiTheme="majorHAnsi" w:eastAsiaTheme="majorEastAsia" w:hAnsiTheme="majorHAnsi" w:cstheme="majorBidi"/>
      <w:b/>
      <w:color w:val="315F85"/>
      <w:sz w:val="26"/>
      <w:szCs w:val="40"/>
    </w:rPr>
  </w:style>
  <w:style w:type="paragraph" w:styleId="2">
    <w:name w:val="heading 2"/>
    <w:basedOn w:val="a"/>
    <w:next w:val="a0"/>
    <w:link w:val="20"/>
    <w:uiPriority w:val="9"/>
    <w:semiHidden/>
    <w:unhideWhenUsed/>
    <w:qFormat/>
    <w:rsid w:val="00A10FD9"/>
    <w:pPr>
      <w:keepNext/>
      <w:keepLines/>
      <w:spacing w:before="180" w:after="80"/>
      <w:outlineLvl w:val="1"/>
    </w:pPr>
    <w:rPr>
      <w:rFonts w:asciiTheme="majorHAnsi" w:eastAsiaTheme="majorEastAsia" w:hAnsiTheme="majorHAnsi" w:cstheme="majorBidi"/>
      <w:b/>
      <w:color w:val="315F85"/>
      <w:sz w:val="23"/>
      <w:szCs w:val="32"/>
    </w:rPr>
  </w:style>
  <w:style w:type="paragraph" w:styleId="3">
    <w:name w:val="heading 3"/>
    <w:basedOn w:val="a"/>
    <w:next w:val="a0"/>
    <w:link w:val="30"/>
    <w:uiPriority w:val="9"/>
    <w:semiHidden/>
    <w:unhideWhenUsed/>
    <w:qFormat/>
    <w:rsid w:val="00A10FD9"/>
    <w:pPr>
      <w:keepNext/>
      <w:keepLines/>
      <w:spacing w:before="180" w:after="80"/>
      <w:outlineLvl w:val="2"/>
    </w:pPr>
    <w:rPr>
      <w:rFonts w:eastAsiaTheme="majorEastAsia" w:cstheme="majorBidi"/>
      <w:b/>
      <w:color w:val="5C5C5C"/>
      <w:sz w:val="21"/>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keepNext/>
      <w:spacing w:after="80" w:line="240" w:lineRule="auto"/>
      <w:contextualSpacing/>
      <w:jc w:val="center"/>
    </w:pPr>
    <w:rPr>
      <w:rFonts w:asciiTheme="majorHAnsi" w:eastAsiaTheme="majorEastAsia" w:hAnsiTheme="majorHAnsi" w:cstheme="majorBidi"/>
      <w:b/>
      <w:color w:val="000000"/>
      <w:sz w:val="32"/>
      <w:szCs w:val="56"/>
    </w:rPr>
  </w:style>
  <w:style w:type="character" w:customStyle="1" w:styleId="a5">
    <w:name w:val="标题 字符"/>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keepNext w:val="0"/>
      <w:numPr>
        <w:ilvl w:val="1"/>
      </w:numPr>
    </w:pPr>
    <w:rPr>
      <w:rFonts w:ascii="Times New Roman" w:hAnsi="Times New Roman"/>
      <w:b w:val="0"/>
      <w:color w:val="5C5C5C"/>
      <w:spacing w:val="15"/>
      <w:sz w:val="21"/>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Lines/>
    </w:pPr>
    <w:rPr>
      <w:sz w:val="24"/>
      <w:szCs w:val="24"/>
    </w:rPr>
  </w:style>
  <w:style w:type="paragraph" w:styleId="a8">
    <w:name w:val="Date"/>
    <w:basedOn w:val="a4"/>
    <w:next w:val="a0"/>
    <w:qFormat/>
    <w:pPr>
      <w:keepLines/>
    </w:pPr>
    <w:rPr>
      <w:sz w:val="24"/>
      <w:szCs w:val="24"/>
    </w:rPr>
  </w:style>
  <w:style w:type="paragraph" w:customStyle="1" w:styleId="AbstractTitle">
    <w:name w:val="Abstract Title"/>
    <w:basedOn w:val="a"/>
    <w:next w:val="Abstract"/>
    <w:qFormat/>
    <w:pPr>
      <w:keepNext/>
      <w:keepLines/>
      <w:spacing w:before="30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rPr>
      <w:b w:val="0"/>
      <w:color w:val="0F476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af0">
    <w:name w:val="line number"/>
    <w:basedOn w:val="a1"/>
    <w:rsid w:val="00646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8961</Words>
  <Characters>51084</Characters>
  <Application>Microsoft Office Word</Application>
  <DocSecurity>0</DocSecurity>
  <Lines>425</Lines>
  <Paragraphs>119</Paragraphs>
  <ScaleCrop>false</ScaleCrop>
  <Company/>
  <LinksUpToDate>false</LinksUpToDate>
  <CharactersWithSpaces>59926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02_Age_and_Ageing_Supplementary_Data_EN</dc:title>
  <dc:subject>Anonymous supplementary data</dc:subject>
  <dc:creator>Chenye Hao</dc:creator>
  <cp:keywords/>
  <dc:description/>
  <cp:lastModifiedBy>Chenye Hao</cp:lastModifiedBy>
  <cp:revision>2</cp:revision>
  <dcterms:created xsi:type="dcterms:W3CDTF">2026-08-05T11:44:00Z</dcterms:created>
  <dcterms:modified xsi:type="dcterms:W3CDTF">2026-08-05T11:44:00Z</dcterms:modified>
  <cp:category/>
</cp:coreProperties>
</file>