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153A" w14:textId="77777777" w:rsidR="00676D83" w:rsidRPr="00A74F01" w:rsidRDefault="00676D83" w:rsidP="00676D83">
      <w:pPr>
        <w:spacing w:line="360" w:lineRule="auto"/>
        <w:jc w:val="both"/>
        <w:rPr>
          <w:b/>
          <w:bCs/>
          <w:sz w:val="28"/>
          <w:szCs w:val="28"/>
        </w:rPr>
      </w:pPr>
      <w:r w:rsidRPr="00A74F01">
        <w:rPr>
          <w:b/>
          <w:bCs/>
          <w:sz w:val="28"/>
          <w:szCs w:val="28"/>
        </w:rPr>
        <w:t>Appendix A: Negotiation Performance Rubric (Summary)</w:t>
      </w:r>
    </w:p>
    <w:p w14:paraId="0B0560AA" w14:textId="77777777" w:rsidR="00676D83" w:rsidRPr="0075437A" w:rsidRDefault="00676D83" w:rsidP="00676D83">
      <w:pPr>
        <w:spacing w:line="360" w:lineRule="auto"/>
        <w:ind w:firstLine="720"/>
        <w:jc w:val="both"/>
        <w:rPr>
          <w:sz w:val="24"/>
          <w:szCs w:val="24"/>
        </w:rPr>
      </w:pPr>
      <w:r w:rsidRPr="0075437A">
        <w:rPr>
          <w:sz w:val="24"/>
          <w:szCs w:val="24"/>
        </w:rPr>
        <w:t>Observer teams rate each negotiating team separately on all five dimensions (</w:t>
      </w:r>
      <w:r>
        <w:rPr>
          <w:sz w:val="24"/>
          <w:szCs w:val="24"/>
        </w:rPr>
        <w:t xml:space="preserve">on a </w:t>
      </w:r>
      <w:r w:rsidRPr="0075437A">
        <w:rPr>
          <w:sz w:val="24"/>
          <w:szCs w:val="24"/>
        </w:rPr>
        <w:t>0–20 scale each) and then provide a written justification of at least 150 words for the declared winner, referencing at least three dimensions by name. Ties are not permitted.</w:t>
      </w:r>
      <w:r>
        <w:rPr>
          <w:sz w:val="24"/>
          <w:szCs w:val="24"/>
        </w:rPr>
        <w:t xml:space="preserve"> </w:t>
      </w:r>
    </w:p>
    <w:p w14:paraId="685A0058" w14:textId="77777777" w:rsidR="00676D83" w:rsidRPr="0075437A" w:rsidRDefault="00676D83" w:rsidP="00676D83">
      <w:pPr>
        <w:spacing w:line="360" w:lineRule="auto"/>
        <w:ind w:firstLine="720"/>
        <w:jc w:val="both"/>
        <w:rPr>
          <w:sz w:val="24"/>
          <w:szCs w:val="24"/>
        </w:rPr>
      </w:pPr>
      <w:r w:rsidRPr="00A74F01">
        <w:rPr>
          <w:b/>
          <w:bCs/>
          <w:sz w:val="24"/>
          <w:szCs w:val="24"/>
        </w:rPr>
        <w:t>1. Cultural Awareness &amp; Authenticity</w:t>
      </w:r>
      <w:r w:rsidRPr="0075437A">
        <w:rPr>
          <w:sz w:val="24"/>
          <w:szCs w:val="24"/>
        </w:rPr>
        <w:t xml:space="preserve"> — behavioral enactment of assigned cultural identity and institutional trust logic.</w:t>
      </w:r>
    </w:p>
    <w:p w14:paraId="5FCC1EB6" w14:textId="77777777" w:rsidR="00676D83" w:rsidRPr="0075437A" w:rsidRDefault="00676D83" w:rsidP="00676D83">
      <w:pPr>
        <w:spacing w:line="360" w:lineRule="auto"/>
        <w:ind w:firstLine="720"/>
        <w:jc w:val="both"/>
        <w:rPr>
          <w:sz w:val="24"/>
          <w:szCs w:val="24"/>
        </w:rPr>
      </w:pPr>
      <w:r w:rsidRPr="00A74F01">
        <w:rPr>
          <w:b/>
          <w:bCs/>
          <w:sz w:val="24"/>
          <w:szCs w:val="24"/>
        </w:rPr>
        <w:t>2. Adaptability &amp; Hybrid Solution Creation</w:t>
      </w:r>
      <w:r w:rsidRPr="0075437A">
        <w:rPr>
          <w:sz w:val="24"/>
          <w:szCs w:val="24"/>
        </w:rPr>
        <w:t xml:space="preserve"> — responsiveness to counterpart moves and to the crisis-escalation event; structural (not only rhetorical) adaptation.</w:t>
      </w:r>
    </w:p>
    <w:p w14:paraId="34C317CA" w14:textId="77777777" w:rsidR="00676D83" w:rsidRPr="0075437A" w:rsidRDefault="00676D83" w:rsidP="00676D83">
      <w:pPr>
        <w:spacing w:line="360" w:lineRule="auto"/>
        <w:ind w:firstLine="720"/>
        <w:jc w:val="both"/>
        <w:rPr>
          <w:sz w:val="24"/>
          <w:szCs w:val="24"/>
        </w:rPr>
      </w:pPr>
      <w:r w:rsidRPr="00A74F01">
        <w:rPr>
          <w:b/>
          <w:bCs/>
          <w:sz w:val="24"/>
          <w:szCs w:val="24"/>
        </w:rPr>
        <w:t>3. Clarity and Structural Feasibility</w:t>
      </w:r>
      <w:r w:rsidRPr="0075437A">
        <w:rPr>
          <w:sz w:val="24"/>
          <w:szCs w:val="24"/>
        </w:rPr>
        <w:t xml:space="preserve"> — operational specificity of proposed governance mechanisms (milestones, conditional ownership, escalation ladders, joint oversight).</w:t>
      </w:r>
    </w:p>
    <w:p w14:paraId="3B747AE6" w14:textId="77777777" w:rsidR="00676D83" w:rsidRPr="0075437A" w:rsidRDefault="00676D83" w:rsidP="00676D83">
      <w:pPr>
        <w:spacing w:line="360" w:lineRule="auto"/>
        <w:ind w:firstLine="720"/>
        <w:jc w:val="both"/>
        <w:rPr>
          <w:sz w:val="24"/>
          <w:szCs w:val="24"/>
        </w:rPr>
      </w:pPr>
      <w:r w:rsidRPr="00A74F01">
        <w:rPr>
          <w:b/>
          <w:bCs/>
          <w:sz w:val="24"/>
          <w:szCs w:val="24"/>
        </w:rPr>
        <w:t>4. Intercultural Negotiation Collaboration</w:t>
      </w:r>
      <w:r w:rsidRPr="0075437A">
        <w:rPr>
          <w:sz w:val="24"/>
          <w:szCs w:val="24"/>
        </w:rPr>
        <w:t xml:space="preserve"> — bilateral institutional literacy; architectural (not only verbal) integration of the counterpart's governance logic.</w:t>
      </w:r>
    </w:p>
    <w:p w14:paraId="7E9B8D36" w14:textId="77777777" w:rsidR="00676D83" w:rsidRPr="0075437A" w:rsidRDefault="00676D83" w:rsidP="00676D83">
      <w:pPr>
        <w:spacing w:line="360" w:lineRule="auto"/>
        <w:ind w:firstLine="720"/>
        <w:jc w:val="both"/>
        <w:rPr>
          <w:sz w:val="24"/>
          <w:szCs w:val="24"/>
        </w:rPr>
      </w:pPr>
      <w:r w:rsidRPr="00A74F01">
        <w:rPr>
          <w:b/>
          <w:bCs/>
          <w:sz w:val="24"/>
          <w:szCs w:val="24"/>
        </w:rPr>
        <w:t>5. Persuasiveness and Proposal Quality</w:t>
      </w:r>
      <w:r w:rsidRPr="0075437A">
        <w:rPr>
          <w:sz w:val="24"/>
          <w:szCs w:val="24"/>
        </w:rPr>
        <w:t xml:space="preserve"> — argument development that addresses both parties' structural requirements, not tone alone.</w:t>
      </w:r>
      <w:r>
        <w:rPr>
          <w:sz w:val="24"/>
          <w:szCs w:val="24"/>
        </w:rPr>
        <w:t xml:space="preserve"> </w:t>
      </w:r>
    </w:p>
    <w:p w14:paraId="308551A5" w14:textId="77777777" w:rsidR="00676D83" w:rsidRDefault="00676D83" w:rsidP="00676D83">
      <w:pPr>
        <w:rPr>
          <w:b/>
          <w:bCs/>
          <w:sz w:val="24"/>
          <w:szCs w:val="24"/>
        </w:rPr>
      </w:pPr>
      <w:r>
        <w:rPr>
          <w:b/>
          <w:bCs/>
          <w:sz w:val="24"/>
          <w:szCs w:val="24"/>
        </w:rPr>
        <w:br w:type="page"/>
      </w:r>
    </w:p>
    <w:p w14:paraId="0599F8B1" w14:textId="77777777" w:rsidR="00676D83" w:rsidRPr="00A74F01" w:rsidRDefault="00676D83" w:rsidP="00676D83">
      <w:pPr>
        <w:spacing w:line="360" w:lineRule="auto"/>
        <w:jc w:val="both"/>
        <w:rPr>
          <w:b/>
          <w:bCs/>
          <w:sz w:val="28"/>
          <w:szCs w:val="28"/>
        </w:rPr>
      </w:pPr>
      <w:r w:rsidRPr="00A74F01">
        <w:rPr>
          <w:b/>
          <w:bCs/>
          <w:sz w:val="28"/>
          <w:szCs w:val="28"/>
        </w:rPr>
        <w:lastRenderedPageBreak/>
        <w:t>Appendix B: Sample Crisis-Escalation Questions by Case</w:t>
      </w:r>
      <w:r>
        <w:rPr>
          <w:b/>
          <w:bCs/>
          <w:sz w:val="28"/>
          <w:szCs w:val="28"/>
        </w:rPr>
        <w:t xml:space="preserve"> </w:t>
      </w:r>
    </w:p>
    <w:p w14:paraId="7EE6584B" w14:textId="77777777" w:rsidR="00676D83" w:rsidRPr="0075437A" w:rsidRDefault="00676D83" w:rsidP="00676D83">
      <w:pPr>
        <w:spacing w:line="360" w:lineRule="auto"/>
        <w:ind w:firstLine="720"/>
        <w:jc w:val="both"/>
        <w:rPr>
          <w:sz w:val="24"/>
          <w:szCs w:val="24"/>
        </w:rPr>
      </w:pPr>
      <w:r w:rsidRPr="0075437A">
        <w:rPr>
          <w:sz w:val="24"/>
          <w:szCs w:val="24"/>
        </w:rPr>
        <w:t>The facilitator delivered this information verbally at the 20-minute mark; teams had five minutes to respond through negotiation, with no written materials permitted.</w:t>
      </w:r>
      <w:r>
        <w:rPr>
          <w:sz w:val="24"/>
          <w:szCs w:val="24"/>
        </w:rPr>
        <w:t xml:space="preserve"> </w:t>
      </w:r>
    </w:p>
    <w:p w14:paraId="65D625B6" w14:textId="77777777" w:rsidR="00676D83" w:rsidRPr="0075437A" w:rsidRDefault="00676D83" w:rsidP="00676D83">
      <w:pPr>
        <w:spacing w:line="360" w:lineRule="auto"/>
        <w:ind w:firstLine="720"/>
        <w:jc w:val="both"/>
        <w:rPr>
          <w:sz w:val="24"/>
          <w:szCs w:val="24"/>
        </w:rPr>
      </w:pPr>
      <w:r w:rsidRPr="00A74F01">
        <w:rPr>
          <w:b/>
          <w:bCs/>
          <w:sz w:val="24"/>
          <w:szCs w:val="24"/>
        </w:rPr>
        <w:t>Wine Export (Argentina vs. Canada):</w:t>
      </w:r>
      <w:r w:rsidRPr="0075437A">
        <w:rPr>
          <w:sz w:val="24"/>
          <w:szCs w:val="24"/>
        </w:rPr>
        <w:t xml:space="preserve"> "The harvest delay is now confirmed to be six weeks. The compliance officer of the Canadian firm flagged the contract for an immediate regulatory review. You have five minutes to negotiate a resolution satisfying both the compliance requirement and the relational commitment already established."</w:t>
      </w:r>
      <w:r>
        <w:rPr>
          <w:sz w:val="24"/>
          <w:szCs w:val="24"/>
        </w:rPr>
        <w:t xml:space="preserve"> </w:t>
      </w:r>
    </w:p>
    <w:p w14:paraId="6371A9AE" w14:textId="77777777" w:rsidR="00676D83" w:rsidRPr="0075437A" w:rsidRDefault="00676D83" w:rsidP="00676D83">
      <w:pPr>
        <w:spacing w:line="360" w:lineRule="auto"/>
        <w:ind w:firstLine="720"/>
        <w:jc w:val="both"/>
        <w:rPr>
          <w:sz w:val="24"/>
          <w:szCs w:val="24"/>
        </w:rPr>
      </w:pPr>
      <w:r w:rsidRPr="00A74F01">
        <w:rPr>
          <w:b/>
          <w:bCs/>
          <w:sz w:val="24"/>
          <w:szCs w:val="24"/>
        </w:rPr>
        <w:t>Coffee Alliance (Colombia vs. France):</w:t>
      </w:r>
      <w:r w:rsidRPr="0075437A">
        <w:rPr>
          <w:sz w:val="24"/>
          <w:szCs w:val="24"/>
        </w:rPr>
        <w:t xml:space="preserve"> "A competing French premium brand has approached the Colombian cooperative with a price offer 15% above the current negotiation. The board of the cooperative held an emergency session. You have five minutes to propose why and how this partnership should proceed."</w:t>
      </w:r>
      <w:r>
        <w:rPr>
          <w:sz w:val="24"/>
          <w:szCs w:val="24"/>
        </w:rPr>
        <w:t xml:space="preserve"> </w:t>
      </w:r>
    </w:p>
    <w:p w14:paraId="1A876E00" w14:textId="77777777" w:rsidR="00676D83" w:rsidRPr="0075437A" w:rsidRDefault="00676D83" w:rsidP="00676D83">
      <w:pPr>
        <w:spacing w:line="360" w:lineRule="auto"/>
        <w:ind w:firstLine="720"/>
        <w:jc w:val="both"/>
        <w:rPr>
          <w:sz w:val="24"/>
          <w:szCs w:val="24"/>
        </w:rPr>
      </w:pPr>
      <w:r w:rsidRPr="00A74F01">
        <w:rPr>
          <w:b/>
          <w:bCs/>
          <w:sz w:val="24"/>
          <w:szCs w:val="24"/>
        </w:rPr>
        <w:t>Pharma Joint Venture (Switzerland vs. Italy):</w:t>
      </w:r>
      <w:r w:rsidRPr="0075437A">
        <w:rPr>
          <w:sz w:val="24"/>
          <w:szCs w:val="24"/>
        </w:rPr>
        <w:t xml:space="preserve"> "The initial compound result was statistically ambiguous. The Swiss compliance team has flagged it for a mandatory milestone review, and the Italian scientific team believes that six more weeks of exploration are needed. You have five minutes to design a resolution mechanism satisfying both requirements."</w:t>
      </w:r>
      <w:r>
        <w:rPr>
          <w:sz w:val="24"/>
          <w:szCs w:val="24"/>
        </w:rPr>
        <w:t xml:space="preserve"> </w:t>
      </w:r>
    </w:p>
    <w:p w14:paraId="5893BE28" w14:textId="77777777" w:rsidR="00676D83" w:rsidRPr="0075437A" w:rsidRDefault="00676D83" w:rsidP="00676D83">
      <w:pPr>
        <w:spacing w:line="360" w:lineRule="auto"/>
        <w:ind w:firstLine="720"/>
        <w:jc w:val="both"/>
        <w:rPr>
          <w:sz w:val="24"/>
          <w:szCs w:val="24"/>
        </w:rPr>
      </w:pPr>
      <w:r w:rsidRPr="00A74F01">
        <w:rPr>
          <w:b/>
          <w:bCs/>
          <w:sz w:val="24"/>
          <w:szCs w:val="24"/>
        </w:rPr>
        <w:t>Renewable Energy Concession (Poland vs. Australia):</w:t>
      </w:r>
      <w:r w:rsidRPr="0075437A">
        <w:rPr>
          <w:sz w:val="24"/>
          <w:szCs w:val="24"/>
        </w:rPr>
        <w:t xml:space="preserve"> "A ministerial reshuffle has indefinitely delayed Phase 1 approval. The Australian firm's investment committee has called for an emergency review, </w:t>
      </w:r>
      <w:r>
        <w:rPr>
          <w:sz w:val="24"/>
          <w:szCs w:val="24"/>
        </w:rPr>
        <w:t>including the possible termination of the concession negotiations</w:t>
      </w:r>
      <w:r w:rsidRPr="0075437A">
        <w:rPr>
          <w:sz w:val="24"/>
          <w:szCs w:val="24"/>
        </w:rPr>
        <w:t xml:space="preserve">. You have five minutes to propose a governance mechanism protecting both parties' positions under this uncertainty." </w:t>
      </w:r>
    </w:p>
    <w:p w14:paraId="36F2DB4D" w14:textId="77777777" w:rsidR="00676D83" w:rsidRPr="0075437A" w:rsidRDefault="00676D83" w:rsidP="00676D83">
      <w:pPr>
        <w:spacing w:line="360" w:lineRule="auto"/>
        <w:jc w:val="both"/>
        <w:rPr>
          <w:sz w:val="24"/>
          <w:szCs w:val="24"/>
        </w:rPr>
      </w:pPr>
    </w:p>
    <w:p w14:paraId="7CECCBD9" w14:textId="77777777" w:rsidR="009542D6" w:rsidRDefault="009542D6"/>
    <w:sectPr w:rsidR="009542D6" w:rsidSect="00676D83">
      <w:headerReference w:type="default" r:id="rId4"/>
      <w:footerReference w:type="default" r:id="rId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112328"/>
      <w:docPartObj>
        <w:docPartGallery w:val="Page Numbers (Bottom of Page)"/>
        <w:docPartUnique/>
      </w:docPartObj>
    </w:sdtPr>
    <w:sdtEndPr>
      <w:rPr>
        <w:noProof/>
      </w:rPr>
    </w:sdtEndPr>
    <w:sdtContent>
      <w:p w14:paraId="5BB9F324" w14:textId="77777777" w:rsidR="00676D83" w:rsidRDefault="00676D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B19522" w14:textId="77777777" w:rsidR="00676D83" w:rsidRDefault="00676D83">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D97D" w14:textId="77777777" w:rsidR="00676D83" w:rsidRDefault="00676D83" w:rsidP="0014049D">
    <w:pPr>
      <w:spacing w:after="2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83"/>
    <w:rsid w:val="00264C10"/>
    <w:rsid w:val="00470242"/>
    <w:rsid w:val="00676D83"/>
    <w:rsid w:val="00726E03"/>
    <w:rsid w:val="008E63EF"/>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DBF3"/>
  <w15:chartTrackingRefBased/>
  <w15:docId w15:val="{C25DD892-1CD3-4F62-80B0-395289A7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D83"/>
    <w:pPr>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676D8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676D8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676D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676D8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676D8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676D8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676D8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676D8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676D83"/>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D83"/>
    <w:rPr>
      <w:rFonts w:eastAsiaTheme="majorEastAsia" w:cstheme="majorBidi"/>
      <w:color w:val="272727" w:themeColor="text1" w:themeTint="D8"/>
    </w:rPr>
  </w:style>
  <w:style w:type="paragraph" w:styleId="Title">
    <w:name w:val="Title"/>
    <w:basedOn w:val="Normal"/>
    <w:next w:val="Normal"/>
    <w:link w:val="TitleChar"/>
    <w:uiPriority w:val="10"/>
    <w:qFormat/>
    <w:rsid w:val="00676D83"/>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676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D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676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D83"/>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676D83"/>
    <w:rPr>
      <w:i/>
      <w:iCs/>
      <w:color w:val="404040" w:themeColor="text1" w:themeTint="BF"/>
    </w:rPr>
  </w:style>
  <w:style w:type="paragraph" w:styleId="ListParagraph">
    <w:name w:val="List Paragraph"/>
    <w:basedOn w:val="Normal"/>
    <w:uiPriority w:val="34"/>
    <w:qFormat/>
    <w:rsid w:val="00676D83"/>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676D83"/>
    <w:rPr>
      <w:i/>
      <w:iCs/>
      <w:color w:val="0F4761" w:themeColor="accent1" w:themeShade="BF"/>
    </w:rPr>
  </w:style>
  <w:style w:type="paragraph" w:styleId="IntenseQuote">
    <w:name w:val="Intense Quote"/>
    <w:basedOn w:val="Normal"/>
    <w:next w:val="Normal"/>
    <w:link w:val="IntenseQuoteChar"/>
    <w:uiPriority w:val="30"/>
    <w:qFormat/>
    <w:rsid w:val="00676D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676D83"/>
    <w:rPr>
      <w:i/>
      <w:iCs/>
      <w:color w:val="0F4761" w:themeColor="accent1" w:themeShade="BF"/>
    </w:rPr>
  </w:style>
  <w:style w:type="character" w:styleId="IntenseReference">
    <w:name w:val="Intense Reference"/>
    <w:basedOn w:val="DefaultParagraphFont"/>
    <w:uiPriority w:val="32"/>
    <w:qFormat/>
    <w:rsid w:val="00676D83"/>
    <w:rPr>
      <w:b/>
      <w:bCs/>
      <w:smallCaps/>
      <w:color w:val="0F4761" w:themeColor="accent1" w:themeShade="BF"/>
      <w:spacing w:val="5"/>
    </w:rPr>
  </w:style>
  <w:style w:type="paragraph" w:styleId="Footer">
    <w:name w:val="footer"/>
    <w:basedOn w:val="Normal"/>
    <w:link w:val="FooterChar"/>
    <w:uiPriority w:val="99"/>
    <w:unhideWhenUsed/>
    <w:rsid w:val="00676D83"/>
    <w:pPr>
      <w:tabs>
        <w:tab w:val="center" w:pos="4419"/>
        <w:tab w:val="right" w:pos="8838"/>
      </w:tabs>
    </w:pPr>
  </w:style>
  <w:style w:type="character" w:customStyle="1" w:styleId="FooterChar">
    <w:name w:val="Footer Char"/>
    <w:basedOn w:val="DefaultParagraphFont"/>
    <w:link w:val="Footer"/>
    <w:uiPriority w:val="99"/>
    <w:rsid w:val="00676D83"/>
    <w:rPr>
      <w:rFonts w:ascii="Times New Roman" w:eastAsia="Times New Roman" w:hAnsi="Times New Roman"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2026-09-13T05:25:00Z</dcterms:created>
  <dcterms:modified xsi:type="dcterms:W3CDTF">2026-09-13T05:26:00Z</dcterms:modified>
</cp:coreProperties>
</file>