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160" w:after="120" w:line="240" w:lineRule="auto"/>
        <w:jc w:val="center"/>
        <w:widowControl w:val="0"/>
      </w:pPr>
      <w:r>
        <w:rPr>
          <w:rFonts w:ascii="Arial" w:hAnsi="Arial" w:eastAsia="Arial"/>
          <w:b/>
          <w:i w:val="0"/>
          <w:sz w:val="30"/>
        </w:rPr>
        <w:t>Supplementary Material</w:t>
      </w:r>
    </w:p>
    <w:p>
      <w:pPr>
        <w:keepNext w:val="0"/>
        <w:spacing w:before="0" w:after="200" w:line="240" w:lineRule="auto"/>
        <w:jc w:val="center"/>
        <w:widowControl w:val="0"/>
      </w:pPr>
      <w:r>
        <w:rPr>
          <w:rFonts w:ascii="Arial" w:hAnsi="Arial" w:eastAsia="Arial"/>
          <w:b/>
          <w:i w:val="0"/>
          <w:sz w:val="24"/>
        </w:rPr>
        <w:t>Scoring criteria for video quality, reliability, transparency, understandability, and actionability</w:t>
      </w:r>
    </w:p>
    <w:p>
      <w:pPr>
        <w:keepNext w:val="0"/>
        <w:spacing w:before="0" w:after="120" w:line="252" w:lineRule="auto"/>
        <w:widowControl w:val="0"/>
      </w:pPr>
      <w:r>
        <w:rPr>
          <w:rFonts w:ascii="Arial" w:hAnsi="Arial" w:eastAsia="Arial"/>
          <w:b w:val="0"/>
          <w:i w:val="0"/>
          <w:sz w:val="18"/>
        </w:rPr>
        <w:t>The following tables present the operational scoring criteria used to evaluate spinal tuberculosis-related videos. The wording has been adapted for social-media audiovisual content while retaining the constructs and scoring principles of the source instruments cited in the main manuscript (references 19–23). Reviewers rated each video independently using only information observable in the video and its publicly displayed metadata.</w:t>
      </w:r>
    </w:p>
    <w:p>
      <w:pPr>
        <w:keepNext/>
        <w:spacing w:before="80" w:after="60" w:line="240" w:lineRule="auto"/>
        <w:widowControl w:val="0"/>
      </w:pPr>
      <w:r>
        <w:rPr>
          <w:rFonts w:ascii="Arial" w:hAnsi="Arial" w:eastAsia="Arial"/>
          <w:b/>
          <w:i w:val="0"/>
          <w:sz w:val="19"/>
        </w:rPr>
        <w:t>Supplementary Table S5. Global Quality Score (GQS) criteria</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437"/>
        <w:gridCol w:w="3437"/>
        <w:gridCol w:w="3437"/>
      </w:tblGrid>
      <w:tr>
        <w:trPr>
          <w:tblHeader w:val="true"/>
          <w:cantSplit/>
        </w:trPr>
        <w:tc>
          <w:tcPr>
            <w:tcW w:type="dxa" w:w="1020"/>
            <w:shd w:fill="D9EAF7"/>
            <w:tcMar>
              <w:top w:w="80" w:type="dxa"/>
              <w:start w:w="90" w:type="dxa"/>
              <w:bottom w:w="80" w:type="dxa"/>
              <w:end w:w="90" w:type="dxa"/>
            </w:tcMar>
            <w:vAlign w:val="center"/>
          </w:tcPr>
          <w:p>
            <w:pPr>
              <w:keepNext w:val="0"/>
              <w:spacing w:before="0" w:after="0" w:line="240" w:lineRule="auto"/>
              <w:jc w:val="center"/>
            </w:pPr>
            <w:r>
              <w:rPr>
                <w:rFonts w:ascii="Arial" w:hAnsi="Arial" w:eastAsia="Arial"/>
                <w:b/>
                <w:i w:val="0"/>
                <w:sz w:val="16"/>
              </w:rPr>
              <w:t>Score</w:t>
            </w:r>
          </w:p>
        </w:tc>
        <w:tc>
          <w:tcPr>
            <w:tcW w:type="dxa" w:w="1701"/>
            <w:shd w:fill="D9EAF7"/>
            <w:tcMar>
              <w:top w:w="80" w:type="dxa"/>
              <w:start w:w="90" w:type="dxa"/>
              <w:bottom w:w="80" w:type="dxa"/>
              <w:end w:w="90" w:type="dxa"/>
            </w:tcMar>
            <w:vAlign w:val="center"/>
          </w:tcPr>
          <w:p>
            <w:pPr>
              <w:keepNext w:val="0"/>
              <w:spacing w:before="0" w:after="0" w:line="240" w:lineRule="auto"/>
              <w:jc w:val="center"/>
            </w:pPr>
            <w:r>
              <w:rPr>
                <w:rFonts w:ascii="Arial" w:hAnsi="Arial" w:eastAsia="Arial"/>
                <w:b/>
                <w:i w:val="0"/>
                <w:sz w:val="16"/>
              </w:rPr>
              <w:t>Quality level</w:t>
            </w:r>
          </w:p>
        </w:tc>
        <w:tc>
          <w:tcPr>
            <w:tcW w:type="dxa" w:w="7087"/>
            <w:shd w:fill="D9EAF7"/>
            <w:tcMar>
              <w:top w:w="80" w:type="dxa"/>
              <w:start w:w="90" w:type="dxa"/>
              <w:bottom w:w="80" w:type="dxa"/>
              <w:end w:w="90" w:type="dxa"/>
            </w:tcMar>
            <w:vAlign w:val="center"/>
          </w:tcPr>
          <w:p>
            <w:pPr>
              <w:keepNext w:val="0"/>
              <w:spacing w:before="0" w:after="0" w:line="240" w:lineRule="auto"/>
              <w:jc w:val="center"/>
            </w:pPr>
            <w:r>
              <w:rPr>
                <w:rFonts w:ascii="Arial" w:hAnsi="Arial" w:eastAsia="Arial"/>
                <w:b/>
                <w:i w:val="0"/>
                <w:sz w:val="16"/>
              </w:rPr>
              <w:t>Operational standard</w:t>
            </w:r>
          </w:p>
        </w:tc>
      </w:tr>
      <w:tr>
        <w:trPr>
          <w:cantSplit/>
        </w:trPr>
        <w:tc>
          <w:tcPr>
            <w:tcW w:type="dxa" w:w="1020"/>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1</w:t>
            </w:r>
          </w:p>
        </w:tc>
        <w:tc>
          <w:tcPr>
            <w:tcW w:type="dxa" w:w="1701"/>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Poor</w:t>
            </w:r>
          </w:p>
        </w:tc>
        <w:tc>
          <w:tcPr>
            <w:tcW w:type="dxa" w:w="7087"/>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The presentation is difficult to follow; most relevant information is absent; the video has little or no educational value for patients.</w:t>
            </w:r>
          </w:p>
        </w:tc>
      </w:tr>
      <w:tr>
        <w:trPr>
          <w:cantSplit/>
        </w:trPr>
        <w:tc>
          <w:tcPr>
            <w:tcW w:type="dxa" w:w="1020"/>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2</w:t>
            </w:r>
          </w:p>
        </w:tc>
        <w:tc>
          <w:tcPr>
            <w:tcW w:type="dxa" w:w="1701"/>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Generally poor</w:t>
            </w:r>
          </w:p>
        </w:tc>
        <w:tc>
          <w:tcPr>
            <w:tcW w:type="dxa" w:w="7087"/>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Some information is provided, but the flow is weak and several important topics are missing; usefulness is very limited.</w:t>
            </w:r>
          </w:p>
        </w:tc>
      </w:tr>
      <w:tr>
        <w:trPr>
          <w:cantSplit/>
        </w:trPr>
        <w:tc>
          <w:tcPr>
            <w:tcW w:type="dxa" w:w="1020"/>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3</w:t>
            </w:r>
          </w:p>
        </w:tc>
        <w:tc>
          <w:tcPr>
            <w:tcW w:type="dxa" w:w="1701"/>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Moderate</w:t>
            </w:r>
          </w:p>
        </w:tc>
        <w:tc>
          <w:tcPr>
            <w:tcW w:type="dxa" w:w="7087"/>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The video is reasonably organized and discusses some relevant information adequately, but important content remains incomplete; it is somewhat useful.</w:t>
            </w:r>
          </w:p>
        </w:tc>
      </w:tr>
      <w:tr>
        <w:trPr>
          <w:cantSplit/>
        </w:trPr>
        <w:tc>
          <w:tcPr>
            <w:tcW w:type="dxa" w:w="1020"/>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4</w:t>
            </w:r>
          </w:p>
        </w:tc>
        <w:tc>
          <w:tcPr>
            <w:tcW w:type="dxa" w:w="1701"/>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Good</w:t>
            </w:r>
          </w:p>
        </w:tc>
        <w:tc>
          <w:tcPr>
            <w:tcW w:type="dxa" w:w="7087"/>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The information is well organized and most relevant topics are addressed, although minor omissions remain; the video is useful for patients.</w:t>
            </w:r>
          </w:p>
        </w:tc>
      </w:tr>
      <w:tr>
        <w:trPr>
          <w:cantSplit/>
        </w:trPr>
        <w:tc>
          <w:tcPr>
            <w:tcW w:type="dxa" w:w="1020"/>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5</w:t>
            </w:r>
          </w:p>
        </w:tc>
        <w:tc>
          <w:tcPr>
            <w:tcW w:type="dxa" w:w="1701"/>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Excellent</w:t>
            </w:r>
          </w:p>
        </w:tc>
        <w:tc>
          <w:tcPr>
            <w:tcW w:type="dxa" w:w="7087"/>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The video is clear, coherent, and comprehensive, with strong educational value and high usefulness for patients.</w:t>
            </w:r>
          </w:p>
        </w:tc>
      </w:tr>
    </w:tbl>
    <w:p>
      <w:pPr>
        <w:keepNext w:val="0"/>
        <w:spacing w:before="40" w:after="100" w:line="240" w:lineRule="auto"/>
        <w:widowControl w:val="0"/>
      </w:pPr>
      <w:r>
        <w:rPr>
          <w:rFonts w:ascii="Arial" w:hAnsi="Arial" w:eastAsia="Arial"/>
          <w:b w:val="0"/>
          <w:i/>
          <w:sz w:val="16"/>
        </w:rPr>
        <w:t xml:space="preserve">Note. </w:t>
      </w:r>
      <w:r>
        <w:rPr>
          <w:rFonts w:ascii="Arial" w:hAnsi="Arial" w:eastAsia="Arial"/>
          <w:b w:val="0"/>
          <w:i w:val="0"/>
          <w:sz w:val="16"/>
        </w:rPr>
        <w:t>The GQS is a global judgment rather than an item-sum scale. In this study, scores of 1–2 were classified as low quality, 3 as moderate quality, and 4–5 as high quality. Higher scores indicate better overall educational quality and flow. Source: reference 19.</w:t>
      </w:r>
    </w:p>
    <w:p>
      <w:pPr>
        <w:keepNext/>
        <w:spacing w:before="80" w:after="60" w:line="240" w:lineRule="auto"/>
        <w:widowControl w:val="0"/>
      </w:pPr>
      <w:r>
        <w:rPr>
          <w:rFonts w:ascii="Arial" w:hAnsi="Arial" w:eastAsia="Arial"/>
          <w:b/>
          <w:i w:val="0"/>
          <w:sz w:val="19"/>
        </w:rPr>
        <w:t>Supplementary Table S6. Modified DISCERN criteria</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2578"/>
        <w:gridCol w:w="2578"/>
        <w:gridCol w:w="2578"/>
        <w:gridCol w:w="2578"/>
      </w:tblGrid>
      <w:tr>
        <w:trPr>
          <w:tblHeader w:val="true"/>
          <w:cantSplit/>
        </w:trPr>
        <w:tc>
          <w:tcPr>
            <w:tcW w:type="dxa" w:w="737"/>
            <w:shd w:fill="D9EAF7"/>
            <w:tcMar>
              <w:top w:w="80" w:type="dxa"/>
              <w:start w:w="90" w:type="dxa"/>
              <w:bottom w:w="80" w:type="dxa"/>
              <w:end w:w="90" w:type="dxa"/>
            </w:tcMar>
            <w:vAlign w:val="center"/>
          </w:tcPr>
          <w:p>
            <w:pPr>
              <w:keepNext w:val="0"/>
              <w:spacing w:before="0" w:after="0" w:line="240" w:lineRule="auto"/>
              <w:jc w:val="center"/>
            </w:pPr>
            <w:r>
              <w:rPr>
                <w:rFonts w:ascii="Arial" w:hAnsi="Arial" w:eastAsia="Arial"/>
                <w:b/>
                <w:i w:val="0"/>
                <w:sz w:val="16"/>
              </w:rPr>
              <w:t>Item</w:t>
            </w:r>
          </w:p>
        </w:tc>
        <w:tc>
          <w:tcPr>
            <w:tcW w:type="dxa" w:w="1984"/>
            <w:shd w:fill="D9EAF7"/>
            <w:tcMar>
              <w:top w:w="80" w:type="dxa"/>
              <w:start w:w="90" w:type="dxa"/>
              <w:bottom w:w="80" w:type="dxa"/>
              <w:end w:w="90" w:type="dxa"/>
            </w:tcMar>
            <w:vAlign w:val="center"/>
          </w:tcPr>
          <w:p>
            <w:pPr>
              <w:keepNext w:val="0"/>
              <w:spacing w:before="0" w:after="0" w:line="240" w:lineRule="auto"/>
              <w:jc w:val="center"/>
            </w:pPr>
            <w:r>
              <w:rPr>
                <w:rFonts w:ascii="Arial" w:hAnsi="Arial" w:eastAsia="Arial"/>
                <w:b/>
                <w:i w:val="0"/>
                <w:sz w:val="16"/>
              </w:rPr>
              <w:t>Criterion</w:t>
            </w:r>
          </w:p>
        </w:tc>
        <w:tc>
          <w:tcPr>
            <w:tcW w:type="dxa" w:w="5783"/>
            <w:shd w:fill="D9EAF7"/>
            <w:tcMar>
              <w:top w:w="80" w:type="dxa"/>
              <w:start w:w="90" w:type="dxa"/>
              <w:bottom w:w="80" w:type="dxa"/>
              <w:end w:w="90" w:type="dxa"/>
            </w:tcMar>
            <w:vAlign w:val="center"/>
          </w:tcPr>
          <w:p>
            <w:pPr>
              <w:keepNext w:val="0"/>
              <w:spacing w:before="0" w:after="0" w:line="240" w:lineRule="auto"/>
              <w:jc w:val="center"/>
            </w:pPr>
            <w:r>
              <w:rPr>
                <w:rFonts w:ascii="Arial" w:hAnsi="Arial" w:eastAsia="Arial"/>
                <w:b/>
                <w:i w:val="0"/>
                <w:sz w:val="16"/>
              </w:rPr>
              <w:t>Operational definition</w:t>
            </w:r>
          </w:p>
        </w:tc>
        <w:tc>
          <w:tcPr>
            <w:tcW w:type="dxa" w:w="1417"/>
            <w:shd w:fill="D9EAF7"/>
            <w:tcMar>
              <w:top w:w="80" w:type="dxa"/>
              <w:start w:w="90" w:type="dxa"/>
              <w:bottom w:w="80" w:type="dxa"/>
              <w:end w:w="90" w:type="dxa"/>
            </w:tcMar>
            <w:vAlign w:val="center"/>
          </w:tcPr>
          <w:p>
            <w:pPr>
              <w:keepNext w:val="0"/>
              <w:spacing w:before="0" w:after="0" w:line="240" w:lineRule="auto"/>
              <w:jc w:val="center"/>
            </w:pPr>
            <w:r>
              <w:rPr>
                <w:rFonts w:ascii="Arial" w:hAnsi="Arial" w:eastAsia="Arial"/>
                <w:b/>
                <w:i w:val="0"/>
                <w:sz w:val="16"/>
              </w:rPr>
              <w:t>Scoring</w:t>
            </w:r>
          </w:p>
        </w:tc>
      </w:tr>
      <w:tr>
        <w:trPr>
          <w:cantSplit/>
        </w:trPr>
        <w:tc>
          <w:tcPr>
            <w:tcW w:type="dxa" w:w="737"/>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1</w:t>
            </w:r>
          </w:p>
        </w:tc>
        <w:tc>
          <w:tcPr>
            <w:tcW w:type="dxa" w:w="1984"/>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Clear aim</w:t>
            </w:r>
          </w:p>
        </w:tc>
        <w:tc>
          <w:tcPr>
            <w:tcW w:type="dxa" w:w="5783"/>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The purpose or main question of the video is explicit and understandable.</w:t>
            </w:r>
          </w:p>
        </w:tc>
        <w:tc>
          <w:tcPr>
            <w:tcW w:type="dxa" w:w="1417"/>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Yes = 1; No = 0</w:t>
            </w:r>
          </w:p>
        </w:tc>
      </w:tr>
      <w:tr>
        <w:trPr>
          <w:cantSplit/>
        </w:trPr>
        <w:tc>
          <w:tcPr>
            <w:tcW w:type="dxa" w:w="737"/>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2</w:t>
            </w:r>
          </w:p>
        </w:tc>
        <w:tc>
          <w:tcPr>
            <w:tcW w:type="dxa" w:w="1984"/>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Reliable information sources</w:t>
            </w:r>
          </w:p>
        </w:tc>
        <w:tc>
          <w:tcPr>
            <w:tcW w:type="dxa" w:w="5783"/>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The content is supported by identifiable credible sources, such as cited publications, clinical guidelines, or appropriately qualified medical speakers.</w:t>
            </w:r>
          </w:p>
        </w:tc>
        <w:tc>
          <w:tcPr>
            <w:tcW w:type="dxa" w:w="1417"/>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Yes = 1; No = 0</w:t>
            </w:r>
          </w:p>
        </w:tc>
      </w:tr>
      <w:tr>
        <w:trPr>
          <w:cantSplit/>
        </w:trPr>
        <w:tc>
          <w:tcPr>
            <w:tcW w:type="dxa" w:w="737"/>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3</w:t>
            </w:r>
          </w:p>
        </w:tc>
        <w:tc>
          <w:tcPr>
            <w:tcW w:type="dxa" w:w="1984"/>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Balanced and unbiased presentation</w:t>
            </w:r>
          </w:p>
        </w:tc>
        <w:tc>
          <w:tcPr>
            <w:tcW w:type="dxa" w:w="5783"/>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Benefits, limitations, alternatives, or risks are presented without obvious promotional or one-sided framing.</w:t>
            </w:r>
          </w:p>
        </w:tc>
        <w:tc>
          <w:tcPr>
            <w:tcW w:type="dxa" w:w="1417"/>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Yes = 1; No = 0</w:t>
            </w:r>
          </w:p>
        </w:tc>
      </w:tr>
      <w:tr>
        <w:trPr>
          <w:cantSplit/>
        </w:trPr>
        <w:tc>
          <w:tcPr>
            <w:tcW w:type="dxa" w:w="737"/>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4</w:t>
            </w:r>
          </w:p>
        </w:tc>
        <w:tc>
          <w:tcPr>
            <w:tcW w:type="dxa" w:w="1984"/>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Additional sources provided</w:t>
            </w:r>
          </w:p>
        </w:tc>
        <w:tc>
          <w:tcPr>
            <w:tcW w:type="dxa" w:w="5783"/>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The video or accompanying information directs viewers to additional credible resources for further information.</w:t>
            </w:r>
          </w:p>
        </w:tc>
        <w:tc>
          <w:tcPr>
            <w:tcW w:type="dxa" w:w="1417"/>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Yes = 1; No = 0</w:t>
            </w:r>
          </w:p>
        </w:tc>
      </w:tr>
      <w:tr>
        <w:trPr>
          <w:cantSplit/>
        </w:trPr>
        <w:tc>
          <w:tcPr>
            <w:tcW w:type="dxa" w:w="737"/>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5</w:t>
            </w:r>
          </w:p>
        </w:tc>
        <w:tc>
          <w:tcPr>
            <w:tcW w:type="dxa" w:w="1984"/>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Uncertainty or controversy acknowledged</w:t>
            </w:r>
          </w:p>
        </w:tc>
        <w:tc>
          <w:tcPr>
            <w:tcW w:type="dxa" w:w="5783"/>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Relevant areas of uncertainty, controversy, evidence limitation, or individual variation are mentioned.</w:t>
            </w:r>
          </w:p>
        </w:tc>
        <w:tc>
          <w:tcPr>
            <w:tcW w:type="dxa" w:w="1417"/>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Yes = 1; No = 0</w:t>
            </w:r>
          </w:p>
        </w:tc>
      </w:tr>
    </w:tbl>
    <w:p>
      <w:pPr>
        <w:keepNext w:val="0"/>
        <w:spacing w:before="40" w:after="100" w:line="240" w:lineRule="auto"/>
        <w:widowControl w:val="0"/>
      </w:pPr>
      <w:r>
        <w:rPr>
          <w:rFonts w:ascii="Arial" w:hAnsi="Arial" w:eastAsia="Arial"/>
          <w:b w:val="0"/>
          <w:i/>
          <w:sz w:val="16"/>
        </w:rPr>
        <w:t xml:space="preserve">Note. </w:t>
      </w:r>
      <w:r>
        <w:rPr>
          <w:rFonts w:ascii="Arial" w:hAnsi="Arial" w:eastAsia="Arial"/>
          <w:b w:val="0"/>
          <w:i w:val="0"/>
          <w:sz w:val="16"/>
        </w:rPr>
        <w:t>The total modified DISCERN score ranges from 0 to 5 and is obtained by summing the five binary items. Higher scores indicate greater reliability. Sources: references 20 and 21.</w:t>
      </w:r>
    </w:p>
    <w:p>
      <w:pPr>
        <w:keepNext/>
        <w:spacing w:before="80" w:after="60" w:line="240" w:lineRule="auto"/>
        <w:widowControl w:val="0"/>
      </w:pPr>
      <w:r>
        <w:rPr>
          <w:rFonts w:ascii="Arial" w:hAnsi="Arial" w:eastAsia="Arial"/>
          <w:b/>
          <w:i w:val="0"/>
          <w:sz w:val="19"/>
        </w:rPr>
        <w:t>Supplementary Table S7. Journal of the American Medical Association (JAMA) benchmark criteria</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437"/>
        <w:gridCol w:w="3437"/>
        <w:gridCol w:w="3437"/>
      </w:tblGrid>
      <w:tr>
        <w:trPr>
          <w:tblHeader w:val="true"/>
          <w:cantSplit/>
        </w:trPr>
        <w:tc>
          <w:tcPr>
            <w:tcW w:type="dxa" w:w="1701"/>
            <w:shd w:fill="D9EAF7"/>
            <w:tcMar>
              <w:top w:w="80" w:type="dxa"/>
              <w:start w:w="90" w:type="dxa"/>
              <w:bottom w:w="80" w:type="dxa"/>
              <w:end w:w="90" w:type="dxa"/>
            </w:tcMar>
            <w:vAlign w:val="center"/>
          </w:tcPr>
          <w:p>
            <w:pPr>
              <w:keepNext w:val="0"/>
              <w:spacing w:before="0" w:after="0" w:line="240" w:lineRule="auto"/>
              <w:jc w:val="center"/>
            </w:pPr>
            <w:r>
              <w:rPr>
                <w:rFonts w:ascii="Arial" w:hAnsi="Arial" w:eastAsia="Arial"/>
                <w:b/>
                <w:i w:val="0"/>
                <w:sz w:val="16"/>
              </w:rPr>
              <w:t>Domain</w:t>
            </w:r>
          </w:p>
        </w:tc>
        <w:tc>
          <w:tcPr>
            <w:tcW w:type="dxa" w:w="6576"/>
            <w:shd w:fill="D9EAF7"/>
            <w:tcMar>
              <w:top w:w="80" w:type="dxa"/>
              <w:start w:w="90" w:type="dxa"/>
              <w:bottom w:w="80" w:type="dxa"/>
              <w:end w:w="90" w:type="dxa"/>
            </w:tcMar>
            <w:vAlign w:val="center"/>
          </w:tcPr>
          <w:p>
            <w:pPr>
              <w:keepNext w:val="0"/>
              <w:spacing w:before="0" w:after="0" w:line="240" w:lineRule="auto"/>
              <w:jc w:val="center"/>
            </w:pPr>
            <w:r>
              <w:rPr>
                <w:rFonts w:ascii="Arial" w:hAnsi="Arial" w:eastAsia="Arial"/>
                <w:b/>
                <w:i w:val="0"/>
                <w:sz w:val="16"/>
              </w:rPr>
              <w:t>Operational criterion for social-media videos</w:t>
            </w:r>
          </w:p>
        </w:tc>
        <w:tc>
          <w:tcPr>
            <w:tcW w:type="dxa" w:w="1701"/>
            <w:shd w:fill="D9EAF7"/>
            <w:tcMar>
              <w:top w:w="80" w:type="dxa"/>
              <w:start w:w="90" w:type="dxa"/>
              <w:bottom w:w="80" w:type="dxa"/>
              <w:end w:w="90" w:type="dxa"/>
            </w:tcMar>
            <w:vAlign w:val="center"/>
          </w:tcPr>
          <w:p>
            <w:pPr>
              <w:keepNext w:val="0"/>
              <w:spacing w:before="0" w:after="0" w:line="240" w:lineRule="auto"/>
              <w:jc w:val="center"/>
            </w:pPr>
            <w:r>
              <w:rPr>
                <w:rFonts w:ascii="Arial" w:hAnsi="Arial" w:eastAsia="Arial"/>
                <w:b/>
                <w:i w:val="0"/>
                <w:sz w:val="16"/>
              </w:rPr>
              <w:t>Scoring</w:t>
            </w:r>
          </w:p>
        </w:tc>
      </w:tr>
      <w:tr>
        <w:trPr>
          <w:cantSplit/>
        </w:trPr>
        <w:tc>
          <w:tcPr>
            <w:tcW w:type="dxa" w:w="1701"/>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Authorship</w:t>
            </w:r>
          </w:p>
        </w:tc>
        <w:tc>
          <w:tcPr>
            <w:tcW w:type="dxa" w:w="6576"/>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The creator, speaker, or responsible organization is identifiable, and relevant qualifications or institutional affiliations are stated or verifiable from the account.</w:t>
            </w:r>
          </w:p>
        </w:tc>
        <w:tc>
          <w:tcPr>
            <w:tcW w:type="dxa" w:w="1701"/>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Meets criterion = 1; does not meet = 0</w:t>
            </w:r>
          </w:p>
        </w:tc>
      </w:tr>
      <w:tr>
        <w:trPr>
          <w:cantSplit/>
        </w:trPr>
        <w:tc>
          <w:tcPr>
            <w:tcW w:type="dxa" w:w="1701"/>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Attribution</w:t>
            </w:r>
          </w:p>
        </w:tc>
        <w:tc>
          <w:tcPr>
            <w:tcW w:type="dxa" w:w="6576"/>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References or source materials supporting the medical content are identified; relevant copyright attribution is provided when applicable.</w:t>
            </w:r>
          </w:p>
        </w:tc>
        <w:tc>
          <w:tcPr>
            <w:tcW w:type="dxa" w:w="1701"/>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Meets criterion = 1; does not meet = 0</w:t>
            </w:r>
          </w:p>
        </w:tc>
      </w:tr>
      <w:tr>
        <w:trPr>
          <w:cantSplit/>
        </w:trPr>
        <w:tc>
          <w:tcPr>
            <w:tcW w:type="dxa" w:w="1701"/>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Disclosure</w:t>
            </w:r>
          </w:p>
        </w:tc>
        <w:tc>
          <w:tcPr>
            <w:tcW w:type="dxa" w:w="6576"/>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Ownership, sponsorship, advertising, commercial support, or potential conflicts of interest are disclosed when applicable.</w:t>
            </w:r>
          </w:p>
        </w:tc>
        <w:tc>
          <w:tcPr>
            <w:tcW w:type="dxa" w:w="1701"/>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Meets criterion = 1; does not meet = 0</w:t>
            </w:r>
          </w:p>
        </w:tc>
      </w:tr>
      <w:tr>
        <w:trPr>
          <w:cantSplit/>
        </w:trPr>
        <w:tc>
          <w:tcPr>
            <w:tcW w:type="dxa" w:w="1701"/>
            <w:tcMar>
              <w:top w:w="80" w:type="dxa"/>
              <w:start w:w="90" w:type="dxa"/>
              <w:bottom w:w="80" w:type="dxa"/>
              <w:end w:w="90" w:type="dxa"/>
            </w:tcMar>
            <w:vAlign w:val="top"/>
          </w:tcPr>
          <w:p>
            <w:pPr>
              <w:keepNext w:val="0"/>
              <w:spacing w:before="0" w:after="0" w:line="240" w:lineRule="auto"/>
              <w:jc w:val="center"/>
            </w:pPr>
            <w:r>
              <w:rPr>
                <w:rFonts w:ascii="Arial" w:hAnsi="Arial" w:eastAsia="Arial"/>
                <w:b w:val="0"/>
                <w:i w:val="0"/>
                <w:sz w:val="16"/>
              </w:rPr>
              <w:t>Currency</w:t>
            </w:r>
          </w:p>
        </w:tc>
        <w:tc>
          <w:tcPr>
            <w:tcW w:type="dxa" w:w="6576"/>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The publication date is available, and an update date or indication of revision is provided when relevant.</w:t>
            </w:r>
          </w:p>
        </w:tc>
        <w:tc>
          <w:tcPr>
            <w:tcW w:type="dxa" w:w="1701"/>
            <w:tcMar>
              <w:top w:w="80" w:type="dxa"/>
              <w:start w:w="90" w:type="dxa"/>
              <w:bottom w:w="80" w:type="dxa"/>
              <w:end w:w="90" w:type="dxa"/>
            </w:tcMar>
            <w:vAlign w:val="top"/>
          </w:tcPr>
          <w:p>
            <w:pPr>
              <w:keepNext w:val="0"/>
              <w:spacing w:before="0" w:after="0" w:line="240" w:lineRule="auto"/>
            </w:pPr>
            <w:r>
              <w:rPr>
                <w:rFonts w:ascii="Arial" w:hAnsi="Arial" w:eastAsia="Arial"/>
                <w:b w:val="0"/>
                <w:i w:val="0"/>
                <w:sz w:val="16"/>
              </w:rPr>
              <w:t>Meets criterion = 1; does not meet = 0</w:t>
            </w:r>
          </w:p>
        </w:tc>
      </w:tr>
    </w:tbl>
    <w:p>
      <w:pPr>
        <w:keepNext w:val="0"/>
        <w:spacing w:before="40" w:after="100" w:line="240" w:lineRule="auto"/>
        <w:widowControl w:val="0"/>
      </w:pPr>
      <w:r>
        <w:rPr>
          <w:rFonts w:ascii="Arial" w:hAnsi="Arial" w:eastAsia="Arial"/>
          <w:b w:val="0"/>
          <w:i/>
          <w:sz w:val="16"/>
        </w:rPr>
        <w:t xml:space="preserve">Note. </w:t>
      </w:r>
      <w:r>
        <w:rPr>
          <w:rFonts w:ascii="Arial" w:hAnsi="Arial" w:eastAsia="Arial"/>
          <w:b w:val="0"/>
          <w:i w:val="0"/>
          <w:sz w:val="16"/>
        </w:rPr>
        <w:t>The JAMA score ranges from 0 to 4. Each satisfied benchmark contributes 1 point. Higher scores indicate greater transparency and accountability of the information source. Source: reference 22.</w:t>
      </w:r>
    </w:p>
    <w:p>
      <w:pPr>
        <w:keepNext/>
        <w:spacing w:before="80" w:after="60" w:line="240" w:lineRule="auto"/>
        <w:widowControl w:val="0"/>
      </w:pPr>
      <w:r>
        <w:rPr>
          <w:rFonts w:ascii="Arial" w:hAnsi="Arial" w:eastAsia="Arial"/>
          <w:b/>
          <w:i w:val="0"/>
          <w:sz w:val="19"/>
        </w:rPr>
        <w:t>Supplementary Table S8. Patient Education Materials Assessment Tool for audiovisual materials (PEMAT-A/V) criteria</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2578"/>
        <w:gridCol w:w="2578"/>
        <w:gridCol w:w="2578"/>
        <w:gridCol w:w="2578"/>
      </w:tblGrid>
      <w:tr>
        <w:trPr>
          <w:tblHeader w:val="true"/>
          <w:cantSplit/>
        </w:trPr>
        <w:tc>
          <w:tcPr>
            <w:tcW w:type="dxa" w:w="1928"/>
            <w:shd w:fill="D9EAF7"/>
            <w:tcMar>
              <w:top w:w="80" w:type="dxa"/>
              <w:start w:w="90" w:type="dxa"/>
              <w:bottom w:w="80" w:type="dxa"/>
              <w:end w:w="90" w:type="dxa"/>
            </w:tcMar>
            <w:vAlign w:val="center"/>
          </w:tcPr>
          <w:p>
            <w:pPr>
              <w:keepNext w:val="0"/>
              <w:spacing w:before="0" w:after="0" w:line="228" w:lineRule="auto"/>
              <w:jc w:val="center"/>
            </w:pPr>
            <w:r>
              <w:rPr>
                <w:rFonts w:ascii="Arial" w:hAnsi="Arial" w:eastAsia="Arial"/>
                <w:b/>
                <w:i w:val="0"/>
                <w:sz w:val="15"/>
              </w:rPr>
              <w:t>Topic</w:t>
            </w:r>
          </w:p>
        </w:tc>
        <w:tc>
          <w:tcPr>
            <w:tcW w:type="dxa" w:w="907"/>
            <w:shd w:fill="D9EAF7"/>
            <w:tcMar>
              <w:top w:w="80" w:type="dxa"/>
              <w:start w:w="90" w:type="dxa"/>
              <w:bottom w:w="80" w:type="dxa"/>
              <w:end w:w="90" w:type="dxa"/>
            </w:tcMar>
            <w:vAlign w:val="center"/>
          </w:tcPr>
          <w:p>
            <w:pPr>
              <w:keepNext w:val="0"/>
              <w:spacing w:before="0" w:after="0" w:line="228" w:lineRule="auto"/>
              <w:jc w:val="center"/>
            </w:pPr>
            <w:r>
              <w:rPr>
                <w:rFonts w:ascii="Arial" w:hAnsi="Arial" w:eastAsia="Arial"/>
                <w:b/>
                <w:i w:val="0"/>
                <w:sz w:val="15"/>
              </w:rPr>
              <w:t>Item no.</w:t>
            </w:r>
          </w:p>
        </w:tc>
        <w:tc>
          <w:tcPr>
            <w:tcW w:type="dxa" w:w="5216"/>
            <w:shd w:fill="D9EAF7"/>
            <w:tcMar>
              <w:top w:w="80" w:type="dxa"/>
              <w:start w:w="90" w:type="dxa"/>
              <w:bottom w:w="80" w:type="dxa"/>
              <w:end w:w="90" w:type="dxa"/>
            </w:tcMar>
            <w:vAlign w:val="center"/>
          </w:tcPr>
          <w:p>
            <w:pPr>
              <w:keepNext w:val="0"/>
              <w:spacing w:before="0" w:after="0" w:line="228" w:lineRule="auto"/>
              <w:jc w:val="center"/>
            </w:pPr>
            <w:r>
              <w:rPr>
                <w:rFonts w:ascii="Arial" w:hAnsi="Arial" w:eastAsia="Arial"/>
                <w:b/>
                <w:i w:val="0"/>
                <w:sz w:val="15"/>
              </w:rPr>
              <w:t>Operational criterion</w:t>
            </w:r>
          </w:p>
        </w:tc>
        <w:tc>
          <w:tcPr>
            <w:tcW w:type="dxa" w:w="2268"/>
            <w:shd w:fill="D9EAF7"/>
            <w:tcMar>
              <w:top w:w="80" w:type="dxa"/>
              <w:start w:w="90" w:type="dxa"/>
              <w:bottom w:w="80" w:type="dxa"/>
              <w:end w:w="90" w:type="dxa"/>
            </w:tcMar>
            <w:vAlign w:val="center"/>
          </w:tcPr>
          <w:p>
            <w:pPr>
              <w:keepNext w:val="0"/>
              <w:spacing w:before="0" w:after="0" w:line="228" w:lineRule="auto"/>
              <w:jc w:val="center"/>
            </w:pPr>
            <w:r>
              <w:rPr>
                <w:rFonts w:ascii="Arial" w:hAnsi="Arial" w:eastAsia="Arial"/>
                <w:b/>
                <w:i w:val="0"/>
                <w:sz w:val="15"/>
              </w:rPr>
              <w:t>Response options</w:t>
            </w:r>
          </w:p>
        </w:tc>
      </w:tr>
      <w:tr>
        <w:trPr>
          <w:cantSplit/>
        </w:trPr>
        <w:tc>
          <w:tcPr>
            <w:tcW w:type="dxa" w:w="1928"/>
            <w:tcMar>
              <w:top w:w="80" w:type="dxa"/>
              <w:start w:w="90" w:type="dxa"/>
              <w:bottom w:w="80" w:type="dxa"/>
              <w:end w:w="90" w:type="dxa"/>
            </w:tcMar>
            <w:vAlign w:val="top"/>
            <w:shd w:fill="EDEDED"/>
          </w:tcPr>
          <w:p>
            <w:pPr>
              <w:keepNext w:val="0"/>
              <w:spacing w:before="0" w:after="0" w:line="228" w:lineRule="auto"/>
              <w:jc w:val="center"/>
            </w:pPr>
            <w:r>
              <w:rPr>
                <w:rFonts w:ascii="Arial" w:hAnsi="Arial" w:eastAsia="Arial"/>
                <w:b/>
                <w:i w:val="0"/>
                <w:sz w:val="15"/>
              </w:rPr>
              <w:t>DOMAIN: UNDERSTANDABILITY</w:t>
            </w:r>
          </w:p>
        </w:tc>
        <w:tc>
          <w:tcPr>
            <w:tcW w:type="dxa" w:w="907"/>
            <w:tcMar>
              <w:top w:w="80" w:type="dxa"/>
              <w:start w:w="90" w:type="dxa"/>
              <w:bottom w:w="80" w:type="dxa"/>
              <w:end w:w="90" w:type="dxa"/>
            </w:tcMar>
            <w:vAlign w:val="top"/>
            <w:shd w:fill="EDEDED"/>
          </w:tcPr>
          <w:p>
            <w:pPr>
              <w:keepNext w:val="0"/>
              <w:spacing w:before="0" w:after="0" w:line="228" w:lineRule="auto"/>
            </w:pPr>
            <w:r>
              <w:rPr>
                <w:rFonts w:ascii="Arial" w:hAnsi="Arial" w:eastAsia="Arial"/>
                <w:b/>
                <w:i w:val="0"/>
                <w:sz w:val="15"/>
              </w:rPr>
            </w:r>
          </w:p>
        </w:tc>
        <w:tc>
          <w:tcPr>
            <w:tcW w:type="dxa" w:w="5216"/>
            <w:tcMar>
              <w:top w:w="80" w:type="dxa"/>
              <w:start w:w="90" w:type="dxa"/>
              <w:bottom w:w="80" w:type="dxa"/>
              <w:end w:w="90" w:type="dxa"/>
            </w:tcMar>
            <w:vAlign w:val="top"/>
            <w:shd w:fill="EDEDED"/>
          </w:tcPr>
          <w:p>
            <w:pPr>
              <w:keepNext w:val="0"/>
              <w:spacing w:before="0" w:after="0" w:line="228" w:lineRule="auto"/>
            </w:pPr>
            <w:r>
              <w:rPr>
                <w:rFonts w:ascii="Arial" w:hAnsi="Arial" w:eastAsia="Arial"/>
                <w:b/>
                <w:i w:val="0"/>
                <w:sz w:val="15"/>
              </w:rPr>
            </w:r>
          </w:p>
        </w:tc>
        <w:tc>
          <w:tcPr>
            <w:tcW w:type="dxa" w:w="2268"/>
            <w:tcMar>
              <w:top w:w="80" w:type="dxa"/>
              <w:start w:w="90" w:type="dxa"/>
              <w:bottom w:w="80" w:type="dxa"/>
              <w:end w:w="90" w:type="dxa"/>
            </w:tcMar>
            <w:vAlign w:val="top"/>
            <w:shd w:fill="EDEDED"/>
          </w:tcPr>
          <w:p>
            <w:pPr>
              <w:keepNext w:val="0"/>
              <w:spacing w:before="0" w:after="0" w:line="228" w:lineRule="auto"/>
            </w:pPr>
            <w:r>
              <w:rPr>
                <w:rFonts w:ascii="Arial" w:hAnsi="Arial" w:eastAsia="Arial"/>
                <w:b/>
                <w:i w:val="0"/>
                <w:sz w:val="15"/>
              </w:rPr>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Content</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1</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The purpose of the video is immediately clear.</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Word choice and style</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3</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Common, everyday language is used.</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Word choice and style</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4</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Medical terminology is used only when needed and is explained in plain language.</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Word choice and style</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5</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Statements are primarily written or spoken in the active voice.</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Organization</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8</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Information is divided into short, manageable sections.</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 very short material = N/A</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Organization</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9</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Sections use informative headings or equivalent signposting.</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 very short material = N/A</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Organization</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10</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Information is presented in a logical sequence.</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Organization</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11</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The video provides a concise summary of the main points.</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 very short material = N/A</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Layout and design</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12</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Visual cues are used to emphasize key information when applicable to the audiovisual format.</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 video-only format = N/A</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Layout and design</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13</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On-screen text is legible and easy to read.</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 no text or all text narrated = N/A</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Layout and design</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14</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Spoken words can be heard clearly and are delivered at an understandable pace.</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 no narration = N/A</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Visual aids</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18</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Illustrations and photographs are clear and uncluttered.</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 no visual aids = N/A</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Visual aids</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19</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Tables are simple and use short, clear row and column headings.</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 no tables = N/A</w:t>
            </w:r>
          </w:p>
        </w:tc>
      </w:tr>
      <w:tr>
        <w:trPr>
          <w:cantSplit/>
        </w:trPr>
        <w:tc>
          <w:tcPr>
            <w:tcW w:type="dxa" w:w="1928"/>
            <w:tcMar>
              <w:top w:w="80" w:type="dxa"/>
              <w:start w:w="90" w:type="dxa"/>
              <w:bottom w:w="80" w:type="dxa"/>
              <w:end w:w="90" w:type="dxa"/>
            </w:tcMar>
            <w:vAlign w:val="top"/>
            <w:shd w:fill="EDEDED"/>
          </w:tcPr>
          <w:p>
            <w:pPr>
              <w:keepNext w:val="0"/>
              <w:spacing w:before="0" w:after="0" w:line="228" w:lineRule="auto"/>
              <w:jc w:val="center"/>
            </w:pPr>
            <w:r>
              <w:rPr>
                <w:rFonts w:ascii="Arial" w:hAnsi="Arial" w:eastAsia="Arial"/>
                <w:b/>
                <w:i w:val="0"/>
                <w:sz w:val="15"/>
              </w:rPr>
              <w:t>DOMAIN: ACTIONABILITY</w:t>
            </w:r>
          </w:p>
        </w:tc>
        <w:tc>
          <w:tcPr>
            <w:tcW w:type="dxa" w:w="907"/>
            <w:tcMar>
              <w:top w:w="80" w:type="dxa"/>
              <w:start w:w="90" w:type="dxa"/>
              <w:bottom w:w="80" w:type="dxa"/>
              <w:end w:w="90" w:type="dxa"/>
            </w:tcMar>
            <w:vAlign w:val="top"/>
            <w:shd w:fill="EDEDED"/>
          </w:tcPr>
          <w:p>
            <w:pPr>
              <w:keepNext w:val="0"/>
              <w:spacing w:before="0" w:after="0" w:line="228" w:lineRule="auto"/>
            </w:pPr>
            <w:r>
              <w:rPr>
                <w:rFonts w:ascii="Arial" w:hAnsi="Arial" w:eastAsia="Arial"/>
                <w:b/>
                <w:i w:val="0"/>
                <w:sz w:val="15"/>
              </w:rPr>
            </w:r>
          </w:p>
        </w:tc>
        <w:tc>
          <w:tcPr>
            <w:tcW w:type="dxa" w:w="5216"/>
            <w:tcMar>
              <w:top w:w="80" w:type="dxa"/>
              <w:start w:w="90" w:type="dxa"/>
              <w:bottom w:w="80" w:type="dxa"/>
              <w:end w:w="90" w:type="dxa"/>
            </w:tcMar>
            <w:vAlign w:val="top"/>
            <w:shd w:fill="EDEDED"/>
          </w:tcPr>
          <w:p>
            <w:pPr>
              <w:keepNext w:val="0"/>
              <w:spacing w:before="0" w:after="0" w:line="228" w:lineRule="auto"/>
            </w:pPr>
            <w:r>
              <w:rPr>
                <w:rFonts w:ascii="Arial" w:hAnsi="Arial" w:eastAsia="Arial"/>
                <w:b/>
                <w:i w:val="0"/>
                <w:sz w:val="15"/>
              </w:rPr>
            </w:r>
          </w:p>
        </w:tc>
        <w:tc>
          <w:tcPr>
            <w:tcW w:type="dxa" w:w="2268"/>
            <w:tcMar>
              <w:top w:w="80" w:type="dxa"/>
              <w:start w:w="90" w:type="dxa"/>
              <w:bottom w:w="80" w:type="dxa"/>
              <w:end w:w="90" w:type="dxa"/>
            </w:tcMar>
            <w:vAlign w:val="top"/>
            <w:shd w:fill="EDEDED"/>
          </w:tcPr>
          <w:p>
            <w:pPr>
              <w:keepNext w:val="0"/>
              <w:spacing w:before="0" w:after="0" w:line="228" w:lineRule="auto"/>
            </w:pPr>
            <w:r>
              <w:rPr>
                <w:rFonts w:ascii="Arial" w:hAnsi="Arial" w:eastAsia="Arial"/>
                <w:b/>
                <w:i w:val="0"/>
                <w:sz w:val="15"/>
              </w:rPr>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Actionability</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20</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At least one specific action that the viewer can take is clearly identified.</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Actionability</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21</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The viewer is addressed directly when recommended actions are described.</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Actionability</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22</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Recommended actions are divided into explicit, manageable steps.</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w:t>
            </w:r>
          </w:p>
        </w:tc>
      </w:tr>
      <w:tr>
        <w:trPr>
          <w:cantSplit/>
        </w:trPr>
        <w:tc>
          <w:tcPr>
            <w:tcW w:type="dxa" w:w="1928"/>
            <w:tcMar>
              <w:top w:w="80" w:type="dxa"/>
              <w:start w:w="90" w:type="dxa"/>
              <w:bottom w:w="80" w:type="dxa"/>
              <w:end w:w="90" w:type="dxa"/>
            </w:tcMar>
            <w:vAlign w:val="top"/>
          </w:tcPr>
          <w:p>
            <w:pPr>
              <w:keepNext w:val="0"/>
              <w:spacing w:before="0" w:after="0" w:line="228" w:lineRule="auto"/>
              <w:jc w:val="center"/>
            </w:pPr>
            <w:r>
              <w:rPr>
                <w:rFonts w:ascii="Arial" w:hAnsi="Arial" w:eastAsia="Arial"/>
                <w:b w:val="0"/>
                <w:i w:val="0"/>
                <w:sz w:val="15"/>
              </w:rPr>
              <w:t>Actionability</w:t>
            </w:r>
          </w:p>
        </w:tc>
        <w:tc>
          <w:tcPr>
            <w:tcW w:type="dxa" w:w="907"/>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25</w:t>
            </w:r>
          </w:p>
        </w:tc>
        <w:tc>
          <w:tcPr>
            <w:tcW w:type="dxa" w:w="5216"/>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The video explains how charts, graphs, tables, or diagrams should be used to support an action.</w:t>
            </w:r>
          </w:p>
        </w:tc>
        <w:tc>
          <w:tcPr>
            <w:tcW w:type="dxa" w:w="2268"/>
            <w:tcMar>
              <w:top w:w="80" w:type="dxa"/>
              <w:start w:w="90" w:type="dxa"/>
              <w:bottom w:w="80" w:type="dxa"/>
              <w:end w:w="90" w:type="dxa"/>
            </w:tcMar>
            <w:vAlign w:val="top"/>
          </w:tcPr>
          <w:p>
            <w:pPr>
              <w:keepNext w:val="0"/>
              <w:spacing w:before="0" w:after="0" w:line="228" w:lineRule="auto"/>
            </w:pPr>
            <w:r>
              <w:rPr>
                <w:rFonts w:ascii="Arial" w:hAnsi="Arial" w:eastAsia="Arial"/>
                <w:b w:val="0"/>
                <w:i w:val="0"/>
                <w:sz w:val="15"/>
              </w:rPr>
              <w:t>Disagree = 0; Agree = 1; no such visual displays = N/A</w:t>
            </w:r>
          </w:p>
        </w:tc>
      </w:tr>
    </w:tbl>
    <w:p>
      <w:pPr>
        <w:keepNext w:val="0"/>
        <w:spacing w:before="40" w:after="100" w:line="240" w:lineRule="auto"/>
        <w:widowControl w:val="0"/>
      </w:pPr>
      <w:r>
        <w:rPr>
          <w:rFonts w:ascii="Arial" w:hAnsi="Arial" w:eastAsia="Arial"/>
          <w:b w:val="0"/>
          <w:i/>
          <w:sz w:val="16"/>
        </w:rPr>
        <w:t xml:space="preserve">Note. </w:t>
      </w:r>
      <w:r>
        <w:rPr>
          <w:rFonts w:ascii="Arial" w:hAnsi="Arial" w:eastAsia="Arial"/>
          <w:b w:val="0"/>
          <w:i w:val="0"/>
          <w:sz w:val="16"/>
        </w:rPr>
        <w:t>A very short audiovisual material is defined by AHRQ as a video or multimedia presentation lasting less than 1 minute, or a multimedia presentation containing six or fewer slides/screens. N/A items are excluded from the denominator. Source: reference 23 and the AHRQ PEMAT User’s Guide.</w:t>
      </w:r>
    </w:p>
    <w:p>
      <w:pPr>
        <w:pStyle w:val="Heading2"/>
        <w:keepNext/>
        <w:widowControl w:val="0"/>
      </w:pPr>
      <w:r>
        <w:rPr>
          <w:rFonts w:ascii="Arial" w:hAnsi="Arial" w:eastAsia="Arial"/>
          <w:b/>
          <w:i w:val="0"/>
          <w:sz w:val="21"/>
        </w:rPr>
        <w:t>PEMAT-A/V scoring</w:t>
      </w:r>
    </w:p>
    <w:p>
      <w:pPr>
        <w:pStyle w:val="ListBullet"/>
        <w:keepNext w:val="0"/>
        <w:spacing w:before="0" w:after="20" w:line="240" w:lineRule="auto"/>
        <w:widowControl w:val="0"/>
      </w:pPr>
      <w:r>
        <w:rPr>
          <w:rFonts w:ascii="Arial" w:hAnsi="Arial" w:eastAsia="Arial"/>
          <w:b w:val="0"/>
          <w:i w:val="0"/>
          <w:sz w:val="17"/>
        </w:rPr>
        <w:t>PEMAT understandability score (PEMAT-U) = (sum of understandability points / number of applicable understandability items) × 100.</w:t>
      </w:r>
    </w:p>
    <w:p>
      <w:pPr>
        <w:pStyle w:val="ListBullet"/>
        <w:keepNext w:val="0"/>
        <w:spacing w:before="0" w:after="20" w:line="240" w:lineRule="auto"/>
        <w:widowControl w:val="0"/>
      </w:pPr>
      <w:r>
        <w:rPr>
          <w:rFonts w:ascii="Arial" w:hAnsi="Arial" w:eastAsia="Arial"/>
          <w:b w:val="0"/>
          <w:i w:val="0"/>
          <w:sz w:val="17"/>
        </w:rPr>
        <w:t>PEMAT actionability score (PEMAT-A) = (sum of actionability points / number of applicable actionability items) × 100.</w:t>
      </w:r>
    </w:p>
    <w:p>
      <w:pPr>
        <w:pStyle w:val="ListBullet"/>
        <w:keepNext w:val="0"/>
        <w:spacing w:before="0" w:after="20" w:line="240" w:lineRule="auto"/>
        <w:widowControl w:val="0"/>
      </w:pPr>
      <w:r>
        <w:rPr>
          <w:rFonts w:ascii="Arial" w:hAnsi="Arial" w:eastAsia="Arial"/>
          <w:b w:val="0"/>
          <w:i w:val="0"/>
          <w:sz w:val="17"/>
        </w:rPr>
        <w:t>Higher percentages indicate greater understandability or actionability. For the prespecified analyses in this study, scores of 70% or higher were categorized as adequate; this threshold was an analytical classification and does not replace item-level interpretation.</w:t>
      </w:r>
    </w:p>
    <w:p>
      <w:pPr>
        <w:pStyle w:val="Heading1"/>
        <w:keepNext/>
        <w:widowControl w:val="0"/>
      </w:pPr>
      <w:r>
        <w:rPr>
          <w:rFonts w:ascii="Arial" w:hAnsi="Arial" w:eastAsia="Arial"/>
          <w:b/>
          <w:i w:val="0"/>
          <w:sz w:val="24"/>
        </w:rPr>
        <w:t>Source references</w:t>
      </w:r>
    </w:p>
    <w:p>
      <w:pPr>
        <w:keepNext w:val="0"/>
        <w:spacing w:before="0" w:after="40" w:line="240" w:lineRule="auto"/>
        <w:ind w:left="227" w:hanging="227"/>
        <w:widowControl w:val="0"/>
      </w:pPr>
      <w:r>
        <w:rPr>
          <w:rFonts w:ascii="Arial" w:hAnsi="Arial" w:eastAsia="Arial"/>
          <w:b w:val="0"/>
          <w:i w:val="0"/>
          <w:sz w:val="16"/>
        </w:rPr>
        <w:t>19. Bernard A, Langille M, Hughes S, Rose C, Leddin D, Veldhuyzen van Zanten S. A systematic review of patient inflammatory bowel disease information resources on the World Wide Web. Am J Gastroenterol. (2007) 102:2070–2077. doi: 10.1111/j.1572-0241.2007.01325.x</w:t>
      </w:r>
    </w:p>
    <w:p>
      <w:pPr>
        <w:keepNext w:val="0"/>
        <w:spacing w:before="0" w:after="40" w:line="240" w:lineRule="auto"/>
        <w:ind w:left="227" w:hanging="227"/>
        <w:widowControl w:val="0"/>
      </w:pPr>
      <w:r>
        <w:rPr>
          <w:rFonts w:ascii="Arial" w:hAnsi="Arial" w:eastAsia="Arial"/>
          <w:b w:val="0"/>
          <w:i w:val="0"/>
          <w:sz w:val="16"/>
        </w:rPr>
        <w:t>20. Charnock D, Shepperd S, Needham G, Gann R. DISCERN: an instrument for judging the quality of written consumer health information on treatment choices. J Epidemiol Community Health. (1999) 53:105–111. doi: 10.1136/jech.53.2.105</w:t>
      </w:r>
    </w:p>
    <w:p>
      <w:pPr>
        <w:keepNext w:val="0"/>
        <w:spacing w:before="0" w:after="40" w:line="240" w:lineRule="auto"/>
        <w:ind w:left="227" w:hanging="227"/>
        <w:widowControl w:val="0"/>
      </w:pPr>
      <w:r>
        <w:rPr>
          <w:rFonts w:ascii="Arial" w:hAnsi="Arial" w:eastAsia="Arial"/>
          <w:b w:val="0"/>
          <w:i w:val="0"/>
          <w:sz w:val="16"/>
        </w:rPr>
        <w:t>21. Singh AG, Singh S, Singh PP. YouTube for information on rheumatoid arthritis: a wakeup call? J Rheumatol. (2012) 39:899–903. doi: 10.3899/jrheum.111114</w:t>
      </w:r>
    </w:p>
    <w:p>
      <w:pPr>
        <w:keepNext w:val="0"/>
        <w:spacing w:before="0" w:after="40" w:line="240" w:lineRule="auto"/>
        <w:ind w:left="227" w:hanging="227"/>
        <w:widowControl w:val="0"/>
      </w:pPr>
      <w:r>
        <w:rPr>
          <w:rFonts w:ascii="Arial" w:hAnsi="Arial" w:eastAsia="Arial"/>
          <w:b w:val="0"/>
          <w:i w:val="0"/>
          <w:sz w:val="16"/>
        </w:rPr>
        <w:t>22. Silberg WM, Lundberg GD, Musacchio RA. Assessing, controlling, and assuring the quality of medical information on the Internet: caveant lector et viewor—let the reader and viewer beware. JAMA. (1997) 277:1244–1245. doi: 10.1001/jama.1997.03540390074039</w:t>
      </w:r>
    </w:p>
    <w:p>
      <w:pPr>
        <w:keepNext w:val="0"/>
        <w:spacing w:before="0" w:after="40" w:line="240" w:lineRule="auto"/>
        <w:ind w:left="227" w:hanging="227"/>
        <w:widowControl w:val="0"/>
      </w:pPr>
      <w:r>
        <w:rPr>
          <w:rFonts w:ascii="Arial" w:hAnsi="Arial" w:eastAsia="Arial"/>
          <w:b w:val="0"/>
          <w:i w:val="0"/>
          <w:sz w:val="16"/>
        </w:rPr>
        <w:t>23. Shoemaker SJ, Wolf MS, Brach C. Development of the Patient Education Materials Assessment Tool: a new measure of understandability and actionability for print and audiovisual patient information. Patient Educ Couns. (2014) 96:395–403. doi: 10.1016/j.pec.2014.05.027</w:t>
      </w:r>
    </w:p>
    <w:sectPr w:rsidR="00FC693F" w:rsidRPr="0006063C" w:rsidSect="00034616">
      <w:footerReference w:type="default" r:id="rId9"/>
      <w:pgSz w:w="12240" w:h="15840"/>
      <w:pgMar w:top="907"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b w:val="0"/>
        <w:i w:val="0"/>
        <w:sz w:val="16"/>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40" w:lineRule="auto" w:after="60"/>
    </w:pPr>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scoring criteria for GQS, modified DISCERN, JAMA, and PEMAT-A/V</dc:title>
  <dc:subject>Spinal tuberculosis-related social media video analysis</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