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Supplementary Material</w:t>
      </w:r>
    </w:p>
    <w:p>
      <w:pPr>
        <w:jc w:val="center"/>
      </w:pPr>
      <w:r>
        <w:rPr>
          <w:rFonts w:ascii="Times New Roman" w:hAnsi="Times New Roman"/>
          <w:b/>
          <w:sz w:val="24"/>
        </w:rPr>
        <w:t>Inter-rater reliability analyses</w:t>
      </w:r>
    </w:p>
    <w:p>
      <w:pPr>
        <w:spacing w:before="0" w:after="120"/>
      </w:pPr>
      <w:r>
        <w:rPr>
          <w:rFonts w:ascii="Times New Roman" w:hAnsi="Times New Roman"/>
          <w:i/>
          <w:sz w:val="18"/>
        </w:rPr>
        <w:t>All analyses were performed using the two reviewers’ independent ratings recorded before consensus adjudication.</w:t>
      </w:r>
    </w:p>
    <w:p>
      <w:pPr>
        <w:jc w:val="center"/>
      </w:pPr>
      <w:r>
        <w:rPr>
          <w:rFonts w:ascii="Times New Roman" w:hAnsi="Times New Roman"/>
          <w:b/>
          <w:sz w:val="20"/>
        </w:rPr>
        <w:t>Supplementary Table S9. Inter-rater reliability of video quality assessment scores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96"/>
        <w:gridCol w:w="3096"/>
        <w:gridCol w:w="3096"/>
        <w:gridCol w:w="3096"/>
        <w:gridCol w:w="3096"/>
      </w:tblGrid>
      <w:tr>
        <w:trPr>
          <w:tblHeader w:val="true"/>
          <w:tblHeader w:val="true"/>
          <w:cantSplit/>
        </w:trPr>
        <w:tc>
          <w:tcPr>
            <w:tcW w:type="dxa" w:w="2381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Assessment score</w:t>
            </w:r>
          </w:p>
        </w:tc>
        <w:tc>
          <w:tcPr>
            <w:tcW w:type="dxa" w:w="351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Quadratic-weighted Cohen’s κ (95% CI)</w:t>
            </w:r>
          </w:p>
        </w:tc>
        <w:tc>
          <w:tcPr>
            <w:tcW w:type="dxa" w:w="3288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ICC(2,1) (95% CI)</w:t>
            </w:r>
          </w:p>
        </w:tc>
        <w:tc>
          <w:tcPr>
            <w:tcW w:type="dxa" w:w="2948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Exact agreement, n/N (%)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Prespecified tolerance agreement, n/N (%)</w:t>
            </w:r>
          </w:p>
        </w:tc>
      </w:tr>
      <w:tr>
        <w:trPr>
          <w:cantSplit/>
        </w:trPr>
        <w:tc>
          <w:tcPr>
            <w:tcW w:type="dxa" w:w="2381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GQS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0.905 (0.869–0.936)</w:t>
            </w:r>
          </w:p>
        </w:tc>
        <w:tc>
          <w:tcPr>
            <w:tcW w:type="dxa" w:w="328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0.906 (0.868–0.936)</w:t>
            </w:r>
          </w:p>
        </w:tc>
        <w:tc>
          <w:tcPr>
            <w:tcW w:type="dxa" w:w="294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184/214 (86.0%)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Not applicable</w:t>
            </w:r>
          </w:p>
        </w:tc>
      </w:tr>
      <w:tr>
        <w:trPr>
          <w:cantSplit/>
        </w:trPr>
        <w:tc>
          <w:tcPr>
            <w:tcW w:type="dxa" w:w="2381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mDISCERN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0.900 (0.853–0.935)</w:t>
            </w:r>
          </w:p>
        </w:tc>
        <w:tc>
          <w:tcPr>
            <w:tcW w:type="dxa" w:w="328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0.900 (0.853–0.935)</w:t>
            </w:r>
          </w:p>
        </w:tc>
        <w:tc>
          <w:tcPr>
            <w:tcW w:type="dxa" w:w="294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186/214 (86.9%)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Not applicable</w:t>
            </w:r>
          </w:p>
        </w:tc>
      </w:tr>
      <w:tr>
        <w:trPr>
          <w:cantSplit/>
        </w:trPr>
        <w:tc>
          <w:tcPr>
            <w:tcW w:type="dxa" w:w="2381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JAMA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0.793 (0.685–0.879)</w:t>
            </w:r>
          </w:p>
        </w:tc>
        <w:tc>
          <w:tcPr>
            <w:tcW w:type="dxa" w:w="328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0.794 (0.686–0.878)</w:t>
            </w:r>
          </w:p>
        </w:tc>
        <w:tc>
          <w:tcPr>
            <w:tcW w:type="dxa" w:w="294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196/214 (91.6%)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Not applicable</w:t>
            </w:r>
          </w:p>
        </w:tc>
      </w:tr>
      <w:tr>
        <w:trPr>
          <w:cantSplit/>
        </w:trPr>
        <w:tc>
          <w:tcPr>
            <w:tcW w:type="dxa" w:w="2381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PEMAT-U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Not applicable</w:t>
            </w:r>
          </w:p>
        </w:tc>
        <w:tc>
          <w:tcPr>
            <w:tcW w:type="dxa" w:w="328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0.979 (0.958–0.993)</w:t>
            </w:r>
          </w:p>
        </w:tc>
        <w:tc>
          <w:tcPr>
            <w:tcW w:type="dxa" w:w="294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184/214 (86.0%)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205/214 (95.8%; ±5 percentage points)</w:t>
            </w:r>
          </w:p>
        </w:tc>
      </w:tr>
      <w:tr>
        <w:trPr>
          <w:cantSplit/>
        </w:trPr>
        <w:tc>
          <w:tcPr>
            <w:tcW w:type="dxa" w:w="2381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PEMAT-A</w:t>
            </w:r>
          </w:p>
        </w:tc>
        <w:tc>
          <w:tcPr>
            <w:tcW w:type="dxa" w:w="351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Not applicable</w:t>
            </w:r>
          </w:p>
        </w:tc>
        <w:tc>
          <w:tcPr>
            <w:tcW w:type="dxa" w:w="328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0.947 (0.922–0.968)</w:t>
            </w:r>
          </w:p>
        </w:tc>
        <w:tc>
          <w:tcPr>
            <w:tcW w:type="dxa" w:w="294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190/214 (88.8%)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214/214 (100.0%; ±25 percentage points)</w:t>
            </w:r>
          </w:p>
        </w:tc>
      </w:tr>
    </w:tbl>
    <w:p>
      <w:r>
        <w:rPr>
          <w:i/>
        </w:rPr>
        <w:t xml:space="preserve">Note. </w:t>
      </w:r>
      <w:r>
        <w:t>Quadratic weighting was used for the ordinal GQS, modified DISCERN, and JAMA total scores. ICC(2,1) denotes a two-way random-effects, absolute-agreement, single-measure intraclass correlation coefficient. Exact agreement required identical scores. For PEMAT-U and PEMAT-A, tolerance agreement was defined as a difference of no more than 5 and 25 percentage points, respectively. Ninety-five percent confidence intervals for kappa and ICC were obtained from 10,000 bootstrap resamples.</w:t>
      </w:r>
    </w:p>
    <w:p>
      <w:r>
        <w:br w:type="page"/>
      </w:r>
    </w:p>
    <w:p>
      <w:pPr>
        <w:jc w:val="center"/>
      </w:pPr>
      <w:r>
        <w:rPr>
          <w:rFonts w:ascii="Times New Roman" w:hAnsi="Times New Roman"/>
          <w:b/>
          <w:sz w:val="20"/>
        </w:rPr>
        <w:t>Supplementary Table S10. Inter-rater reliability of uploader, presentation-format, and medical-content coding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96"/>
        <w:gridCol w:w="3096"/>
        <w:gridCol w:w="3096"/>
        <w:gridCol w:w="3096"/>
        <w:gridCol w:w="3096"/>
      </w:tblGrid>
      <w:tr>
        <w:trPr>
          <w:tblHeader w:val="true"/>
          <w:tblHeader w:val="true"/>
          <w:cantSplit/>
        </w:trPr>
        <w:tc>
          <w:tcPr>
            <w:tcW w:type="dxa" w:w="3402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Coding variable</w:t>
            </w:r>
          </w:p>
        </w:tc>
        <w:tc>
          <w:tcPr>
            <w:tcW w:type="dxa" w:w="2268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Scale type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Cohen’s κ (95% CI)</w:t>
            </w:r>
          </w:p>
        </w:tc>
        <w:tc>
          <w:tcPr>
            <w:tcW w:type="dxa" w:w="3685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Exact agreement, n/N (%)</w:t>
            </w:r>
          </w:p>
        </w:tc>
        <w:tc>
          <w:tcPr>
            <w:tcW w:type="dxa" w:w="2268"/>
            <w:vAlign w:val="center"/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Disagreements, n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Uploader type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Nominal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0.866 (0.778–0.940)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204/214 (95.3%)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10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Presentation format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Nominal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0.899 (0.825–0.961)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206/214 (96.3%)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8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Etiology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Binary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0.873 (0.798–0.937)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202/214 (94.4%)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Symptoms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Binary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0.871 (0.780–0.944)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205/214 (95.8%)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9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Prevention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Binary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0.880 (0.805–0.944)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203/214 (94.9%)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11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Treatment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Binary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0.869 (0.789–0.938)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203/214 (94.9%)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11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Prognosis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Binary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0.884 (0.818–0.942)</w:t>
            </w:r>
          </w:p>
        </w:tc>
        <w:tc>
          <w:tcPr>
            <w:tcW w:type="dxa" w:w="3685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202/214 (94.4%)</w:t>
            </w:r>
          </w:p>
        </w:tc>
        <w:tc>
          <w:tcPr>
            <w:tcW w:type="dxa" w:w="2268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12</w:t>
            </w:r>
          </w:p>
        </w:tc>
      </w:tr>
    </w:tbl>
    <w:p>
      <w:r>
        <w:rPr>
          <w:i/>
        </w:rPr>
        <w:t xml:space="preserve">Note. </w:t>
      </w:r>
      <w:r>
        <w:t>Unweighted Cohen’s kappa was used for nominal and binary coding variables. Exact agreement required identical codes. Ninety-five percent confidence intervals for kappa were obtained from 10,000 bootstrap resamples.</w:t>
      </w:r>
    </w:p>
    <w:sectPr w:rsidR="00FC693F" w:rsidRPr="0006063C" w:rsidSect="00034616"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imes New Roman" w:hAnsi="Times New Roman" w:eastAsia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Inter-rater reliability analyses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