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5ABA" w14:textId="77777777" w:rsidR="00B101A8" w:rsidRDefault="00B101A8" w:rsidP="00B101A8">
      <w:pPr>
        <w:spacing w:after="120" w:line="360" w:lineRule="auto"/>
      </w:pPr>
      <w:r>
        <w:rPr>
          <w:b/>
          <w:bCs/>
          <w:sz w:val="22"/>
          <w:szCs w:val="22"/>
        </w:rPr>
        <w:t>Supplementary Table S1  Fine-Gray subdistribution hazard models for death from the index cancer and death from other causes</w:t>
      </w:r>
    </w:p>
    <w:tbl>
      <w:tblPr>
        <w:tblW w:w="8800" w:type="dxa"/>
        <w:tblBorders>
          <w:top w:val="single" w:sz="4" w:space="0" w:color="auto"/>
          <w:bottom w:val="single" w:sz="4" w:space="0" w:color="auto"/>
          <w:insideH w:val="single" w:sz="1" w:space="0" w:color="C6CDD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700"/>
        <w:gridCol w:w="2700"/>
      </w:tblGrid>
      <w:tr w:rsidR="00B101A8" w14:paraId="5C4AE32D" w14:textId="77777777" w:rsidTr="00EC22A8">
        <w:trPr>
          <w:tblHeader/>
        </w:trPr>
        <w:tc>
          <w:tcPr>
            <w:tcW w:w="3400" w:type="dxa"/>
            <w:shd w:val="clear" w:color="auto" w:fill="E8ED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3E61F8" w14:textId="77777777" w:rsidR="00B101A8" w:rsidRDefault="00B101A8" w:rsidP="00EC22A8">
            <w:r>
              <w:rPr>
                <w:b/>
                <w:bCs/>
                <w:sz w:val="20"/>
                <w:szCs w:val="20"/>
              </w:rPr>
              <w:t>Covariate</w:t>
            </w:r>
          </w:p>
        </w:tc>
        <w:tc>
          <w:tcPr>
            <w:tcW w:w="2700" w:type="dxa"/>
            <w:shd w:val="clear" w:color="auto" w:fill="E8ED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413D1C" w14:textId="77777777" w:rsidR="00B101A8" w:rsidRDefault="00B101A8" w:rsidP="00EC22A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Cancer death sHR (95% CI)</w:t>
            </w:r>
          </w:p>
        </w:tc>
        <w:tc>
          <w:tcPr>
            <w:tcW w:w="2700" w:type="dxa"/>
            <w:shd w:val="clear" w:color="auto" w:fill="E8ED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D24917" w14:textId="77777777" w:rsidR="00B101A8" w:rsidRDefault="00B101A8" w:rsidP="00EC22A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Non-cancer death sHR (95% CI)</w:t>
            </w:r>
          </w:p>
        </w:tc>
      </w:tr>
      <w:tr w:rsidR="00B101A8" w14:paraId="399E1F14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FA1DCC" w14:textId="77777777" w:rsidR="00B101A8" w:rsidRDefault="00B101A8" w:rsidP="00EC22A8">
            <w:r>
              <w:rPr>
                <w:sz w:val="20"/>
                <w:szCs w:val="20"/>
              </w:rPr>
              <w:t>Age, per year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55FCE3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1.01 (0.99-1.03)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D3923D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1.04 (1.02-1.05)</w:t>
            </w:r>
          </w:p>
        </w:tc>
      </w:tr>
      <w:tr w:rsidR="00B101A8" w14:paraId="3C605B8E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1B11EB" w14:textId="77777777" w:rsidR="00B101A8" w:rsidRDefault="00B101A8" w:rsidP="00EC22A8">
            <w:r>
              <w:rPr>
                <w:sz w:val="20"/>
                <w:szCs w:val="20"/>
              </w:rPr>
              <w:t>Male sex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8B1B11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1.63 (0.98-2.60)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9A4BF1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0.72 (0.48-1.03)</w:t>
            </w:r>
          </w:p>
        </w:tc>
      </w:tr>
      <w:tr w:rsidR="00B101A8" w14:paraId="56E4395C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A52BDA" w14:textId="77777777" w:rsidR="00B101A8" w:rsidRDefault="00B101A8" w:rsidP="00EC22A8">
            <w:r>
              <w:rPr>
                <w:sz w:val="20"/>
                <w:szCs w:val="20"/>
              </w:rPr>
              <w:t>ECOG &gt;=1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903F28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1.10 (0.75-1.56)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D3D021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1.70 (1.31-2.22)</w:t>
            </w:r>
          </w:p>
        </w:tc>
      </w:tr>
      <w:tr w:rsidR="00B101A8" w14:paraId="4D32950A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79612E" w14:textId="77777777" w:rsidR="00B101A8" w:rsidRDefault="00B101A8" w:rsidP="00EC22A8">
            <w:r>
              <w:rPr>
                <w:sz w:val="20"/>
                <w:szCs w:val="20"/>
              </w:rPr>
              <w:t>T3-4 disease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91E4A0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2.54 (1.64-3.90)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FC8978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1.13 (0.83-1.52)</w:t>
            </w:r>
          </w:p>
        </w:tc>
      </w:tr>
      <w:tr w:rsidR="00B101A8" w14:paraId="12EA79C1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8C6F4F" w14:textId="77777777" w:rsidR="00B101A8" w:rsidRDefault="00B101A8" w:rsidP="00EC22A8">
            <w:r>
              <w:rPr>
                <w:sz w:val="20"/>
                <w:szCs w:val="20"/>
              </w:rPr>
              <w:t>Node-positive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96F8E6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1.58 (1.02-2.34)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D7692B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1.52 (1.07-2.18)</w:t>
            </w:r>
          </w:p>
        </w:tc>
      </w:tr>
      <w:tr w:rsidR="00B101A8" w14:paraId="77EE3AFD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4DA094" w14:textId="77777777" w:rsidR="00B101A8" w:rsidRDefault="00B101A8" w:rsidP="00EC22A8">
            <w:r>
              <w:rPr>
                <w:sz w:val="20"/>
                <w:szCs w:val="20"/>
              </w:rPr>
              <w:t>Supraglottic subsite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1621D5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1.60 (1.02-2.48)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1CE0F1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1.20 (0.89-1.67)</w:t>
            </w:r>
          </w:p>
        </w:tc>
      </w:tr>
      <w:tr w:rsidR="00B101A8" w14:paraId="0BBA7462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59FA05" w14:textId="77777777" w:rsidR="00B101A8" w:rsidRDefault="00B101A8" w:rsidP="00EC22A8">
            <w:r>
              <w:rPr>
                <w:sz w:val="20"/>
                <w:szCs w:val="20"/>
              </w:rPr>
              <w:t>Other subsite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D939E7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1.41 (0.43-3.05)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8F3394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0.63 (0.30-1.20)</w:t>
            </w:r>
          </w:p>
        </w:tc>
      </w:tr>
      <w:tr w:rsidR="00B101A8" w14:paraId="5BFCA53E" w14:textId="77777777" w:rsidTr="00EC22A8"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0F8F3F" w14:textId="77777777" w:rsidR="00B101A8" w:rsidRDefault="00B101A8" w:rsidP="00EC22A8">
            <w:r>
              <w:rPr>
                <w:sz w:val="20"/>
                <w:szCs w:val="20"/>
              </w:rPr>
              <w:t>Concurrent chemotherapy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F72DD7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1.02 (0.60-1.76)</w:t>
            </w:r>
          </w:p>
        </w:tc>
        <w:tc>
          <w:tcPr>
            <w:tcW w:w="2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A675A9" w14:textId="77777777" w:rsidR="00B101A8" w:rsidRDefault="00B101A8" w:rsidP="00EC22A8">
            <w:pPr>
              <w:jc w:val="center"/>
            </w:pPr>
            <w:r>
              <w:rPr>
                <w:sz w:val="20"/>
                <w:szCs w:val="20"/>
              </w:rPr>
              <w:t>0.64 (0.38-1.03)</w:t>
            </w:r>
          </w:p>
        </w:tc>
      </w:tr>
    </w:tbl>
    <w:p w14:paraId="065C14FE" w14:textId="77777777" w:rsidR="00B101A8" w:rsidRDefault="00B101A8" w:rsidP="00B101A8">
      <w:pPr>
        <w:spacing w:before="80" w:after="240"/>
      </w:pPr>
      <w:r>
        <w:rPr>
          <w:i/>
          <w:iCs/>
          <w:sz w:val="18"/>
          <w:szCs w:val="18"/>
        </w:rPr>
        <w:t>sHR subdistribution hazard ratio; CI confidence interval. Models were fitted by inverse-probability-of-censoring weighting in counting-process form on the same 828 complete cases as the cause-specific models in Table 2. Because the weights render model-based standard errors anticonservative, confidence intervals are bootstrap percentile intervals from patient-level resampling (510 replicates for cancer death, 450 for non-cancer death; fewer than for the generalized competing-event models because each replicate requires refitting the weighted counting-process model). These models estimate the effect of a covariate on the cumulative incidence of the stated cause in the presence of the competing event, which is a different quantity from the cause-specific hazard reported in Table 2; both are reported and neither validates the other.</w:t>
      </w:r>
    </w:p>
    <w:p w14:paraId="159E031B" w14:textId="77777777" w:rsidR="00B101A8" w:rsidRDefault="00B101A8" w:rsidP="00B101A8">
      <w:r>
        <w:br w:type="page"/>
      </w:r>
    </w:p>
    <w:p w14:paraId="1B841CD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A8"/>
    <w:rsid w:val="000C4033"/>
    <w:rsid w:val="001353BD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101A8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5244"/>
  <w15:chartTrackingRefBased/>
  <w15:docId w15:val="{484E3CF4-D802-491C-9D84-0D2A1BC4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1A8"/>
    <w:pPr>
      <w:spacing w:after="0" w:line="240" w:lineRule="auto"/>
    </w:pPr>
    <w:rPr>
      <w:rFonts w:ascii="Arial" w:eastAsia="Arial" w:hAnsi="Arial" w:cs="Arial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1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1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1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1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1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1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1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1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1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1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0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1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0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1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0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2026-09-08T11:59:00Z</dcterms:created>
  <dcterms:modified xsi:type="dcterms:W3CDTF">2026-09-08T11:59:00Z</dcterms:modified>
</cp:coreProperties>
</file>