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3FDA3" w14:textId="77777777" w:rsidR="00AD1B00" w:rsidRPr="00AD1B00" w:rsidRDefault="00AD1B00" w:rsidP="00AD1B00">
      <w:pPr>
        <w:rPr>
          <w:lang w:val="en"/>
        </w:rPr>
      </w:pPr>
      <w:r w:rsidRPr="00AD1B00">
        <w:rPr>
          <w:lang w:val="en"/>
        </w:rPr>
        <w:t>Supplementary Figure S1 Supplementary Figure S1. SHAP summary plot generated before exclusion of the defining markers CD74 and CTSS. The dominance of these markers confirms their central role in disease-state classification but also illustrates why they were removed from the final predictive model to avoid tautological feature importance.</w:t>
      </w:r>
    </w:p>
    <w:p w14:paraId="5D760AAA" w14:textId="51068A48" w:rsidR="00AD1B00" w:rsidRPr="00AD1B00" w:rsidRDefault="00AD1B00" w:rsidP="00AD1B00">
      <w:pPr>
        <w:rPr>
          <w:lang w:val="en"/>
        </w:rPr>
      </w:pPr>
      <w:r w:rsidRPr="00AD1B00">
        <w:rPr>
          <w:lang w:val="en"/>
        </w:rPr>
        <w:drawing>
          <wp:inline distT="0" distB="0" distL="0" distR="0" wp14:anchorId="49A3522A" wp14:editId="608D09D5">
            <wp:extent cx="5731510" cy="6531610"/>
            <wp:effectExtent l="0" t="0" r="2540" b="2540"/>
            <wp:docPr id="11819883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6DBC8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B00"/>
    <w:rsid w:val="00767E38"/>
    <w:rsid w:val="00866F7D"/>
    <w:rsid w:val="00AD1B00"/>
    <w:rsid w:val="00E9037C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C7BEE"/>
  <w15:chartTrackingRefBased/>
  <w15:docId w15:val="{E9885C8E-AA73-4114-A570-41EC97C6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1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B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B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B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B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B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B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1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1B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B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1B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B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B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2026-07-31T06:25:00Z</dcterms:created>
  <dcterms:modified xsi:type="dcterms:W3CDTF">2026-07-31T06:25:00Z</dcterms:modified>
</cp:coreProperties>
</file>