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C5" w:rsidRDefault="00E964C5" w:rsidP="00E964C5">
      <w:pPr>
        <w:keepNext/>
        <w:jc w:val="both"/>
        <w:rPr>
          <w:noProof/>
        </w:rPr>
      </w:pPr>
    </w:p>
    <w:p w:rsidR="00E964C5" w:rsidRDefault="00E964C5" w:rsidP="00E964C5">
      <w:pPr>
        <w:keepNext/>
        <w:jc w:val="both"/>
        <w:rPr>
          <w:noProof/>
        </w:rPr>
      </w:pPr>
    </w:p>
    <w:p w:rsidR="00B8421E" w:rsidRDefault="00E964C5" w:rsidP="00B8421E">
      <w:pPr>
        <w:pStyle w:val="NormalWeb"/>
        <w:keepNext/>
      </w:pPr>
      <w:r w:rsidRPr="00741010">
        <w:t xml:space="preserve"> </w:t>
      </w:r>
      <w:r>
        <w:rPr>
          <w:noProof/>
        </w:rPr>
        <w:drawing>
          <wp:inline distT="0" distB="0" distL="0" distR="0" wp14:anchorId="14E13224" wp14:editId="1E4D4926">
            <wp:extent cx="5943600" cy="2971770"/>
            <wp:effectExtent l="0" t="0" r="0" b="635"/>
            <wp:docPr id="74" name="Picture 74" descr="C:\Users\Latifi\AppData\Local\Temp\{6BD6F9BE-4788-42F6-8C42-3E6C197A11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tifi\AppData\Local\Temp\{6BD6F9BE-4788-42F6-8C42-3E6C197A119E}.t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2971770"/>
                    </a:xfrm>
                    <a:prstGeom prst="rect">
                      <a:avLst/>
                    </a:prstGeom>
                    <a:noFill/>
                    <a:ln>
                      <a:noFill/>
                    </a:ln>
                  </pic:spPr>
                </pic:pic>
              </a:graphicData>
            </a:graphic>
          </wp:inline>
        </w:drawing>
      </w:r>
    </w:p>
    <w:p w:rsidR="00B8421E" w:rsidRPr="00D23A05" w:rsidRDefault="00B8421E" w:rsidP="00B8421E">
      <w:pPr>
        <w:pStyle w:val="NormalWeb"/>
        <w:jc w:val="both"/>
        <w:rPr>
          <w:rFonts w:asciiTheme="majorBidi" w:hAnsiTheme="majorBidi" w:cstheme="majorBidi"/>
          <w:sz w:val="20"/>
          <w:szCs w:val="20"/>
          <w:rtl/>
        </w:rPr>
      </w:pPr>
      <w:r w:rsidRPr="00F94B81">
        <w:rPr>
          <w:b/>
          <w:bCs/>
          <w:sz w:val="20"/>
          <w:szCs w:val="20"/>
        </w:rPr>
        <w:t xml:space="preserve">Figure </w:t>
      </w:r>
      <w:r w:rsidR="00F94B81" w:rsidRPr="00F94B81">
        <w:rPr>
          <w:b/>
          <w:bCs/>
          <w:sz w:val="20"/>
          <w:szCs w:val="20"/>
        </w:rPr>
        <w:t>S</w:t>
      </w:r>
      <w:r w:rsidRPr="00F94B81">
        <w:rPr>
          <w:b/>
          <w:bCs/>
          <w:sz w:val="20"/>
          <w:szCs w:val="20"/>
        </w:rPr>
        <w:fldChar w:fldCharType="begin"/>
      </w:r>
      <w:r w:rsidRPr="00F94B81">
        <w:rPr>
          <w:b/>
          <w:bCs/>
          <w:sz w:val="20"/>
          <w:szCs w:val="20"/>
        </w:rPr>
        <w:instrText xml:space="preserve"> SEQ Figure \* ARABIC </w:instrText>
      </w:r>
      <w:r w:rsidRPr="00F94B81">
        <w:rPr>
          <w:b/>
          <w:bCs/>
          <w:sz w:val="20"/>
          <w:szCs w:val="20"/>
        </w:rPr>
        <w:fldChar w:fldCharType="separate"/>
      </w:r>
      <w:r w:rsidR="00E25B56">
        <w:rPr>
          <w:b/>
          <w:bCs/>
          <w:noProof/>
          <w:sz w:val="20"/>
          <w:szCs w:val="20"/>
        </w:rPr>
        <w:t>1</w:t>
      </w:r>
      <w:r w:rsidRPr="00F94B81">
        <w:rPr>
          <w:b/>
          <w:bCs/>
          <w:sz w:val="20"/>
          <w:szCs w:val="20"/>
        </w:rPr>
        <w:fldChar w:fldCharType="end"/>
      </w:r>
      <w:r w:rsidRPr="00F94B81">
        <w:rPr>
          <w:rFonts w:asciiTheme="majorBidi" w:hAnsiTheme="majorBidi" w:cstheme="majorBidi"/>
          <w:b/>
          <w:bCs/>
          <w:sz w:val="20"/>
          <w:szCs w:val="20"/>
        </w:rPr>
        <w:t>.</w:t>
      </w:r>
      <w:r w:rsidRPr="00B8421E">
        <w:rPr>
          <w:rFonts w:asciiTheme="majorBidi" w:hAnsiTheme="majorBidi" w:cstheme="majorBidi"/>
          <w:sz w:val="18"/>
          <w:szCs w:val="18"/>
        </w:rPr>
        <w:t xml:space="preserve"> </w:t>
      </w:r>
      <w:r w:rsidRPr="00566F61">
        <w:rPr>
          <w:rFonts w:asciiTheme="majorBidi" w:hAnsiTheme="majorBidi" w:cstheme="majorBidi"/>
          <w:sz w:val="20"/>
          <w:szCs w:val="20"/>
        </w:rPr>
        <w:t>Sample quality assessment and outlier removal from the integrated RNA-</w:t>
      </w:r>
      <w:proofErr w:type="spellStart"/>
      <w:r w:rsidRPr="00566F61">
        <w:rPr>
          <w:rFonts w:asciiTheme="majorBidi" w:hAnsiTheme="majorBidi" w:cstheme="majorBidi"/>
          <w:sz w:val="20"/>
          <w:szCs w:val="20"/>
        </w:rPr>
        <w:t>seq</w:t>
      </w:r>
      <w:proofErr w:type="spellEnd"/>
      <w:r w:rsidRPr="00566F61">
        <w:rPr>
          <w:rFonts w:asciiTheme="majorBidi" w:hAnsiTheme="majorBidi" w:cstheme="majorBidi"/>
          <w:sz w:val="20"/>
          <w:szCs w:val="20"/>
        </w:rPr>
        <w:t xml:space="preserve"> data. A UMAP visualization of the data set after filtering out several outlier samples, which led to clear clustering of the data points according to their biological conditions.</w:t>
      </w:r>
    </w:p>
    <w:p w:rsidR="00E964C5" w:rsidRDefault="00E964C5" w:rsidP="00B8421E">
      <w:pPr>
        <w:pStyle w:val="Caption"/>
        <w:rPr>
          <w:rtl/>
        </w:rPr>
      </w:pPr>
    </w:p>
    <w:p w:rsidR="0089521F" w:rsidRDefault="0089521F" w:rsidP="0089521F">
      <w:pPr>
        <w:rPr>
          <w:rtl/>
        </w:rPr>
      </w:pPr>
    </w:p>
    <w:p w:rsidR="0089521F" w:rsidRDefault="0089521F" w:rsidP="0089521F">
      <w:pPr>
        <w:rPr>
          <w:rtl/>
        </w:rPr>
      </w:pPr>
    </w:p>
    <w:p w:rsidR="0089521F" w:rsidRDefault="0089521F" w:rsidP="0089521F">
      <w:pPr>
        <w:rPr>
          <w:rtl/>
        </w:rPr>
      </w:pPr>
    </w:p>
    <w:p w:rsidR="0089521F" w:rsidRDefault="0089521F" w:rsidP="0089521F">
      <w:pPr>
        <w:rPr>
          <w:rtl/>
        </w:rPr>
      </w:pPr>
    </w:p>
    <w:p w:rsidR="0089521F" w:rsidRDefault="0089521F" w:rsidP="0089521F"/>
    <w:p w:rsidR="0089521F" w:rsidRDefault="0089521F" w:rsidP="0089521F"/>
    <w:p w:rsidR="0089521F" w:rsidRDefault="0089521F" w:rsidP="0089521F"/>
    <w:p w:rsidR="00E25B56" w:rsidRPr="00E25B56" w:rsidRDefault="0089521F" w:rsidP="00E25B56">
      <w:pPr>
        <w:pStyle w:val="Caption"/>
        <w:keepNext/>
        <w:jc w:val="center"/>
        <w:rPr>
          <w:rFonts w:asciiTheme="majorBidi" w:hAnsiTheme="majorBidi" w:cstheme="majorBidi"/>
          <w:b/>
          <w:bCs/>
          <w:i w:val="0"/>
          <w:iCs w:val="0"/>
          <w:sz w:val="20"/>
          <w:szCs w:val="20"/>
        </w:rPr>
      </w:pPr>
      <w:r w:rsidRPr="00E25B56">
        <w:rPr>
          <w:rFonts w:asciiTheme="majorBidi" w:hAnsiTheme="majorBidi" w:cstheme="majorBidi"/>
          <w:b/>
          <w:bCs/>
          <w:i w:val="0"/>
          <w:iCs w:val="0"/>
          <w:noProof/>
          <w:sz w:val="20"/>
          <w:szCs w:val="20"/>
        </w:rPr>
        <w:lastRenderedPageBreak/>
        <w:drawing>
          <wp:inline distT="0" distB="0" distL="0" distR="0" wp14:anchorId="52018B5F" wp14:editId="204C91AE">
            <wp:extent cx="2654300" cy="1752600"/>
            <wp:effectExtent l="0" t="0" r="0" b="0"/>
            <wp:docPr id="19" name="Picture 19" descr="C:\Users\Latifi\Desktop\KEGG dunat char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tifi\Desktop\KEGG dunat chart.tiff"/>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3542" t="16678" r="18262" b="6614"/>
                    <a:stretch/>
                  </pic:blipFill>
                  <pic:spPr bwMode="auto">
                    <a:xfrm>
                      <a:off x="0" y="0"/>
                      <a:ext cx="2654384" cy="1752655"/>
                    </a:xfrm>
                    <a:prstGeom prst="rect">
                      <a:avLst/>
                    </a:prstGeom>
                    <a:noFill/>
                    <a:ln>
                      <a:noFill/>
                    </a:ln>
                    <a:extLst>
                      <a:ext uri="{53640926-AAD7-44D8-BBD7-CCE9431645EC}">
                        <a14:shadowObscured xmlns:a14="http://schemas.microsoft.com/office/drawing/2010/main"/>
                      </a:ext>
                    </a:extLst>
                  </pic:spPr>
                </pic:pic>
              </a:graphicData>
            </a:graphic>
          </wp:inline>
        </w:drawing>
      </w:r>
    </w:p>
    <w:p w:rsidR="00E25B56" w:rsidRDefault="00E25B56" w:rsidP="00E25B56">
      <w:pPr>
        <w:pStyle w:val="Caption"/>
        <w:spacing w:after="0"/>
        <w:jc w:val="both"/>
        <w:rPr>
          <w:rFonts w:asciiTheme="majorBidi" w:hAnsiTheme="majorBidi" w:cstheme="majorBidi"/>
          <w:i w:val="0"/>
          <w:iCs w:val="0"/>
          <w:color w:val="auto"/>
          <w:sz w:val="20"/>
          <w:szCs w:val="20"/>
          <w:lang w:bidi="fa-IR"/>
        </w:rPr>
      </w:pPr>
      <w:r w:rsidRPr="00E25B56">
        <w:rPr>
          <w:rFonts w:asciiTheme="majorBidi" w:hAnsiTheme="majorBidi" w:cstheme="majorBidi"/>
          <w:b/>
          <w:bCs/>
          <w:i w:val="0"/>
          <w:iCs w:val="0"/>
          <w:color w:val="auto"/>
          <w:sz w:val="20"/>
          <w:szCs w:val="20"/>
        </w:rPr>
        <w:t>Figure S</w:t>
      </w:r>
      <w:r w:rsidRPr="00E25B56">
        <w:rPr>
          <w:rFonts w:asciiTheme="majorBidi" w:hAnsiTheme="majorBidi" w:cstheme="majorBidi"/>
          <w:b/>
          <w:bCs/>
          <w:i w:val="0"/>
          <w:iCs w:val="0"/>
          <w:color w:val="auto"/>
          <w:sz w:val="20"/>
          <w:szCs w:val="20"/>
        </w:rPr>
        <w:fldChar w:fldCharType="begin"/>
      </w:r>
      <w:r w:rsidRPr="00E25B56">
        <w:rPr>
          <w:rFonts w:asciiTheme="majorBidi" w:hAnsiTheme="majorBidi" w:cstheme="majorBidi"/>
          <w:b/>
          <w:bCs/>
          <w:i w:val="0"/>
          <w:iCs w:val="0"/>
          <w:color w:val="auto"/>
          <w:sz w:val="20"/>
          <w:szCs w:val="20"/>
        </w:rPr>
        <w:instrText xml:space="preserve"> SEQ Figure \* ARABIC </w:instrText>
      </w:r>
      <w:r w:rsidRPr="00E25B56">
        <w:rPr>
          <w:rFonts w:asciiTheme="majorBidi" w:hAnsiTheme="majorBidi" w:cstheme="majorBidi"/>
          <w:b/>
          <w:bCs/>
          <w:i w:val="0"/>
          <w:iCs w:val="0"/>
          <w:color w:val="auto"/>
          <w:sz w:val="20"/>
          <w:szCs w:val="20"/>
        </w:rPr>
        <w:fldChar w:fldCharType="separate"/>
      </w:r>
      <w:r w:rsidRPr="00E25B56">
        <w:rPr>
          <w:rFonts w:asciiTheme="majorBidi" w:hAnsiTheme="majorBidi" w:cstheme="majorBidi"/>
          <w:b/>
          <w:bCs/>
          <w:i w:val="0"/>
          <w:iCs w:val="0"/>
          <w:noProof/>
          <w:color w:val="auto"/>
          <w:sz w:val="20"/>
          <w:szCs w:val="20"/>
        </w:rPr>
        <w:t>2</w:t>
      </w:r>
      <w:r w:rsidRPr="00E25B56">
        <w:rPr>
          <w:rFonts w:asciiTheme="majorBidi" w:hAnsiTheme="majorBidi" w:cstheme="majorBidi"/>
          <w:b/>
          <w:bCs/>
          <w:i w:val="0"/>
          <w:iCs w:val="0"/>
          <w:color w:val="auto"/>
          <w:sz w:val="20"/>
          <w:szCs w:val="20"/>
        </w:rPr>
        <w:fldChar w:fldCharType="end"/>
      </w:r>
      <w:r w:rsidRPr="00E25B56">
        <w:rPr>
          <w:rFonts w:asciiTheme="majorBidi" w:hAnsiTheme="majorBidi" w:cstheme="majorBidi"/>
          <w:b/>
          <w:bCs/>
          <w:i w:val="0"/>
          <w:iCs w:val="0"/>
          <w:color w:val="auto"/>
          <w:sz w:val="20"/>
          <w:szCs w:val="20"/>
          <w:rtl/>
        </w:rPr>
        <w:t>.</w:t>
      </w:r>
      <w:r>
        <w:rPr>
          <w:rFonts w:asciiTheme="majorBidi" w:hAnsiTheme="majorBidi" w:cstheme="majorBidi"/>
          <w:b/>
          <w:bCs/>
          <w:i w:val="0"/>
          <w:iCs w:val="0"/>
          <w:color w:val="auto"/>
          <w:sz w:val="20"/>
          <w:szCs w:val="20"/>
        </w:rPr>
        <w:t xml:space="preserve"> </w:t>
      </w:r>
      <w:r w:rsidRPr="00ED39EB">
        <w:rPr>
          <w:rFonts w:asciiTheme="majorBidi" w:hAnsiTheme="majorBidi" w:cstheme="majorBidi"/>
          <w:i w:val="0"/>
          <w:iCs w:val="0"/>
          <w:color w:val="auto"/>
          <w:sz w:val="20"/>
          <w:szCs w:val="20"/>
          <w:lang w:bidi="fa-IR"/>
        </w:rPr>
        <w:t>KEGG pathway enrichment analysis of differentially expressed genes.</w:t>
      </w:r>
      <w:r>
        <w:rPr>
          <w:rFonts w:asciiTheme="majorBidi" w:hAnsiTheme="majorBidi" w:cstheme="majorBidi" w:hint="cs"/>
          <w:i w:val="0"/>
          <w:iCs w:val="0"/>
          <w:color w:val="auto"/>
          <w:sz w:val="20"/>
          <w:szCs w:val="20"/>
          <w:rtl/>
          <w:lang w:bidi="fa-IR"/>
        </w:rPr>
        <w:t xml:space="preserve"> </w:t>
      </w:r>
      <w:r w:rsidRPr="00ED39EB">
        <w:rPr>
          <w:rFonts w:asciiTheme="majorBidi" w:hAnsiTheme="majorBidi" w:cstheme="majorBidi"/>
          <w:i w:val="0"/>
          <w:iCs w:val="0"/>
          <w:color w:val="auto"/>
          <w:sz w:val="20"/>
          <w:szCs w:val="20"/>
          <w:lang w:bidi="fa-IR"/>
        </w:rPr>
        <w:t>The donut chart shows the distribution of enriched pathways among DEGs. Percentages indicate the proportion of each pathway category. Primary metabolism accounted for the largest proportion (46.4%), followed by Amino acid metabolism (25.0%), Cofactors &amp; nucleotides (21.4%), Lipid metabolism (17.9%), and Secondary metabolism (14.3%). Colors represent different pathway categories as indicated in the legend</w:t>
      </w:r>
      <w:r>
        <w:rPr>
          <w:rFonts w:asciiTheme="majorBidi" w:hAnsiTheme="majorBidi" w:cstheme="majorBidi"/>
          <w:i w:val="0"/>
          <w:iCs w:val="0"/>
          <w:color w:val="auto"/>
          <w:sz w:val="20"/>
          <w:szCs w:val="20"/>
          <w:lang w:bidi="fa-IR"/>
        </w:rPr>
        <w:t>.</w:t>
      </w:r>
    </w:p>
    <w:p w:rsidR="0089521F" w:rsidRDefault="0089521F" w:rsidP="00E25B56">
      <w:pPr>
        <w:pStyle w:val="Caption"/>
        <w:jc w:val="center"/>
      </w:pPr>
    </w:p>
    <w:p w:rsidR="0089521F" w:rsidRDefault="0089521F"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328ED" w:rsidRDefault="00E328ED" w:rsidP="0089521F">
      <w:pPr>
        <w:rPr>
          <w:rtl/>
        </w:rPr>
      </w:pPr>
    </w:p>
    <w:p w:rsidR="00E25B56" w:rsidRDefault="00E328ED" w:rsidP="00E25B56">
      <w:pPr>
        <w:keepNext/>
        <w:spacing w:before="100" w:beforeAutospacing="1" w:after="100" w:afterAutospacing="1" w:line="240" w:lineRule="auto"/>
      </w:pPr>
      <w:r w:rsidRPr="00E328ED">
        <w:rPr>
          <w:rFonts w:ascii="Times New Roman" w:eastAsia="Times New Roman" w:hAnsi="Times New Roman" w:cs="Times New Roman"/>
          <w:noProof/>
          <w:sz w:val="24"/>
          <w:szCs w:val="24"/>
        </w:rPr>
        <w:drawing>
          <wp:inline distT="0" distB="0" distL="0" distR="0">
            <wp:extent cx="5943600" cy="4952211"/>
            <wp:effectExtent l="0" t="0" r="0" b="1270"/>
            <wp:docPr id="1" name="Picture 1" descr="C:\Users\Latifi\AppData\Local\Temp\{650AFF6F-B91E-4018-8F94-2A2E67C4DE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tifi\AppData\Local\Temp\{650AFF6F-B91E-4018-8F94-2A2E67C4DE06}.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952211"/>
                    </a:xfrm>
                    <a:prstGeom prst="rect">
                      <a:avLst/>
                    </a:prstGeom>
                    <a:noFill/>
                    <a:ln>
                      <a:noFill/>
                    </a:ln>
                  </pic:spPr>
                </pic:pic>
              </a:graphicData>
            </a:graphic>
          </wp:inline>
        </w:drawing>
      </w:r>
    </w:p>
    <w:p w:rsidR="00E328ED" w:rsidRPr="00E328ED" w:rsidRDefault="00E25B56" w:rsidP="0095528C">
      <w:pPr>
        <w:pStyle w:val="Caption"/>
        <w:jc w:val="both"/>
        <w:rPr>
          <w:rFonts w:asciiTheme="majorBidi" w:hAnsiTheme="majorBidi" w:cstheme="majorBidi"/>
          <w:i w:val="0"/>
          <w:iCs w:val="0"/>
          <w:color w:val="auto"/>
          <w:sz w:val="20"/>
          <w:szCs w:val="20"/>
        </w:rPr>
      </w:pPr>
      <w:r w:rsidRPr="0095528C">
        <w:rPr>
          <w:rFonts w:asciiTheme="majorBidi" w:hAnsiTheme="majorBidi" w:cstheme="majorBidi"/>
          <w:b/>
          <w:bCs/>
          <w:i w:val="0"/>
          <w:iCs w:val="0"/>
          <w:color w:val="auto"/>
          <w:sz w:val="20"/>
          <w:szCs w:val="20"/>
        </w:rPr>
        <w:t xml:space="preserve">Figure </w:t>
      </w:r>
      <w:r w:rsidR="0095528C" w:rsidRPr="0095528C">
        <w:rPr>
          <w:rFonts w:asciiTheme="majorBidi" w:hAnsiTheme="majorBidi" w:cstheme="majorBidi"/>
          <w:b/>
          <w:bCs/>
          <w:i w:val="0"/>
          <w:iCs w:val="0"/>
          <w:color w:val="auto"/>
          <w:sz w:val="20"/>
          <w:szCs w:val="20"/>
        </w:rPr>
        <w:t>S</w:t>
      </w:r>
      <w:r w:rsidRPr="0095528C">
        <w:rPr>
          <w:rFonts w:asciiTheme="majorBidi" w:hAnsiTheme="majorBidi" w:cstheme="majorBidi"/>
          <w:b/>
          <w:bCs/>
          <w:i w:val="0"/>
          <w:iCs w:val="0"/>
          <w:color w:val="auto"/>
          <w:sz w:val="20"/>
          <w:szCs w:val="20"/>
        </w:rPr>
        <w:fldChar w:fldCharType="begin"/>
      </w:r>
      <w:r w:rsidRPr="0095528C">
        <w:rPr>
          <w:rFonts w:asciiTheme="majorBidi" w:hAnsiTheme="majorBidi" w:cstheme="majorBidi"/>
          <w:b/>
          <w:bCs/>
          <w:i w:val="0"/>
          <w:iCs w:val="0"/>
          <w:color w:val="auto"/>
          <w:sz w:val="20"/>
          <w:szCs w:val="20"/>
        </w:rPr>
        <w:instrText xml:space="preserve"> SEQ Figure \* ARABIC </w:instrText>
      </w:r>
      <w:r w:rsidRPr="0095528C">
        <w:rPr>
          <w:rFonts w:asciiTheme="majorBidi" w:hAnsiTheme="majorBidi" w:cstheme="majorBidi"/>
          <w:b/>
          <w:bCs/>
          <w:i w:val="0"/>
          <w:iCs w:val="0"/>
          <w:color w:val="auto"/>
          <w:sz w:val="20"/>
          <w:szCs w:val="20"/>
        </w:rPr>
        <w:fldChar w:fldCharType="separate"/>
      </w:r>
      <w:r w:rsidRPr="0095528C">
        <w:rPr>
          <w:rFonts w:asciiTheme="majorBidi" w:hAnsiTheme="majorBidi" w:cstheme="majorBidi"/>
          <w:b/>
          <w:bCs/>
          <w:i w:val="0"/>
          <w:iCs w:val="0"/>
          <w:noProof/>
          <w:color w:val="auto"/>
          <w:sz w:val="20"/>
          <w:szCs w:val="20"/>
        </w:rPr>
        <w:t>3</w:t>
      </w:r>
      <w:r w:rsidRPr="0095528C">
        <w:rPr>
          <w:rFonts w:asciiTheme="majorBidi" w:hAnsiTheme="majorBidi" w:cstheme="majorBidi"/>
          <w:b/>
          <w:bCs/>
          <w:i w:val="0"/>
          <w:iCs w:val="0"/>
          <w:color w:val="auto"/>
          <w:sz w:val="20"/>
          <w:szCs w:val="20"/>
        </w:rPr>
        <w:fldChar w:fldCharType="end"/>
      </w:r>
      <w:r w:rsidR="0095528C" w:rsidRPr="0095528C">
        <w:rPr>
          <w:rFonts w:asciiTheme="majorBidi" w:hAnsiTheme="majorBidi" w:cstheme="majorBidi"/>
          <w:b/>
          <w:bCs/>
          <w:i w:val="0"/>
          <w:iCs w:val="0"/>
          <w:color w:val="auto"/>
          <w:sz w:val="20"/>
          <w:szCs w:val="20"/>
        </w:rPr>
        <w:t>.</w:t>
      </w:r>
      <w:r w:rsidR="0095528C" w:rsidRPr="0095528C">
        <w:rPr>
          <w:rFonts w:asciiTheme="majorBidi" w:hAnsiTheme="majorBidi" w:cstheme="majorBidi"/>
          <w:i w:val="0"/>
          <w:iCs w:val="0"/>
          <w:color w:val="auto"/>
          <w:sz w:val="20"/>
          <w:szCs w:val="20"/>
        </w:rPr>
        <w:t xml:space="preserve"> Complete GENIE3-inferred gene regulatory network underlying GLA biosynthesis in </w:t>
      </w:r>
      <w:proofErr w:type="spellStart"/>
      <w:proofErr w:type="gramStart"/>
      <w:r w:rsidR="0095528C" w:rsidRPr="0095528C">
        <w:rPr>
          <w:rFonts w:asciiTheme="majorBidi" w:hAnsiTheme="majorBidi" w:cstheme="majorBidi"/>
          <w:color w:val="auto"/>
          <w:sz w:val="20"/>
          <w:szCs w:val="20"/>
        </w:rPr>
        <w:t>P.patens</w:t>
      </w:r>
      <w:proofErr w:type="spellEnd"/>
      <w:proofErr w:type="gramEnd"/>
      <w:r w:rsidR="0095528C" w:rsidRPr="0095528C">
        <w:rPr>
          <w:rFonts w:asciiTheme="majorBidi" w:hAnsiTheme="majorBidi" w:cstheme="majorBidi"/>
          <w:i w:val="0"/>
          <w:iCs w:val="0"/>
          <w:color w:val="auto"/>
          <w:sz w:val="20"/>
          <w:szCs w:val="20"/>
        </w:rPr>
        <w:t>. The network includes the top 100 transcription factors prioritized for regulatory inference and their predicted interactions with the three GLA biosynthetic genes (</w:t>
      </w:r>
      <w:r w:rsidR="0095528C" w:rsidRPr="0095528C">
        <w:rPr>
          <w:rFonts w:asciiTheme="majorBidi" w:hAnsiTheme="majorBidi" w:cstheme="majorBidi"/>
          <w:color w:val="auto"/>
          <w:sz w:val="20"/>
          <w:szCs w:val="20"/>
        </w:rPr>
        <w:t>D6D</w:t>
      </w:r>
      <w:r w:rsidR="0095528C" w:rsidRPr="0095528C">
        <w:rPr>
          <w:rFonts w:asciiTheme="majorBidi" w:hAnsiTheme="majorBidi" w:cstheme="majorBidi"/>
          <w:i w:val="0"/>
          <w:iCs w:val="0"/>
          <w:color w:val="auto"/>
          <w:sz w:val="20"/>
          <w:szCs w:val="20"/>
        </w:rPr>
        <w:t xml:space="preserve">, </w:t>
      </w:r>
      <w:r w:rsidR="0095528C" w:rsidRPr="0095528C">
        <w:rPr>
          <w:rFonts w:asciiTheme="majorBidi" w:hAnsiTheme="majorBidi" w:cstheme="majorBidi"/>
          <w:color w:val="auto"/>
          <w:sz w:val="20"/>
          <w:szCs w:val="20"/>
        </w:rPr>
        <w:t>D12D</w:t>
      </w:r>
      <w:r w:rsidR="0095528C" w:rsidRPr="0095528C">
        <w:rPr>
          <w:rFonts w:asciiTheme="majorBidi" w:hAnsiTheme="majorBidi" w:cstheme="majorBidi"/>
          <w:i w:val="0"/>
          <w:iCs w:val="0"/>
          <w:color w:val="auto"/>
          <w:sz w:val="20"/>
          <w:szCs w:val="20"/>
        </w:rPr>
        <w:t xml:space="preserve">, and </w:t>
      </w:r>
      <w:bookmarkStart w:id="0" w:name="_GoBack"/>
      <w:r w:rsidR="0095528C" w:rsidRPr="0095528C">
        <w:rPr>
          <w:rFonts w:asciiTheme="majorBidi" w:hAnsiTheme="majorBidi" w:cstheme="majorBidi"/>
          <w:color w:val="auto"/>
          <w:sz w:val="20"/>
          <w:szCs w:val="20"/>
        </w:rPr>
        <w:t>D6E</w:t>
      </w:r>
      <w:bookmarkEnd w:id="0"/>
      <w:r w:rsidR="0095528C" w:rsidRPr="0095528C">
        <w:rPr>
          <w:rFonts w:asciiTheme="majorBidi" w:hAnsiTheme="majorBidi" w:cstheme="majorBidi"/>
          <w:i w:val="0"/>
          <w:iCs w:val="0"/>
          <w:color w:val="auto"/>
          <w:sz w:val="20"/>
          <w:szCs w:val="20"/>
        </w:rPr>
        <w:t>). Nodes represent transcription factors and target genes, whereas edges represent predicted regulatory interactions inferred by the GENIE3 algorithm. This network is presented as the complete version of the regulatory network, while the simplified network shown in the main manuscript (Figure 7) includes only the top 30 transcription factors for clarity. Transcript isoforms are shown separately as generated by the original GENIE3 output.</w:t>
      </w:r>
    </w:p>
    <w:p w:rsidR="00E328ED" w:rsidRPr="0089521F" w:rsidRDefault="00E328ED" w:rsidP="0089521F"/>
    <w:p w:rsidR="00312CF8" w:rsidRPr="00CE3C7F" w:rsidRDefault="00312CF8" w:rsidP="00312CF8">
      <w:pPr>
        <w:spacing w:before="100" w:beforeAutospacing="1" w:after="100" w:afterAutospacing="1" w:line="240" w:lineRule="auto"/>
        <w:rPr>
          <w:rFonts w:asciiTheme="majorBidi" w:eastAsia="Times New Roman" w:hAnsiTheme="majorBidi" w:cstheme="majorBidi"/>
          <w:sz w:val="24"/>
          <w:szCs w:val="24"/>
        </w:rPr>
      </w:pPr>
    </w:p>
    <w:sectPr w:rsidR="00312CF8" w:rsidRPr="00CE3C7F" w:rsidSect="0058020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2F"/>
    <w:rsid w:val="000E4B1E"/>
    <w:rsid w:val="00312CF8"/>
    <w:rsid w:val="004E2245"/>
    <w:rsid w:val="00580204"/>
    <w:rsid w:val="005F6B3A"/>
    <w:rsid w:val="0065445D"/>
    <w:rsid w:val="006B7D62"/>
    <w:rsid w:val="007D50E4"/>
    <w:rsid w:val="0089521F"/>
    <w:rsid w:val="0095528C"/>
    <w:rsid w:val="009926A3"/>
    <w:rsid w:val="00B8421E"/>
    <w:rsid w:val="00B84F80"/>
    <w:rsid w:val="00DB212F"/>
    <w:rsid w:val="00DB4F66"/>
    <w:rsid w:val="00E25B56"/>
    <w:rsid w:val="00E328ED"/>
    <w:rsid w:val="00E964C5"/>
    <w:rsid w:val="00F94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052EE"/>
  <w15:chartTrackingRefBased/>
  <w15:docId w15:val="{93370298-22D0-408A-B9F6-06852C0B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B1E"/>
  </w:style>
  <w:style w:type="paragraph" w:styleId="Heading2">
    <w:name w:val="heading 2"/>
    <w:basedOn w:val="Normal"/>
    <w:link w:val="Heading2Char"/>
    <w:uiPriority w:val="9"/>
    <w:qFormat/>
    <w:rsid w:val="00DB4F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B4F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4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B4F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B4F66"/>
    <w:rPr>
      <w:rFonts w:ascii="Times New Roman" w:eastAsia="Times New Roman" w:hAnsi="Times New Roman" w:cs="Times New Roman"/>
      <w:b/>
      <w:bCs/>
      <w:sz w:val="27"/>
      <w:szCs w:val="27"/>
    </w:rPr>
  </w:style>
  <w:style w:type="paragraph" w:customStyle="1" w:styleId="ds-markdown-paragraph">
    <w:name w:val="ds-markdown-paragraph"/>
    <w:basedOn w:val="Normal"/>
    <w:rsid w:val="00DB4F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4F66"/>
    <w:rPr>
      <w:b/>
      <w:bCs/>
    </w:rPr>
  </w:style>
  <w:style w:type="paragraph" w:styleId="Caption">
    <w:name w:val="caption"/>
    <w:basedOn w:val="Normal"/>
    <w:next w:val="Normal"/>
    <w:uiPriority w:val="35"/>
    <w:unhideWhenUsed/>
    <w:qFormat/>
    <w:rsid w:val="00DB4F66"/>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964C5"/>
    <w:rPr>
      <w:sz w:val="16"/>
      <w:szCs w:val="16"/>
    </w:rPr>
  </w:style>
  <w:style w:type="paragraph" w:styleId="CommentText">
    <w:name w:val="annotation text"/>
    <w:basedOn w:val="Normal"/>
    <w:link w:val="CommentTextChar"/>
    <w:uiPriority w:val="99"/>
    <w:unhideWhenUsed/>
    <w:rsid w:val="00E964C5"/>
    <w:pPr>
      <w:spacing w:line="240" w:lineRule="auto"/>
    </w:pPr>
    <w:rPr>
      <w:sz w:val="20"/>
      <w:szCs w:val="20"/>
    </w:rPr>
  </w:style>
  <w:style w:type="character" w:customStyle="1" w:styleId="CommentTextChar">
    <w:name w:val="Comment Text Char"/>
    <w:basedOn w:val="DefaultParagraphFont"/>
    <w:link w:val="CommentText"/>
    <w:uiPriority w:val="99"/>
    <w:rsid w:val="00E964C5"/>
    <w:rPr>
      <w:sz w:val="20"/>
      <w:szCs w:val="20"/>
    </w:rPr>
  </w:style>
  <w:style w:type="paragraph" w:styleId="BalloonText">
    <w:name w:val="Balloon Text"/>
    <w:basedOn w:val="Normal"/>
    <w:link w:val="BalloonTextChar"/>
    <w:uiPriority w:val="99"/>
    <w:semiHidden/>
    <w:unhideWhenUsed/>
    <w:rsid w:val="00E96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4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883360">
      <w:bodyDiv w:val="1"/>
      <w:marLeft w:val="0"/>
      <w:marRight w:val="0"/>
      <w:marTop w:val="0"/>
      <w:marBottom w:val="0"/>
      <w:divBdr>
        <w:top w:val="none" w:sz="0" w:space="0" w:color="auto"/>
        <w:left w:val="none" w:sz="0" w:space="0" w:color="auto"/>
        <w:bottom w:val="none" w:sz="0" w:space="0" w:color="auto"/>
        <w:right w:val="none" w:sz="0" w:space="0" w:color="auto"/>
      </w:divBdr>
    </w:div>
    <w:div w:id="195181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tif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Latifi</dc:creator>
  <cp:keywords/>
  <dc:description/>
  <cp:lastModifiedBy>Latifi</cp:lastModifiedBy>
  <cp:revision>17</cp:revision>
  <dcterms:created xsi:type="dcterms:W3CDTF">2026-01-25T20:22:00Z</dcterms:created>
  <dcterms:modified xsi:type="dcterms:W3CDTF">2026-07-14T13:17:00Z</dcterms:modified>
</cp:coreProperties>
</file>