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625C6" w14:textId="77777777" w:rsidR="00490783" w:rsidRDefault="00000000">
      <w:pPr>
        <w:pStyle w:val="KonuBal"/>
        <w:jc w:val="center"/>
      </w:pPr>
      <w:r>
        <w:t>Supplementary Information</w:t>
      </w:r>
    </w:p>
    <w:p w14:paraId="7394000F" w14:textId="77777777" w:rsidR="00490783" w:rsidRDefault="00000000">
      <w:pPr>
        <w:pStyle w:val="Altyaz"/>
        <w:jc w:val="center"/>
      </w:pPr>
      <w:r>
        <w:t>Validation design changes wearable stress-state classification performance in hospital nurses</w:t>
      </w:r>
    </w:p>
    <w:p w14:paraId="0FD32548" w14:textId="77777777" w:rsidR="00490783" w:rsidRDefault="00000000">
      <w:pPr>
        <w:jc w:val="center"/>
      </w:pPr>
      <w:r>
        <w:t>Fuat Kahraman¹, Gözde Özsezer²*, Gülengül Mermer¹</w:t>
      </w:r>
    </w:p>
    <w:p w14:paraId="3249E8F0" w14:textId="77777777" w:rsidR="00490783" w:rsidRDefault="00000000">
      <w:r>
        <w:t>This file contains retained exploratory outputs and an explicit inventory of analytical details that were not available in the supplied materials. It should be read with the main article.</w:t>
      </w:r>
    </w:p>
    <w:p w14:paraId="587A185A" w14:textId="77777777" w:rsidR="00490783" w:rsidRDefault="00000000">
      <w:pPr>
        <w:pStyle w:val="Balk1"/>
      </w:pPr>
      <w:r>
        <w:t>Supplementary Note 1 | Analytical provenance</w:t>
      </w:r>
    </w:p>
    <w:p w14:paraId="5F051461" w14:textId="77777777" w:rsidR="00490783" w:rsidRDefault="00000000">
      <w:r>
        <w:t>The source study describes 15 nurses and provides raw sensor streams and survey annotations through Dryad. The retained secondary analysis was based on a merged redistribution containing 18 identifier values. The mapping between these representations, the machine-readable post-windowing table, exact fold assignments, fitted preprocessing objects, model hyperparameters, random seeds and executable secondary analysis code were not present in the supplied manuscript package. No missing details were reconstructed by assumption.</w:t>
      </w:r>
    </w:p>
    <w:p w14:paraId="60EBA55A" w14:textId="77777777" w:rsidR="00490783" w:rsidRDefault="00000000">
      <w:r>
        <w:t>The leave-one-subject-out chart supplied with the prior analysis contained 15 labelled bars and a mean accuracy of 66.11%. Because its x-axis labels are dataset identifiers and their relationship to the 18 identifiers in the merged table was not verified, the main article reports identifier-held-out performance and treats the range as approximate.</w:t>
      </w:r>
    </w:p>
    <w:p w14:paraId="4B335EE9" w14:textId="77777777" w:rsidR="00490783" w:rsidRDefault="00000000">
      <w:pPr>
        <w:pStyle w:val="Balk1"/>
      </w:pPr>
      <w:r>
        <w:lastRenderedPageBreak/>
        <w:t>Supplementary Figure S1 | Retained XGBoost LOSO accuracy by identifier</w:t>
      </w:r>
    </w:p>
    <w:p w14:paraId="0CCCFC18" w14:textId="77777777" w:rsidR="00490783" w:rsidRDefault="00000000">
      <w:pPr>
        <w:keepNext/>
        <w:spacing w:before="160"/>
        <w:jc w:val="center"/>
      </w:pPr>
      <w:r>
        <w:rPr>
          <w:noProof/>
        </w:rPr>
        <w:drawing>
          <wp:inline distT="0" distB="0" distL="0" distR="0" wp14:anchorId="72208019" wp14:editId="63DF3398">
            <wp:extent cx="5669280" cy="3382078"/>
            <wp:effectExtent l="0" t="0" r="0" b="0"/>
            <wp:docPr id="1" name="Picture 1" descr="Bar chart of retained XGBoost leave-one-out accuracy across 15 dataset identifiers, with a mean line at 66.11 percent." title="Supplementary 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8"/>
                    <a:stretch>
                      <a:fillRect/>
                    </a:stretch>
                  </pic:blipFill>
                  <pic:spPr>
                    <a:xfrm>
                      <a:off x="0" y="0"/>
                      <a:ext cx="5669280" cy="3382078"/>
                    </a:xfrm>
                    <a:prstGeom prst="rect">
                      <a:avLst/>
                    </a:prstGeom>
                  </pic:spPr>
                </pic:pic>
              </a:graphicData>
            </a:graphic>
          </wp:inline>
        </w:drawing>
      </w:r>
    </w:p>
    <w:p w14:paraId="2EEFEA54" w14:textId="77777777" w:rsidR="00490783" w:rsidRDefault="00000000">
      <w:pPr>
        <w:pStyle w:val="ResimYazs"/>
        <w:keepLines/>
      </w:pPr>
      <w:r>
        <w:rPr>
          <w:b/>
        </w:rPr>
        <w:t xml:space="preserve">Supplementary Figure S1. </w:t>
      </w:r>
      <w:r>
        <w:t>Retained leave-one-subject-out XGBoost accuracy. The term “Subject ID” appears in the original output; the main article refers to these labels as identifiers because participant mapping was unavailable.</w:t>
      </w:r>
    </w:p>
    <w:p w14:paraId="44FD688A" w14:textId="77777777" w:rsidR="00490783" w:rsidRDefault="00000000">
      <w:pPr>
        <w:pStyle w:val="Balk1"/>
      </w:pPr>
      <w:r>
        <w:lastRenderedPageBreak/>
        <w:t>Supplementary Figure S2 | Exploratory nominal-period map</w:t>
      </w:r>
    </w:p>
    <w:p w14:paraId="48A04FAC" w14:textId="77777777" w:rsidR="00490783" w:rsidRDefault="00000000">
      <w:pPr>
        <w:keepNext/>
        <w:spacing w:before="160"/>
        <w:jc w:val="center"/>
      </w:pPr>
      <w:r>
        <w:rPr>
          <w:noProof/>
        </w:rPr>
        <w:drawing>
          <wp:inline distT="0" distB="0" distL="0" distR="0" wp14:anchorId="04CB3972" wp14:editId="03677B1F">
            <wp:extent cx="5577840" cy="3591513"/>
            <wp:effectExtent l="0" t="0" r="0" b="0"/>
            <wp:docPr id="2" name="Picture 2" descr="Heat map of average encoded stress-state levels for dataset identifiers across nominal day and night periods, including missing identifier-period combinations." title="Supplementary 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S2_Scientific_Reports.png"/>
                    <pic:cNvPicPr/>
                  </pic:nvPicPr>
                  <pic:blipFill>
                    <a:blip r:embed="rId9"/>
                    <a:stretch>
                      <a:fillRect/>
                    </a:stretch>
                  </pic:blipFill>
                  <pic:spPr>
                    <a:xfrm>
                      <a:off x="0" y="0"/>
                      <a:ext cx="5577840" cy="3591513"/>
                    </a:xfrm>
                    <a:prstGeom prst="rect">
                      <a:avLst/>
                    </a:prstGeom>
                  </pic:spPr>
                </pic:pic>
              </a:graphicData>
            </a:graphic>
          </wp:inline>
        </w:drawing>
      </w:r>
    </w:p>
    <w:p w14:paraId="491D55A5" w14:textId="77777777" w:rsidR="00490783" w:rsidRDefault="00000000">
      <w:pPr>
        <w:pStyle w:val="ResimYazs"/>
        <w:keepLines/>
      </w:pPr>
      <w:r>
        <w:rPr>
          <w:b/>
        </w:rPr>
        <w:t xml:space="preserve">Supplementary Figure S2. </w:t>
      </w:r>
      <w:r>
        <w:t>Average encoded stress-state level by identifier and nominal day/night period. Blank cells denote unavailable identifier-period combinations. Nominal periods were not linked to verified rosters; the figure does not establish a shift effect.</w:t>
      </w:r>
    </w:p>
    <w:p w14:paraId="056B84D2" w14:textId="77777777" w:rsidR="00490783" w:rsidRDefault="00000000">
      <w:pPr>
        <w:pStyle w:val="Balk1"/>
      </w:pPr>
      <w:r>
        <w:lastRenderedPageBreak/>
        <w:t>Supplementary Figure S3 | Mean absolute SHAP contributions</w:t>
      </w:r>
    </w:p>
    <w:p w14:paraId="08D312A8" w14:textId="77777777" w:rsidR="00490783" w:rsidRDefault="00000000">
      <w:pPr>
        <w:keepNext/>
        <w:spacing w:before="160"/>
        <w:jc w:val="center"/>
      </w:pPr>
      <w:r>
        <w:rPr>
          <w:noProof/>
        </w:rPr>
        <w:drawing>
          <wp:inline distT="0" distB="0" distL="0" distR="0" wp14:anchorId="33EB0A49" wp14:editId="5AF66AEF">
            <wp:extent cx="5577840" cy="3620815"/>
            <wp:effectExtent l="0" t="0" r="0" b="0"/>
            <wp:docPr id="3" name="Picture 3" descr="Horizontal bar chart of mean absolute SHAP values led by electrodermal-activity and temperature features." title="Supplementary 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0"/>
                    <a:stretch>
                      <a:fillRect/>
                    </a:stretch>
                  </pic:blipFill>
                  <pic:spPr>
                    <a:xfrm>
                      <a:off x="0" y="0"/>
                      <a:ext cx="5577840" cy="3620815"/>
                    </a:xfrm>
                    <a:prstGeom prst="rect">
                      <a:avLst/>
                    </a:prstGeom>
                  </pic:spPr>
                </pic:pic>
              </a:graphicData>
            </a:graphic>
          </wp:inline>
        </w:drawing>
      </w:r>
    </w:p>
    <w:p w14:paraId="247F6A82" w14:textId="77777777" w:rsidR="00490783" w:rsidRDefault="00000000">
      <w:pPr>
        <w:pStyle w:val="ResimYazs"/>
        <w:keepLines/>
      </w:pPr>
      <w:r>
        <w:rPr>
          <w:b/>
        </w:rPr>
        <w:t xml:space="preserve">Supplementary Figure S3. </w:t>
      </w:r>
      <w:r>
        <w:t>Mean absolute SHAP values from the retained XGBoost output. EDA-derived features had the largest individual contributions. Values describe model dependence and are not causal effect estimates.</w:t>
      </w:r>
    </w:p>
    <w:p w14:paraId="4725CEE6" w14:textId="77777777" w:rsidR="00490783" w:rsidRDefault="00000000">
      <w:pPr>
        <w:keepNext/>
        <w:spacing w:before="160" w:after="80"/>
      </w:pPr>
      <w:r>
        <w:rPr>
          <w:b/>
        </w:rPr>
        <w:t>Supplementary Table S1 | Availability of reproducibility items.</w:t>
      </w:r>
    </w:p>
    <w:tbl>
      <w:tblPr>
        <w:tblStyle w:val="TabloKlavuzu"/>
        <w:tblW w:w="9360" w:type="dxa"/>
        <w:tblInd w:w="120" w:type="dxa"/>
        <w:tblLayout w:type="fixed"/>
        <w:tblLook w:val="04A0" w:firstRow="1" w:lastRow="0" w:firstColumn="1" w:lastColumn="0" w:noHBand="0" w:noVBand="1"/>
      </w:tblPr>
      <w:tblGrid>
        <w:gridCol w:w="3096"/>
        <w:gridCol w:w="1656"/>
        <w:gridCol w:w="4608"/>
      </w:tblGrid>
      <w:tr w:rsidR="00490783" w14:paraId="1FE5076F" w14:textId="77777777">
        <w:trPr>
          <w:cantSplit/>
          <w:tblHeader/>
        </w:trPr>
        <w:tc>
          <w:tcPr>
            <w:tcW w:w="3096" w:type="dxa"/>
            <w:shd w:val="clear" w:color="auto" w:fill="F4F6F9"/>
            <w:tcMar>
              <w:top w:w="80" w:type="dxa"/>
              <w:left w:w="120" w:type="dxa"/>
              <w:bottom w:w="80" w:type="dxa"/>
              <w:right w:w="120" w:type="dxa"/>
            </w:tcMar>
            <w:vAlign w:val="center"/>
          </w:tcPr>
          <w:p w14:paraId="107F26F3" w14:textId="77777777" w:rsidR="00490783" w:rsidRDefault="00000000">
            <w:pPr>
              <w:spacing w:after="0" w:line="240" w:lineRule="auto"/>
              <w:jc w:val="center"/>
            </w:pPr>
            <w:r>
              <w:rPr>
                <w:b/>
                <w:color w:val="000000"/>
                <w:sz w:val="16"/>
              </w:rPr>
              <w:t>Item</w:t>
            </w:r>
          </w:p>
        </w:tc>
        <w:tc>
          <w:tcPr>
            <w:tcW w:w="1656" w:type="dxa"/>
            <w:shd w:val="clear" w:color="auto" w:fill="F4F6F9"/>
            <w:tcMar>
              <w:top w:w="80" w:type="dxa"/>
              <w:left w:w="120" w:type="dxa"/>
              <w:bottom w:w="80" w:type="dxa"/>
              <w:right w:w="120" w:type="dxa"/>
            </w:tcMar>
            <w:vAlign w:val="center"/>
          </w:tcPr>
          <w:p w14:paraId="7905E023" w14:textId="77777777" w:rsidR="00490783" w:rsidRDefault="00000000">
            <w:pPr>
              <w:spacing w:after="0" w:line="240" w:lineRule="auto"/>
              <w:jc w:val="center"/>
            </w:pPr>
            <w:r>
              <w:rPr>
                <w:b/>
                <w:color w:val="000000"/>
                <w:sz w:val="16"/>
              </w:rPr>
              <w:t>Status</w:t>
            </w:r>
          </w:p>
        </w:tc>
        <w:tc>
          <w:tcPr>
            <w:tcW w:w="4608" w:type="dxa"/>
            <w:shd w:val="clear" w:color="auto" w:fill="F4F6F9"/>
            <w:tcMar>
              <w:top w:w="80" w:type="dxa"/>
              <w:left w:w="120" w:type="dxa"/>
              <w:bottom w:w="80" w:type="dxa"/>
              <w:right w:w="120" w:type="dxa"/>
            </w:tcMar>
            <w:vAlign w:val="center"/>
          </w:tcPr>
          <w:p w14:paraId="717490D4" w14:textId="77777777" w:rsidR="00490783" w:rsidRDefault="00000000">
            <w:pPr>
              <w:spacing w:after="0" w:line="240" w:lineRule="auto"/>
              <w:jc w:val="center"/>
            </w:pPr>
            <w:r>
              <w:rPr>
                <w:b/>
                <w:color w:val="000000"/>
                <w:sz w:val="16"/>
              </w:rPr>
              <w:t>Interpretation</w:t>
            </w:r>
          </w:p>
        </w:tc>
      </w:tr>
      <w:tr w:rsidR="00490783" w14:paraId="1895ADBA" w14:textId="77777777">
        <w:trPr>
          <w:cantSplit/>
        </w:trPr>
        <w:tc>
          <w:tcPr>
            <w:tcW w:w="3096" w:type="dxa"/>
            <w:tcMar>
              <w:top w:w="80" w:type="dxa"/>
              <w:left w:w="120" w:type="dxa"/>
              <w:bottom w:w="80" w:type="dxa"/>
              <w:right w:w="120" w:type="dxa"/>
            </w:tcMar>
            <w:vAlign w:val="center"/>
          </w:tcPr>
          <w:p w14:paraId="305AEEE3" w14:textId="77777777" w:rsidR="00490783" w:rsidRDefault="00000000">
            <w:pPr>
              <w:spacing w:after="0" w:line="240" w:lineRule="auto"/>
              <w:jc w:val="left"/>
            </w:pPr>
            <w:r>
              <w:rPr>
                <w:color w:val="000000"/>
                <w:sz w:val="16"/>
              </w:rPr>
              <w:t>Raw Dryad sensor data</w:t>
            </w:r>
          </w:p>
        </w:tc>
        <w:tc>
          <w:tcPr>
            <w:tcW w:w="1656" w:type="dxa"/>
            <w:tcMar>
              <w:top w:w="80" w:type="dxa"/>
              <w:left w:w="120" w:type="dxa"/>
              <w:bottom w:w="80" w:type="dxa"/>
              <w:right w:w="120" w:type="dxa"/>
            </w:tcMar>
            <w:vAlign w:val="center"/>
          </w:tcPr>
          <w:p w14:paraId="2B8B51D5" w14:textId="77777777" w:rsidR="00490783" w:rsidRDefault="00000000">
            <w:pPr>
              <w:spacing w:after="0" w:line="240" w:lineRule="auto"/>
              <w:jc w:val="center"/>
            </w:pPr>
            <w:r>
              <w:rPr>
                <w:color w:val="000000"/>
                <w:sz w:val="16"/>
              </w:rPr>
              <w:t>Available</w:t>
            </w:r>
          </w:p>
        </w:tc>
        <w:tc>
          <w:tcPr>
            <w:tcW w:w="4608" w:type="dxa"/>
            <w:tcMar>
              <w:top w:w="80" w:type="dxa"/>
              <w:left w:w="120" w:type="dxa"/>
              <w:bottom w:w="80" w:type="dxa"/>
              <w:right w:w="120" w:type="dxa"/>
            </w:tcMar>
            <w:vAlign w:val="center"/>
          </w:tcPr>
          <w:p w14:paraId="1ACF2A47" w14:textId="77777777" w:rsidR="00490783" w:rsidRDefault="00000000">
            <w:pPr>
              <w:spacing w:after="0" w:line="240" w:lineRule="auto"/>
              <w:jc w:val="left"/>
            </w:pPr>
            <w:r>
              <w:rPr>
                <w:color w:val="000000"/>
                <w:sz w:val="16"/>
              </w:rPr>
              <w:t>Public source dataset; DOI reported in the main article.</w:t>
            </w:r>
          </w:p>
        </w:tc>
      </w:tr>
      <w:tr w:rsidR="00490783" w14:paraId="37C6DEC4" w14:textId="77777777">
        <w:trPr>
          <w:cantSplit/>
        </w:trPr>
        <w:tc>
          <w:tcPr>
            <w:tcW w:w="3096" w:type="dxa"/>
            <w:tcMar>
              <w:top w:w="80" w:type="dxa"/>
              <w:left w:w="120" w:type="dxa"/>
              <w:bottom w:w="80" w:type="dxa"/>
              <w:right w:w="120" w:type="dxa"/>
            </w:tcMar>
            <w:vAlign w:val="center"/>
          </w:tcPr>
          <w:p w14:paraId="41367A6F" w14:textId="77777777" w:rsidR="00490783" w:rsidRDefault="00000000">
            <w:pPr>
              <w:spacing w:after="0" w:line="240" w:lineRule="auto"/>
              <w:jc w:val="left"/>
            </w:pPr>
            <w:r>
              <w:rPr>
                <w:color w:val="000000"/>
                <w:sz w:val="16"/>
              </w:rPr>
              <w:t>Merged redistribution</w:t>
            </w:r>
          </w:p>
        </w:tc>
        <w:tc>
          <w:tcPr>
            <w:tcW w:w="1656" w:type="dxa"/>
            <w:tcMar>
              <w:top w:w="80" w:type="dxa"/>
              <w:left w:w="120" w:type="dxa"/>
              <w:bottom w:w="80" w:type="dxa"/>
              <w:right w:w="120" w:type="dxa"/>
            </w:tcMar>
            <w:vAlign w:val="center"/>
          </w:tcPr>
          <w:p w14:paraId="6203C133" w14:textId="77777777" w:rsidR="00490783" w:rsidRDefault="00000000">
            <w:pPr>
              <w:spacing w:after="0" w:line="240" w:lineRule="auto"/>
              <w:jc w:val="center"/>
            </w:pPr>
            <w:r>
              <w:rPr>
                <w:color w:val="000000"/>
                <w:sz w:val="16"/>
              </w:rPr>
              <w:t>Available</w:t>
            </w:r>
          </w:p>
        </w:tc>
        <w:tc>
          <w:tcPr>
            <w:tcW w:w="4608" w:type="dxa"/>
            <w:tcMar>
              <w:top w:w="80" w:type="dxa"/>
              <w:left w:w="120" w:type="dxa"/>
              <w:bottom w:w="80" w:type="dxa"/>
              <w:right w:w="120" w:type="dxa"/>
            </w:tcMar>
            <w:vAlign w:val="center"/>
          </w:tcPr>
          <w:p w14:paraId="4517A94E" w14:textId="77777777" w:rsidR="00490783" w:rsidRDefault="00000000">
            <w:pPr>
              <w:spacing w:after="0" w:line="240" w:lineRule="auto"/>
              <w:jc w:val="left"/>
            </w:pPr>
            <w:r>
              <w:rPr>
                <w:color w:val="000000"/>
                <w:sz w:val="16"/>
              </w:rPr>
              <w:t>Public Kaggle URL reported in the main article.</w:t>
            </w:r>
          </w:p>
        </w:tc>
      </w:tr>
      <w:tr w:rsidR="00490783" w14:paraId="3C806FB4" w14:textId="77777777">
        <w:trPr>
          <w:cantSplit/>
        </w:trPr>
        <w:tc>
          <w:tcPr>
            <w:tcW w:w="3096" w:type="dxa"/>
            <w:tcMar>
              <w:top w:w="80" w:type="dxa"/>
              <w:left w:w="120" w:type="dxa"/>
              <w:bottom w:w="80" w:type="dxa"/>
              <w:right w:w="120" w:type="dxa"/>
            </w:tcMar>
            <w:vAlign w:val="center"/>
          </w:tcPr>
          <w:p w14:paraId="635CDF57" w14:textId="77777777" w:rsidR="00490783" w:rsidRDefault="00000000">
            <w:pPr>
              <w:spacing w:after="0" w:line="240" w:lineRule="auto"/>
              <w:jc w:val="left"/>
            </w:pPr>
            <w:r>
              <w:rPr>
                <w:color w:val="000000"/>
                <w:sz w:val="16"/>
              </w:rPr>
              <w:t>Verified 15-to-18 identifier mapping</w:t>
            </w:r>
          </w:p>
        </w:tc>
        <w:tc>
          <w:tcPr>
            <w:tcW w:w="1656" w:type="dxa"/>
            <w:tcMar>
              <w:top w:w="80" w:type="dxa"/>
              <w:left w:w="120" w:type="dxa"/>
              <w:bottom w:w="80" w:type="dxa"/>
              <w:right w:w="120" w:type="dxa"/>
            </w:tcMar>
            <w:vAlign w:val="center"/>
          </w:tcPr>
          <w:p w14:paraId="7CF0FA26" w14:textId="77777777" w:rsidR="00490783" w:rsidRDefault="00000000">
            <w:pPr>
              <w:spacing w:after="0" w:line="240" w:lineRule="auto"/>
              <w:jc w:val="center"/>
            </w:pPr>
            <w:r>
              <w:rPr>
                <w:color w:val="000000"/>
                <w:sz w:val="16"/>
              </w:rPr>
              <w:t>Unavailable</w:t>
            </w:r>
          </w:p>
        </w:tc>
        <w:tc>
          <w:tcPr>
            <w:tcW w:w="4608" w:type="dxa"/>
            <w:tcMar>
              <w:top w:w="80" w:type="dxa"/>
              <w:left w:w="120" w:type="dxa"/>
              <w:bottom w:w="80" w:type="dxa"/>
              <w:right w:w="120" w:type="dxa"/>
            </w:tcMar>
            <w:vAlign w:val="center"/>
          </w:tcPr>
          <w:p w14:paraId="43B97313" w14:textId="77777777" w:rsidR="00490783" w:rsidRDefault="00000000">
            <w:pPr>
              <w:spacing w:after="0" w:line="240" w:lineRule="auto"/>
              <w:jc w:val="left"/>
            </w:pPr>
            <w:r>
              <w:rPr>
                <w:color w:val="000000"/>
                <w:sz w:val="16"/>
              </w:rPr>
              <w:t>No mapping was present in supplied materials.</w:t>
            </w:r>
          </w:p>
        </w:tc>
      </w:tr>
      <w:tr w:rsidR="00490783" w14:paraId="24C26960" w14:textId="77777777">
        <w:trPr>
          <w:cantSplit/>
        </w:trPr>
        <w:tc>
          <w:tcPr>
            <w:tcW w:w="3096" w:type="dxa"/>
            <w:tcMar>
              <w:top w:w="80" w:type="dxa"/>
              <w:left w:w="120" w:type="dxa"/>
              <w:bottom w:w="80" w:type="dxa"/>
              <w:right w:w="120" w:type="dxa"/>
            </w:tcMar>
            <w:vAlign w:val="center"/>
          </w:tcPr>
          <w:p w14:paraId="264A1107" w14:textId="77777777" w:rsidR="00490783" w:rsidRDefault="00000000">
            <w:pPr>
              <w:spacing w:after="0" w:line="240" w:lineRule="auto"/>
              <w:jc w:val="left"/>
            </w:pPr>
            <w:r>
              <w:rPr>
                <w:color w:val="000000"/>
                <w:sz w:val="16"/>
              </w:rPr>
              <w:t>Exact window count and overlap</w:t>
            </w:r>
          </w:p>
        </w:tc>
        <w:tc>
          <w:tcPr>
            <w:tcW w:w="1656" w:type="dxa"/>
            <w:tcMar>
              <w:top w:w="80" w:type="dxa"/>
              <w:left w:w="120" w:type="dxa"/>
              <w:bottom w:w="80" w:type="dxa"/>
              <w:right w:w="120" w:type="dxa"/>
            </w:tcMar>
            <w:vAlign w:val="center"/>
          </w:tcPr>
          <w:p w14:paraId="027BFBB5" w14:textId="77777777" w:rsidR="00490783" w:rsidRDefault="00000000">
            <w:pPr>
              <w:spacing w:after="0" w:line="240" w:lineRule="auto"/>
              <w:jc w:val="center"/>
            </w:pPr>
            <w:r>
              <w:rPr>
                <w:color w:val="000000"/>
                <w:sz w:val="16"/>
              </w:rPr>
              <w:t>Unavailable</w:t>
            </w:r>
          </w:p>
        </w:tc>
        <w:tc>
          <w:tcPr>
            <w:tcW w:w="4608" w:type="dxa"/>
            <w:tcMar>
              <w:top w:w="80" w:type="dxa"/>
              <w:left w:w="120" w:type="dxa"/>
              <w:bottom w:w="80" w:type="dxa"/>
              <w:right w:w="120" w:type="dxa"/>
            </w:tcMar>
            <w:vAlign w:val="center"/>
          </w:tcPr>
          <w:p w14:paraId="69741123" w14:textId="77777777" w:rsidR="00490783" w:rsidRDefault="00000000">
            <w:pPr>
              <w:spacing w:after="0" w:line="240" w:lineRule="auto"/>
              <w:jc w:val="left"/>
            </w:pPr>
            <w:r>
              <w:rPr>
                <w:color w:val="000000"/>
                <w:sz w:val="16"/>
              </w:rPr>
              <w:t>Not recoverable from retained tables and figures.</w:t>
            </w:r>
          </w:p>
        </w:tc>
      </w:tr>
      <w:tr w:rsidR="00490783" w14:paraId="6A818A41" w14:textId="77777777">
        <w:trPr>
          <w:cantSplit/>
        </w:trPr>
        <w:tc>
          <w:tcPr>
            <w:tcW w:w="3096" w:type="dxa"/>
            <w:tcMar>
              <w:top w:w="80" w:type="dxa"/>
              <w:left w:w="120" w:type="dxa"/>
              <w:bottom w:w="80" w:type="dxa"/>
              <w:right w:w="120" w:type="dxa"/>
            </w:tcMar>
            <w:vAlign w:val="center"/>
          </w:tcPr>
          <w:p w14:paraId="51514371" w14:textId="77777777" w:rsidR="00490783" w:rsidRDefault="00000000">
            <w:pPr>
              <w:spacing w:after="0" w:line="240" w:lineRule="auto"/>
              <w:jc w:val="left"/>
            </w:pPr>
            <w:r>
              <w:rPr>
                <w:color w:val="000000"/>
                <w:sz w:val="16"/>
              </w:rPr>
              <w:t>Fold-specific preprocessing objects</w:t>
            </w:r>
          </w:p>
        </w:tc>
        <w:tc>
          <w:tcPr>
            <w:tcW w:w="1656" w:type="dxa"/>
            <w:tcMar>
              <w:top w:w="80" w:type="dxa"/>
              <w:left w:w="120" w:type="dxa"/>
              <w:bottom w:w="80" w:type="dxa"/>
              <w:right w:w="120" w:type="dxa"/>
            </w:tcMar>
            <w:vAlign w:val="center"/>
          </w:tcPr>
          <w:p w14:paraId="35952F67" w14:textId="77777777" w:rsidR="00490783" w:rsidRDefault="00000000">
            <w:pPr>
              <w:spacing w:after="0" w:line="240" w:lineRule="auto"/>
              <w:jc w:val="center"/>
            </w:pPr>
            <w:r>
              <w:rPr>
                <w:color w:val="000000"/>
                <w:sz w:val="16"/>
              </w:rPr>
              <w:t>Unavailable</w:t>
            </w:r>
          </w:p>
        </w:tc>
        <w:tc>
          <w:tcPr>
            <w:tcW w:w="4608" w:type="dxa"/>
            <w:tcMar>
              <w:top w:w="80" w:type="dxa"/>
              <w:left w:w="120" w:type="dxa"/>
              <w:bottom w:w="80" w:type="dxa"/>
              <w:right w:w="120" w:type="dxa"/>
            </w:tcMar>
            <w:vAlign w:val="center"/>
          </w:tcPr>
          <w:p w14:paraId="374844BB" w14:textId="77777777" w:rsidR="00490783" w:rsidRDefault="00000000">
            <w:pPr>
              <w:spacing w:after="0" w:line="240" w:lineRule="auto"/>
              <w:jc w:val="left"/>
            </w:pPr>
            <w:r>
              <w:rPr>
                <w:color w:val="000000"/>
                <w:sz w:val="16"/>
              </w:rPr>
              <w:t>Required for leakage-safe reproduction.</w:t>
            </w:r>
          </w:p>
        </w:tc>
      </w:tr>
      <w:tr w:rsidR="00490783" w14:paraId="5887C57C" w14:textId="77777777">
        <w:trPr>
          <w:cantSplit/>
        </w:trPr>
        <w:tc>
          <w:tcPr>
            <w:tcW w:w="3096" w:type="dxa"/>
            <w:tcMar>
              <w:top w:w="80" w:type="dxa"/>
              <w:left w:w="120" w:type="dxa"/>
              <w:bottom w:w="80" w:type="dxa"/>
              <w:right w:w="120" w:type="dxa"/>
            </w:tcMar>
            <w:vAlign w:val="center"/>
          </w:tcPr>
          <w:p w14:paraId="06A1D508" w14:textId="77777777" w:rsidR="00490783" w:rsidRDefault="00000000">
            <w:pPr>
              <w:spacing w:after="0" w:line="240" w:lineRule="auto"/>
              <w:jc w:val="left"/>
            </w:pPr>
            <w:r>
              <w:rPr>
                <w:color w:val="000000"/>
                <w:sz w:val="16"/>
              </w:rPr>
              <w:t>Model hyperparameters and random seeds</w:t>
            </w:r>
          </w:p>
        </w:tc>
        <w:tc>
          <w:tcPr>
            <w:tcW w:w="1656" w:type="dxa"/>
            <w:tcMar>
              <w:top w:w="80" w:type="dxa"/>
              <w:left w:w="120" w:type="dxa"/>
              <w:bottom w:w="80" w:type="dxa"/>
              <w:right w:w="120" w:type="dxa"/>
            </w:tcMar>
            <w:vAlign w:val="center"/>
          </w:tcPr>
          <w:p w14:paraId="09763939" w14:textId="77777777" w:rsidR="00490783" w:rsidRDefault="00000000">
            <w:pPr>
              <w:spacing w:after="0" w:line="240" w:lineRule="auto"/>
              <w:jc w:val="center"/>
            </w:pPr>
            <w:r>
              <w:rPr>
                <w:color w:val="000000"/>
                <w:sz w:val="16"/>
              </w:rPr>
              <w:t>Unavailable</w:t>
            </w:r>
          </w:p>
        </w:tc>
        <w:tc>
          <w:tcPr>
            <w:tcW w:w="4608" w:type="dxa"/>
            <w:tcMar>
              <w:top w:w="80" w:type="dxa"/>
              <w:left w:w="120" w:type="dxa"/>
              <w:bottom w:w="80" w:type="dxa"/>
              <w:right w:w="120" w:type="dxa"/>
            </w:tcMar>
            <w:vAlign w:val="center"/>
          </w:tcPr>
          <w:p w14:paraId="177E04B8" w14:textId="77777777" w:rsidR="00490783" w:rsidRDefault="00000000">
            <w:pPr>
              <w:spacing w:after="0" w:line="240" w:lineRule="auto"/>
              <w:jc w:val="left"/>
            </w:pPr>
            <w:r>
              <w:rPr>
                <w:color w:val="000000"/>
                <w:sz w:val="16"/>
              </w:rPr>
              <w:t>Candidate model comparison is descriptive.</w:t>
            </w:r>
          </w:p>
        </w:tc>
      </w:tr>
      <w:tr w:rsidR="00490783" w14:paraId="01FD835E" w14:textId="77777777">
        <w:trPr>
          <w:cantSplit/>
        </w:trPr>
        <w:tc>
          <w:tcPr>
            <w:tcW w:w="3096" w:type="dxa"/>
            <w:tcMar>
              <w:top w:w="80" w:type="dxa"/>
              <w:left w:w="120" w:type="dxa"/>
              <w:bottom w:w="80" w:type="dxa"/>
              <w:right w:w="120" w:type="dxa"/>
            </w:tcMar>
            <w:vAlign w:val="center"/>
          </w:tcPr>
          <w:p w14:paraId="6BAFFA30" w14:textId="77777777" w:rsidR="00490783" w:rsidRDefault="00000000">
            <w:pPr>
              <w:spacing w:after="0" w:line="240" w:lineRule="auto"/>
              <w:jc w:val="left"/>
            </w:pPr>
            <w:r>
              <w:rPr>
                <w:color w:val="000000"/>
                <w:sz w:val="16"/>
              </w:rPr>
              <w:t>Machine-readable LOSO fold results</w:t>
            </w:r>
          </w:p>
        </w:tc>
        <w:tc>
          <w:tcPr>
            <w:tcW w:w="1656" w:type="dxa"/>
            <w:tcMar>
              <w:top w:w="80" w:type="dxa"/>
              <w:left w:w="120" w:type="dxa"/>
              <w:bottom w:w="80" w:type="dxa"/>
              <w:right w:w="120" w:type="dxa"/>
            </w:tcMar>
            <w:vAlign w:val="center"/>
          </w:tcPr>
          <w:p w14:paraId="591E02F7" w14:textId="77777777" w:rsidR="00490783" w:rsidRDefault="00000000">
            <w:pPr>
              <w:spacing w:after="0" w:line="240" w:lineRule="auto"/>
              <w:jc w:val="center"/>
            </w:pPr>
            <w:r>
              <w:rPr>
                <w:color w:val="000000"/>
                <w:sz w:val="16"/>
              </w:rPr>
              <w:t>Unavailable</w:t>
            </w:r>
          </w:p>
        </w:tc>
        <w:tc>
          <w:tcPr>
            <w:tcW w:w="4608" w:type="dxa"/>
            <w:tcMar>
              <w:top w:w="80" w:type="dxa"/>
              <w:left w:w="120" w:type="dxa"/>
              <w:bottom w:w="80" w:type="dxa"/>
              <w:right w:w="120" w:type="dxa"/>
            </w:tcMar>
            <w:vAlign w:val="center"/>
          </w:tcPr>
          <w:p w14:paraId="6F649D90" w14:textId="77777777" w:rsidR="00490783" w:rsidRDefault="00000000">
            <w:pPr>
              <w:spacing w:after="0" w:line="240" w:lineRule="auto"/>
              <w:jc w:val="left"/>
            </w:pPr>
            <w:r>
              <w:rPr>
                <w:color w:val="000000"/>
                <w:sz w:val="16"/>
              </w:rPr>
              <w:t>Fold range recovered approximately from a figure.</w:t>
            </w:r>
          </w:p>
        </w:tc>
      </w:tr>
      <w:tr w:rsidR="00490783" w14:paraId="1E0A6042" w14:textId="77777777">
        <w:trPr>
          <w:cantSplit/>
        </w:trPr>
        <w:tc>
          <w:tcPr>
            <w:tcW w:w="3096" w:type="dxa"/>
            <w:tcMar>
              <w:top w:w="80" w:type="dxa"/>
              <w:left w:w="120" w:type="dxa"/>
              <w:bottom w:w="80" w:type="dxa"/>
              <w:right w:w="120" w:type="dxa"/>
            </w:tcMar>
            <w:vAlign w:val="center"/>
          </w:tcPr>
          <w:p w14:paraId="75A56FE8" w14:textId="77777777" w:rsidR="00490783" w:rsidRDefault="00000000">
            <w:pPr>
              <w:spacing w:after="0" w:line="240" w:lineRule="auto"/>
              <w:jc w:val="left"/>
            </w:pPr>
            <w:r>
              <w:rPr>
                <w:color w:val="000000"/>
                <w:sz w:val="16"/>
              </w:rPr>
              <w:t>Confidence intervals and calibration</w:t>
            </w:r>
          </w:p>
        </w:tc>
        <w:tc>
          <w:tcPr>
            <w:tcW w:w="1656" w:type="dxa"/>
            <w:tcMar>
              <w:top w:w="80" w:type="dxa"/>
              <w:left w:w="120" w:type="dxa"/>
              <w:bottom w:w="80" w:type="dxa"/>
              <w:right w:w="120" w:type="dxa"/>
            </w:tcMar>
            <w:vAlign w:val="center"/>
          </w:tcPr>
          <w:p w14:paraId="66C3116A" w14:textId="77777777" w:rsidR="00490783" w:rsidRDefault="00000000">
            <w:pPr>
              <w:spacing w:after="0" w:line="240" w:lineRule="auto"/>
              <w:jc w:val="center"/>
            </w:pPr>
            <w:r>
              <w:rPr>
                <w:color w:val="000000"/>
                <w:sz w:val="16"/>
              </w:rPr>
              <w:t>Unavailable</w:t>
            </w:r>
          </w:p>
        </w:tc>
        <w:tc>
          <w:tcPr>
            <w:tcW w:w="4608" w:type="dxa"/>
            <w:tcMar>
              <w:top w:w="80" w:type="dxa"/>
              <w:left w:w="120" w:type="dxa"/>
              <w:bottom w:w="80" w:type="dxa"/>
              <w:right w:w="120" w:type="dxa"/>
            </w:tcMar>
            <w:vAlign w:val="center"/>
          </w:tcPr>
          <w:p w14:paraId="64800345" w14:textId="77777777" w:rsidR="00490783" w:rsidRDefault="00000000">
            <w:pPr>
              <w:spacing w:after="0" w:line="240" w:lineRule="auto"/>
              <w:jc w:val="left"/>
            </w:pPr>
            <w:r>
              <w:rPr>
                <w:color w:val="000000"/>
                <w:sz w:val="16"/>
              </w:rPr>
              <w:t>No inferential or calibration claims are made.</w:t>
            </w:r>
          </w:p>
        </w:tc>
      </w:tr>
      <w:tr w:rsidR="00490783" w14:paraId="64D8C607" w14:textId="77777777">
        <w:trPr>
          <w:cantSplit/>
        </w:trPr>
        <w:tc>
          <w:tcPr>
            <w:tcW w:w="3096" w:type="dxa"/>
            <w:tcMar>
              <w:top w:w="80" w:type="dxa"/>
              <w:left w:w="120" w:type="dxa"/>
              <w:bottom w:w="80" w:type="dxa"/>
              <w:right w:w="120" w:type="dxa"/>
            </w:tcMar>
            <w:vAlign w:val="center"/>
          </w:tcPr>
          <w:p w14:paraId="0F1B96ED" w14:textId="77777777" w:rsidR="00490783" w:rsidRDefault="00000000">
            <w:pPr>
              <w:spacing w:after="0" w:line="240" w:lineRule="auto"/>
              <w:jc w:val="left"/>
            </w:pPr>
            <w:r>
              <w:rPr>
                <w:color w:val="000000"/>
                <w:sz w:val="16"/>
              </w:rPr>
              <w:t>Secondary executable analysis code</w:t>
            </w:r>
          </w:p>
        </w:tc>
        <w:tc>
          <w:tcPr>
            <w:tcW w:w="1656" w:type="dxa"/>
            <w:tcMar>
              <w:top w:w="80" w:type="dxa"/>
              <w:left w:w="120" w:type="dxa"/>
              <w:bottom w:w="80" w:type="dxa"/>
              <w:right w:w="120" w:type="dxa"/>
            </w:tcMar>
            <w:vAlign w:val="center"/>
          </w:tcPr>
          <w:p w14:paraId="3079B87F" w14:textId="77777777" w:rsidR="00490783" w:rsidRDefault="00000000">
            <w:pPr>
              <w:spacing w:after="0" w:line="240" w:lineRule="auto"/>
              <w:jc w:val="center"/>
            </w:pPr>
            <w:r>
              <w:rPr>
                <w:color w:val="000000"/>
                <w:sz w:val="16"/>
              </w:rPr>
              <w:t>Unavailable</w:t>
            </w:r>
          </w:p>
        </w:tc>
        <w:tc>
          <w:tcPr>
            <w:tcW w:w="4608" w:type="dxa"/>
            <w:tcMar>
              <w:top w:w="80" w:type="dxa"/>
              <w:left w:w="120" w:type="dxa"/>
              <w:bottom w:w="80" w:type="dxa"/>
              <w:right w:w="120" w:type="dxa"/>
            </w:tcMar>
            <w:vAlign w:val="center"/>
          </w:tcPr>
          <w:p w14:paraId="48A7B508" w14:textId="77777777" w:rsidR="00490783" w:rsidRDefault="00000000">
            <w:pPr>
              <w:spacing w:after="0" w:line="240" w:lineRule="auto"/>
              <w:jc w:val="left"/>
            </w:pPr>
            <w:r>
              <w:rPr>
                <w:color w:val="000000"/>
                <w:sz w:val="16"/>
              </w:rPr>
              <w:t>Source-study code exists; secondary pipeline was not archived.</w:t>
            </w:r>
          </w:p>
        </w:tc>
      </w:tr>
    </w:tbl>
    <w:p w14:paraId="6B31D760" w14:textId="2F57904F" w:rsidR="00490783" w:rsidRDefault="00490783">
      <w:pPr>
        <w:pStyle w:val="ResimYazs"/>
      </w:pPr>
    </w:p>
    <w:sectPr w:rsidR="00490783">
      <w:footerReference w:type="default" r:id="rId1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1E5E0" w14:textId="77777777" w:rsidR="00A571F0" w:rsidRDefault="00A571F0">
      <w:pPr>
        <w:spacing w:after="0" w:line="240" w:lineRule="auto"/>
      </w:pPr>
      <w:r>
        <w:separator/>
      </w:r>
    </w:p>
  </w:endnote>
  <w:endnote w:type="continuationSeparator" w:id="0">
    <w:p w14:paraId="36C8F7C8" w14:textId="77777777" w:rsidR="00A571F0" w:rsidRDefault="00A57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BBBD" w14:textId="77777777" w:rsidR="00490783" w:rsidRDefault="00000000">
    <w:pPr>
      <w:pStyle w:val="AltBilgi"/>
      <w:jc w:val="center"/>
    </w:pPr>
    <w:r>
      <w:fldChar w:fldCharType="begin"/>
    </w:r>
    <w:r>
      <w:instrText xml:space="preserve"> PAGE </w:instrText>
    </w:r>
    <w:r w:rsidR="00C80B80">
      <w:fldChar w:fldCharType="separate"/>
    </w:r>
    <w:r w:rsidR="00C80B8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56FD3" w14:textId="77777777" w:rsidR="00A571F0" w:rsidRDefault="00A571F0">
      <w:pPr>
        <w:spacing w:after="0" w:line="240" w:lineRule="auto"/>
      </w:pPr>
      <w:r>
        <w:separator/>
      </w:r>
    </w:p>
  </w:footnote>
  <w:footnote w:type="continuationSeparator" w:id="0">
    <w:p w14:paraId="4129F1EE" w14:textId="77777777" w:rsidR="00A571F0" w:rsidRDefault="00A571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2070298945">
    <w:abstractNumId w:val="8"/>
  </w:num>
  <w:num w:numId="2" w16cid:durableId="1129395042">
    <w:abstractNumId w:val="6"/>
  </w:num>
  <w:num w:numId="3" w16cid:durableId="532887577">
    <w:abstractNumId w:val="5"/>
  </w:num>
  <w:num w:numId="4" w16cid:durableId="779957344">
    <w:abstractNumId w:val="4"/>
  </w:num>
  <w:num w:numId="5" w16cid:durableId="1365866567">
    <w:abstractNumId w:val="7"/>
  </w:num>
  <w:num w:numId="6" w16cid:durableId="2026127435">
    <w:abstractNumId w:val="3"/>
  </w:num>
  <w:num w:numId="7" w16cid:durableId="119079473">
    <w:abstractNumId w:val="2"/>
  </w:num>
  <w:num w:numId="8" w16cid:durableId="1072192607">
    <w:abstractNumId w:val="1"/>
  </w:num>
  <w:num w:numId="9" w16cid:durableId="1840264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90783"/>
    <w:rsid w:val="00A571F0"/>
    <w:rsid w:val="00AA1D8D"/>
    <w:rsid w:val="00AF607B"/>
    <w:rsid w:val="00B47730"/>
    <w:rsid w:val="00C80B8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E3F51A"/>
  <w14:defaultImageDpi w14:val="300"/>
  <w15:docId w15:val="{75DF0912-0A5F-4683-8B67-AD3659A60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line="320" w:lineRule="auto"/>
      <w:jc w:val="both"/>
    </w:pPr>
    <w:rPr>
      <w:rFonts w:ascii="Times New Roman" w:eastAsia="Times New Roman" w:hAnsi="Times New Roman"/>
    </w:rPr>
  </w:style>
  <w:style w:type="paragraph" w:styleId="Balk1">
    <w:name w:val="heading 1"/>
    <w:basedOn w:val="Normal"/>
    <w:next w:val="Normal"/>
    <w:link w:val="Balk1Char"/>
    <w:uiPriority w:val="9"/>
    <w:qFormat/>
    <w:rsid w:val="00FC693F"/>
    <w:pPr>
      <w:keepNext/>
      <w:keepLines/>
      <w:spacing w:before="320"/>
      <w:outlineLvl w:val="0"/>
    </w:pPr>
    <w:rPr>
      <w:rFonts w:asciiTheme="majorHAnsi" w:eastAsiaTheme="majorEastAsia" w:hAnsiTheme="majorHAnsi" w:cstheme="majorBidi"/>
      <w:b/>
      <w:bCs/>
      <w:color w:val="000000"/>
      <w:sz w:val="28"/>
      <w:szCs w:val="28"/>
    </w:rPr>
  </w:style>
  <w:style w:type="paragraph" w:styleId="Balk2">
    <w:name w:val="heading 2"/>
    <w:basedOn w:val="Normal"/>
    <w:next w:val="Normal"/>
    <w:link w:val="Balk2Char"/>
    <w:uiPriority w:val="9"/>
    <w:unhideWhenUsed/>
    <w:qFormat/>
    <w:rsid w:val="00FC693F"/>
    <w:pPr>
      <w:keepNext/>
      <w:keepLines/>
      <w:spacing w:before="240" w:after="120"/>
      <w:outlineLvl w:val="1"/>
    </w:pPr>
    <w:rPr>
      <w:rFonts w:asciiTheme="majorHAnsi" w:eastAsiaTheme="majorEastAsia" w:hAnsiTheme="majorHAnsi" w:cstheme="majorBidi"/>
      <w:b/>
      <w:bCs/>
      <w:color w:val="000000"/>
      <w:sz w:val="24"/>
      <w:szCs w:val="26"/>
    </w:rPr>
  </w:style>
  <w:style w:type="paragraph" w:styleId="Balk3">
    <w:name w:val="heading 3"/>
    <w:basedOn w:val="Normal"/>
    <w:next w:val="Normal"/>
    <w:link w:val="Balk3Char"/>
    <w:uiPriority w:val="9"/>
    <w:unhideWhenUsed/>
    <w:qFormat/>
    <w:rsid w:val="00FC693F"/>
    <w:pPr>
      <w:keepNext/>
      <w:keepLines/>
      <w:spacing w:before="160" w:after="80"/>
      <w:outlineLvl w:val="2"/>
    </w:pPr>
    <w:rPr>
      <w:rFonts w:asciiTheme="majorHAnsi" w:eastAsiaTheme="majorEastAsia" w:hAnsiTheme="majorHAnsi" w:cstheme="majorBidi"/>
      <w:b/>
      <w:bCs/>
      <w:color w:val="000000"/>
      <w:sz w:val="24"/>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keepNext/>
      <w:spacing w:after="200" w:line="240" w:lineRule="auto"/>
      <w:contextualSpacing/>
    </w:pPr>
    <w:rPr>
      <w:rFonts w:asciiTheme="majorHAnsi" w:eastAsiaTheme="majorEastAsia" w:hAnsiTheme="majorHAnsi" w:cstheme="majorBidi"/>
      <w:b/>
      <w:color w:val="000000"/>
      <w:spacing w:val="5"/>
      <w:kern w:val="28"/>
      <w:sz w:val="3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keepNext/>
      <w:numPr>
        <w:ilvl w:val="1"/>
      </w:numPr>
    </w:pPr>
    <w:rPr>
      <w:rFonts w:asciiTheme="majorHAnsi" w:eastAsiaTheme="majorEastAsia" w:hAnsiTheme="majorHAnsi" w:cstheme="majorBidi"/>
      <w:iCs/>
      <w:color w:val="000000"/>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before="80" w:line="240" w:lineRule="auto"/>
    </w:pPr>
    <w:rPr>
      <w:bCs/>
      <w:color w:val="000000"/>
      <w:sz w:val="20"/>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Validation design changes wearable stress-state classification performance in hospital nurses</dc:title>
  <dc:subject>Article submission package for Scientific Reports</dc:subject>
  <dc:creator/>
  <cp:keywords>wearable sensors; stress classification; machine learning; model validation; electrodermal activity; explainable artificial intelligence</cp:keywords>
  <dc:description/>
  <cp:lastModifiedBy>Gözde Özsezer</cp:lastModifiedBy>
  <cp:revision>2</cp:revision>
  <dcterms:created xsi:type="dcterms:W3CDTF">2013-12-23T23:15:00Z</dcterms:created>
  <dcterms:modified xsi:type="dcterms:W3CDTF">2026-07-30T10:05:00Z</dcterms:modified>
  <cp:category/>
</cp:coreProperties>
</file>