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spacing w:before="0" w:beforeAutospacing="0" w:after="0" w:afterAutospacing="0" w:line="360" w:lineRule="auto"/>
        <w:ind w:firstLine="240" w:firstLineChars="100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Table 1 General Information of the Research Subjects (n=1616)</w:t>
      </w:r>
    </w:p>
    <w:tbl>
      <w:tblPr>
        <w:tblStyle w:val="14"/>
        <w:tblW w:w="7513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468"/>
        <w:gridCol w:w="1076"/>
        <w:gridCol w:w="1701"/>
      </w:tblGrid>
      <w:tr>
        <w:trPr>
          <w:trHeight w:val="320" w:hRule="atLeast"/>
          <w:jc w:val="center"/>
        </w:trPr>
        <w:tc>
          <w:tcPr>
            <w:tcW w:w="2268" w:type="dxa"/>
            <w:tcBorders>
              <w:top w:val="single" w:color="auto" w:sz="12" w:space="0"/>
              <w:bottom w:val="single" w:color="auto" w:sz="12" w:space="0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Item</w:t>
            </w:r>
          </w:p>
        </w:tc>
        <w:tc>
          <w:tcPr>
            <w:tcW w:w="2468" w:type="dxa"/>
            <w:tcBorders>
              <w:top w:val="single" w:color="auto" w:sz="12" w:space="0"/>
              <w:bottom w:val="single" w:color="auto" w:sz="12" w:space="0"/>
            </w:tcBorders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76" w:type="dxa"/>
            <w:tcBorders>
              <w:top w:val="single" w:color="auto" w:sz="12" w:space="0"/>
              <w:bottom w:val="single" w:color="auto" w:sz="12" w:space="0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</w:t>
            </w:r>
          </w:p>
        </w:tc>
        <w:tc>
          <w:tcPr>
            <w:tcW w:w="1701" w:type="dxa"/>
            <w:tcBorders>
              <w:top w:val="single" w:color="auto" w:sz="12" w:space="0"/>
              <w:bottom w:val="single" w:color="auto" w:sz="12" w:space="0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Scoring rate/%</w:t>
            </w:r>
          </w:p>
        </w:tc>
      </w:tr>
      <w:tr>
        <w:trPr>
          <w:trHeight w:val="321" w:hRule="atLeast"/>
          <w:jc w:val="center"/>
        </w:trPr>
        <w:tc>
          <w:tcPr>
            <w:tcW w:w="2268" w:type="dxa"/>
            <w:vMerge w:val="restart"/>
            <w:tcBorders>
              <w:top w:val="single" w:color="auto" w:sz="12" w:space="0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222222"/>
                <w:sz w:val="21"/>
                <w:szCs w:val="21"/>
                <w:shd w:val="clear" w:color="auto" w:fill="FFFFFF"/>
              </w:rPr>
              <w:t>Genders</w:t>
            </w:r>
          </w:p>
        </w:tc>
        <w:tc>
          <w:tcPr>
            <w:tcW w:w="2468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222222"/>
                <w:sz w:val="21"/>
                <w:szCs w:val="21"/>
                <w:shd w:val="clear" w:color="auto" w:fill="FFFFFF"/>
              </w:rPr>
              <w:t>Male</w:t>
            </w:r>
          </w:p>
        </w:tc>
        <w:tc>
          <w:tcPr>
            <w:tcW w:w="1076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64</w:t>
            </w:r>
          </w:p>
        </w:tc>
        <w:tc>
          <w:tcPr>
            <w:tcW w:w="1701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</w:tr>
      <w:tr>
        <w:trPr>
          <w:trHeight w:val="320" w:hRule="atLeast"/>
          <w:jc w:val="center"/>
        </w:trPr>
        <w:tc>
          <w:tcPr>
            <w:tcW w:w="2268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468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222222"/>
                <w:sz w:val="21"/>
                <w:szCs w:val="21"/>
                <w:shd w:val="clear" w:color="auto" w:fill="FFFFFF"/>
              </w:rPr>
              <w:t>Female</w:t>
            </w:r>
          </w:p>
        </w:tc>
        <w:tc>
          <w:tcPr>
            <w:tcW w:w="1076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1552</w:t>
            </w:r>
          </w:p>
        </w:tc>
        <w:tc>
          <w:tcPr>
            <w:tcW w:w="1701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96</w:t>
            </w:r>
          </w:p>
        </w:tc>
      </w:tr>
      <w:tr>
        <w:trPr>
          <w:trHeight w:val="320" w:hRule="atLeast"/>
          <w:jc w:val="center"/>
        </w:trPr>
        <w:tc>
          <w:tcPr>
            <w:tcW w:w="2268" w:type="dxa"/>
            <w:vMerge w:val="restart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222222"/>
                <w:sz w:val="21"/>
                <w:szCs w:val="21"/>
                <w:shd w:val="clear" w:color="auto" w:fill="FFFFFF"/>
              </w:rPr>
              <w:t>Age</w:t>
            </w:r>
            <w:r>
              <w:rPr>
                <w:rStyle w:val="35"/>
                <w:rFonts w:ascii="Times New Roman" w:hAnsi="Times New Roman" w:cs="Times New Roman"/>
                <w:color w:val="222222"/>
                <w:sz w:val="21"/>
                <w:szCs w:val="21"/>
                <w:shd w:val="clear" w:color="auto" w:fill="FFFFFF"/>
              </w:rPr>
              <w:t>  </w:t>
            </w:r>
            <w:r>
              <w:rPr>
                <w:rFonts w:ascii="Times New Roman" w:hAnsi="Times New Roman" w:cs="Times New Roman"/>
                <w:color w:val="222222"/>
                <w:sz w:val="21"/>
                <w:szCs w:val="21"/>
                <w:shd w:val="clear" w:color="auto" w:fill="FFFFFF"/>
              </w:rPr>
              <w:t>(year)</w:t>
            </w:r>
          </w:p>
        </w:tc>
        <w:tc>
          <w:tcPr>
            <w:tcW w:w="2468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20-30</w:t>
            </w:r>
          </w:p>
        </w:tc>
        <w:tc>
          <w:tcPr>
            <w:tcW w:w="1076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492</w:t>
            </w:r>
          </w:p>
        </w:tc>
        <w:tc>
          <w:tcPr>
            <w:tcW w:w="1701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30.4</w:t>
            </w:r>
          </w:p>
        </w:tc>
      </w:tr>
      <w:tr>
        <w:trPr>
          <w:trHeight w:val="320" w:hRule="atLeast"/>
          <w:jc w:val="center"/>
        </w:trPr>
        <w:tc>
          <w:tcPr>
            <w:tcW w:w="2268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468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30-40</w:t>
            </w:r>
          </w:p>
        </w:tc>
        <w:tc>
          <w:tcPr>
            <w:tcW w:w="1076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720</w:t>
            </w:r>
          </w:p>
        </w:tc>
        <w:tc>
          <w:tcPr>
            <w:tcW w:w="1701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44.6</w:t>
            </w:r>
          </w:p>
        </w:tc>
      </w:tr>
      <w:tr>
        <w:trPr>
          <w:trHeight w:val="320" w:hRule="atLeast"/>
          <w:jc w:val="center"/>
        </w:trPr>
        <w:tc>
          <w:tcPr>
            <w:tcW w:w="2268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468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40-50</w:t>
            </w:r>
          </w:p>
        </w:tc>
        <w:tc>
          <w:tcPr>
            <w:tcW w:w="1076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338</w:t>
            </w:r>
          </w:p>
        </w:tc>
        <w:tc>
          <w:tcPr>
            <w:tcW w:w="1701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20.9</w:t>
            </w:r>
          </w:p>
        </w:tc>
      </w:tr>
      <w:tr>
        <w:trPr>
          <w:trHeight w:val="320" w:hRule="atLeast"/>
          <w:jc w:val="center"/>
        </w:trPr>
        <w:tc>
          <w:tcPr>
            <w:tcW w:w="2268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468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&gt;50</w:t>
            </w:r>
          </w:p>
        </w:tc>
        <w:tc>
          <w:tcPr>
            <w:tcW w:w="1076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66</w:t>
            </w:r>
          </w:p>
        </w:tc>
        <w:tc>
          <w:tcPr>
            <w:tcW w:w="1701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4.1</w:t>
            </w:r>
          </w:p>
        </w:tc>
      </w:tr>
      <w:tr>
        <w:trPr>
          <w:trHeight w:val="320" w:hRule="atLeast"/>
          <w:jc w:val="center"/>
        </w:trPr>
        <w:tc>
          <w:tcPr>
            <w:tcW w:w="2268" w:type="dxa"/>
            <w:vMerge w:val="restart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Degrees</w:t>
            </w:r>
          </w:p>
        </w:tc>
        <w:tc>
          <w:tcPr>
            <w:tcW w:w="2468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Below bachelor’s degree</w:t>
            </w:r>
          </w:p>
        </w:tc>
        <w:tc>
          <w:tcPr>
            <w:tcW w:w="1076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215</w:t>
            </w:r>
          </w:p>
        </w:tc>
        <w:tc>
          <w:tcPr>
            <w:tcW w:w="1701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12.3</w:t>
            </w:r>
          </w:p>
        </w:tc>
      </w:tr>
      <w:tr>
        <w:trPr>
          <w:trHeight w:val="320" w:hRule="atLeast"/>
          <w:jc w:val="center"/>
        </w:trPr>
        <w:tc>
          <w:tcPr>
            <w:tcW w:w="2268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468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Bachelor’s degree or above</w:t>
            </w:r>
          </w:p>
        </w:tc>
        <w:tc>
          <w:tcPr>
            <w:tcW w:w="1076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1401</w:t>
            </w:r>
          </w:p>
        </w:tc>
        <w:tc>
          <w:tcPr>
            <w:tcW w:w="1701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86.7</w:t>
            </w:r>
          </w:p>
        </w:tc>
      </w:tr>
      <w:tr>
        <w:trPr>
          <w:trHeight w:val="320" w:hRule="atLeast"/>
          <w:jc w:val="center"/>
        </w:trPr>
        <w:tc>
          <w:tcPr>
            <w:tcW w:w="2268" w:type="dxa"/>
            <w:vMerge w:val="restart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Professional title</w:t>
            </w:r>
          </w:p>
        </w:tc>
        <w:tc>
          <w:tcPr>
            <w:tcW w:w="2468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Nurse</w:t>
            </w:r>
          </w:p>
        </w:tc>
        <w:tc>
          <w:tcPr>
            <w:tcW w:w="1076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250</w:t>
            </w:r>
          </w:p>
        </w:tc>
        <w:tc>
          <w:tcPr>
            <w:tcW w:w="1701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15.5</w:t>
            </w:r>
          </w:p>
        </w:tc>
      </w:tr>
      <w:tr>
        <w:trPr>
          <w:trHeight w:val="320" w:hRule="atLeast"/>
          <w:jc w:val="center"/>
        </w:trPr>
        <w:tc>
          <w:tcPr>
            <w:tcW w:w="2268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468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Staff Nurse</w:t>
            </w:r>
          </w:p>
        </w:tc>
        <w:tc>
          <w:tcPr>
            <w:tcW w:w="1076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458</w:t>
            </w:r>
          </w:p>
        </w:tc>
        <w:tc>
          <w:tcPr>
            <w:tcW w:w="1701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28.3</w:t>
            </w:r>
          </w:p>
        </w:tc>
      </w:tr>
      <w:tr>
        <w:trPr>
          <w:trHeight w:val="320" w:hRule="atLeast"/>
          <w:jc w:val="center"/>
        </w:trPr>
        <w:tc>
          <w:tcPr>
            <w:tcW w:w="2268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468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>Charge Nurse</w:t>
            </w:r>
          </w:p>
        </w:tc>
        <w:tc>
          <w:tcPr>
            <w:tcW w:w="1076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706</w:t>
            </w:r>
          </w:p>
        </w:tc>
        <w:tc>
          <w:tcPr>
            <w:tcW w:w="1701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43.7</w:t>
            </w:r>
          </w:p>
        </w:tc>
      </w:tr>
      <w:tr>
        <w:trPr>
          <w:trHeight w:val="320" w:hRule="atLeast"/>
          <w:jc w:val="center"/>
        </w:trPr>
        <w:tc>
          <w:tcPr>
            <w:tcW w:w="2268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468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>Associate Chief Nurse or Chief Nurse</w:t>
            </w:r>
          </w:p>
        </w:tc>
        <w:tc>
          <w:tcPr>
            <w:tcW w:w="1076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</w:t>
            </w:r>
          </w:p>
        </w:tc>
        <w:tc>
          <w:tcPr>
            <w:tcW w:w="1701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12.5</w:t>
            </w:r>
          </w:p>
        </w:tc>
      </w:tr>
      <w:tr>
        <w:trPr>
          <w:trHeight w:val="320" w:hRule="atLeast"/>
          <w:jc w:val="center"/>
        </w:trPr>
        <w:tc>
          <w:tcPr>
            <w:tcW w:w="2268" w:type="dxa"/>
            <w:vMerge w:val="restart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222222"/>
                <w:sz w:val="21"/>
                <w:szCs w:val="21"/>
                <w:shd w:val="clear" w:color="auto" w:fill="FFFFFF"/>
              </w:rPr>
              <w:t>Grade of hospital</w:t>
            </w:r>
          </w:p>
        </w:tc>
        <w:tc>
          <w:tcPr>
            <w:tcW w:w="2468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222222"/>
                <w:sz w:val="21"/>
                <w:szCs w:val="21"/>
                <w:shd w:val="clear" w:color="auto" w:fill="FFFFFF"/>
              </w:rPr>
              <w:t>Grade 3 hospital</w:t>
            </w:r>
          </w:p>
        </w:tc>
        <w:tc>
          <w:tcPr>
            <w:tcW w:w="1076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979</w:t>
            </w:r>
          </w:p>
        </w:tc>
        <w:tc>
          <w:tcPr>
            <w:tcW w:w="1701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60.6</w:t>
            </w:r>
          </w:p>
        </w:tc>
      </w:tr>
      <w:tr>
        <w:trPr>
          <w:trHeight w:val="320" w:hRule="atLeast"/>
          <w:jc w:val="center"/>
        </w:trPr>
        <w:tc>
          <w:tcPr>
            <w:tcW w:w="2268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468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222222"/>
                <w:sz w:val="21"/>
                <w:szCs w:val="21"/>
                <w:shd w:val="clear" w:color="auto" w:fill="FFFFFF"/>
              </w:rPr>
              <w:t>Grade 2 hospital</w:t>
            </w:r>
          </w:p>
        </w:tc>
        <w:tc>
          <w:tcPr>
            <w:tcW w:w="1076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637</w:t>
            </w:r>
          </w:p>
        </w:tc>
        <w:tc>
          <w:tcPr>
            <w:tcW w:w="1701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39.4</w:t>
            </w:r>
          </w:p>
        </w:tc>
      </w:tr>
      <w:tr>
        <w:trPr>
          <w:trHeight w:val="320" w:hRule="atLeast"/>
          <w:jc w:val="center"/>
        </w:trPr>
        <w:tc>
          <w:tcPr>
            <w:tcW w:w="2268" w:type="dxa"/>
            <w:vMerge w:val="restart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Project participation experience</w:t>
            </w:r>
          </w:p>
        </w:tc>
        <w:tc>
          <w:tcPr>
            <w:tcW w:w="2468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222222"/>
                <w:sz w:val="21"/>
                <w:szCs w:val="21"/>
                <w:shd w:val="clear" w:color="auto" w:fill="FFFFFF"/>
              </w:rPr>
              <w:t>Yes</w:t>
            </w:r>
          </w:p>
        </w:tc>
        <w:tc>
          <w:tcPr>
            <w:tcW w:w="1076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454</w:t>
            </w:r>
          </w:p>
        </w:tc>
        <w:tc>
          <w:tcPr>
            <w:tcW w:w="1701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28.1</w:t>
            </w:r>
          </w:p>
        </w:tc>
      </w:tr>
      <w:tr>
        <w:trPr>
          <w:trHeight w:val="320" w:hRule="atLeast"/>
          <w:jc w:val="center"/>
        </w:trPr>
        <w:tc>
          <w:tcPr>
            <w:tcW w:w="2268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468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222222"/>
                <w:sz w:val="21"/>
                <w:szCs w:val="21"/>
                <w:shd w:val="clear" w:color="auto" w:fill="FFFFFF"/>
              </w:rPr>
              <w:t>No</w:t>
            </w:r>
          </w:p>
        </w:tc>
        <w:tc>
          <w:tcPr>
            <w:tcW w:w="1076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1162</w:t>
            </w:r>
          </w:p>
        </w:tc>
        <w:tc>
          <w:tcPr>
            <w:tcW w:w="1701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71.9</w:t>
            </w:r>
          </w:p>
        </w:tc>
      </w:tr>
      <w:tr>
        <w:trPr>
          <w:trHeight w:val="320" w:hRule="atLeast"/>
          <w:jc w:val="center"/>
        </w:trPr>
        <w:tc>
          <w:tcPr>
            <w:tcW w:w="2268" w:type="dxa"/>
            <w:vMerge w:val="restart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Publication experience</w:t>
            </w:r>
          </w:p>
        </w:tc>
        <w:tc>
          <w:tcPr>
            <w:tcW w:w="2468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222222"/>
                <w:sz w:val="21"/>
                <w:szCs w:val="21"/>
                <w:shd w:val="clear" w:color="auto" w:fill="FFFFFF"/>
              </w:rPr>
              <w:t>Yes</w:t>
            </w:r>
          </w:p>
        </w:tc>
        <w:tc>
          <w:tcPr>
            <w:tcW w:w="1076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652</w:t>
            </w:r>
          </w:p>
        </w:tc>
        <w:tc>
          <w:tcPr>
            <w:tcW w:w="1701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40.3</w:t>
            </w:r>
          </w:p>
        </w:tc>
      </w:tr>
      <w:tr>
        <w:trPr>
          <w:trHeight w:val="320" w:hRule="atLeast"/>
          <w:jc w:val="center"/>
        </w:trPr>
        <w:tc>
          <w:tcPr>
            <w:tcW w:w="2268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468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222222"/>
                <w:sz w:val="21"/>
                <w:szCs w:val="21"/>
                <w:shd w:val="clear" w:color="auto" w:fill="FFFFFF"/>
              </w:rPr>
              <w:t>No</w:t>
            </w:r>
          </w:p>
        </w:tc>
        <w:tc>
          <w:tcPr>
            <w:tcW w:w="1076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964</w:t>
            </w:r>
          </w:p>
        </w:tc>
        <w:tc>
          <w:tcPr>
            <w:tcW w:w="1701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59.7</w:t>
            </w:r>
          </w:p>
        </w:tc>
      </w:tr>
      <w:tr>
        <w:trPr>
          <w:trHeight w:val="320" w:hRule="atLeast"/>
          <w:jc w:val="center"/>
        </w:trPr>
        <w:tc>
          <w:tcPr>
            <w:tcW w:w="2268" w:type="dxa"/>
            <w:vMerge w:val="restart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Participated in academic conferences</w:t>
            </w:r>
          </w:p>
        </w:tc>
        <w:tc>
          <w:tcPr>
            <w:tcW w:w="2468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222222"/>
                <w:sz w:val="21"/>
                <w:szCs w:val="21"/>
                <w:shd w:val="clear" w:color="auto" w:fill="FFFFFF"/>
              </w:rPr>
              <w:t>Yes</w:t>
            </w:r>
          </w:p>
        </w:tc>
        <w:tc>
          <w:tcPr>
            <w:tcW w:w="1076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728</w:t>
            </w:r>
          </w:p>
        </w:tc>
        <w:tc>
          <w:tcPr>
            <w:tcW w:w="1701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45</w:t>
            </w:r>
          </w:p>
        </w:tc>
      </w:tr>
      <w:tr>
        <w:trPr>
          <w:trHeight w:val="320" w:hRule="atLeast"/>
          <w:jc w:val="center"/>
        </w:trPr>
        <w:tc>
          <w:tcPr>
            <w:tcW w:w="2268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468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222222"/>
                <w:sz w:val="21"/>
                <w:szCs w:val="21"/>
                <w:shd w:val="clear" w:color="auto" w:fill="FFFFFF"/>
              </w:rPr>
              <w:t>No</w:t>
            </w:r>
          </w:p>
        </w:tc>
        <w:tc>
          <w:tcPr>
            <w:tcW w:w="1076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888</w:t>
            </w:r>
          </w:p>
        </w:tc>
        <w:tc>
          <w:tcPr>
            <w:tcW w:w="1701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55</w:t>
            </w:r>
          </w:p>
        </w:tc>
      </w:tr>
      <w:tr>
        <w:trPr>
          <w:trHeight w:val="320" w:hRule="atLeast"/>
          <w:jc w:val="center"/>
        </w:trPr>
        <w:tc>
          <w:tcPr>
            <w:tcW w:w="2268" w:type="dxa"/>
            <w:vMerge w:val="restart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Employment method</w:t>
            </w:r>
          </w:p>
        </w:tc>
        <w:tc>
          <w:tcPr>
            <w:tcW w:w="2468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Labor Dispatching</w:t>
            </w:r>
          </w:p>
        </w:tc>
        <w:tc>
          <w:tcPr>
            <w:tcW w:w="1076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110</w:t>
            </w:r>
          </w:p>
        </w:tc>
        <w:tc>
          <w:tcPr>
            <w:tcW w:w="1701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6.8</w:t>
            </w:r>
          </w:p>
        </w:tc>
      </w:tr>
      <w:tr>
        <w:trPr>
          <w:trHeight w:val="320" w:hRule="atLeast"/>
          <w:jc w:val="center"/>
        </w:trPr>
        <w:tc>
          <w:tcPr>
            <w:tcW w:w="2268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468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>Contract Worker</w:t>
            </w:r>
          </w:p>
        </w:tc>
        <w:tc>
          <w:tcPr>
            <w:tcW w:w="1076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548</w:t>
            </w:r>
          </w:p>
        </w:tc>
        <w:tc>
          <w:tcPr>
            <w:tcW w:w="1701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33.9</w:t>
            </w:r>
          </w:p>
        </w:tc>
      </w:tr>
      <w:tr>
        <w:trPr>
          <w:trHeight w:val="320" w:hRule="atLeast"/>
          <w:jc w:val="center"/>
        </w:trPr>
        <w:tc>
          <w:tcPr>
            <w:tcW w:w="2268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468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Career establishment staff</w:t>
            </w:r>
          </w:p>
        </w:tc>
        <w:tc>
          <w:tcPr>
            <w:tcW w:w="1076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958</w:t>
            </w:r>
          </w:p>
        </w:tc>
        <w:tc>
          <w:tcPr>
            <w:tcW w:w="1701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59.3</w:t>
            </w:r>
          </w:p>
        </w:tc>
      </w:tr>
      <w:tr>
        <w:trPr>
          <w:trHeight w:val="320" w:hRule="atLeast"/>
          <w:jc w:val="center"/>
        </w:trPr>
        <w:tc>
          <w:tcPr>
            <w:tcW w:w="2268" w:type="dxa"/>
            <w:vMerge w:val="restart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Work experience</w:t>
            </w:r>
          </w:p>
        </w:tc>
        <w:tc>
          <w:tcPr>
            <w:tcW w:w="2468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≤10 years</w:t>
            </w:r>
          </w:p>
        </w:tc>
        <w:tc>
          <w:tcPr>
            <w:tcW w:w="1076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615</w:t>
            </w:r>
          </w:p>
        </w:tc>
        <w:tc>
          <w:tcPr>
            <w:tcW w:w="1701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38.1</w:t>
            </w:r>
          </w:p>
        </w:tc>
      </w:tr>
      <w:tr>
        <w:trPr>
          <w:trHeight w:val="320" w:hRule="atLeast"/>
          <w:jc w:val="center"/>
        </w:trPr>
        <w:tc>
          <w:tcPr>
            <w:tcW w:w="2268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468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&gt;10 years</w:t>
            </w:r>
          </w:p>
        </w:tc>
        <w:tc>
          <w:tcPr>
            <w:tcW w:w="1076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1001</w:t>
            </w:r>
          </w:p>
        </w:tc>
        <w:tc>
          <w:tcPr>
            <w:tcW w:w="1701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61.9</w:t>
            </w:r>
          </w:p>
        </w:tc>
      </w:tr>
      <w:tr>
        <w:trPr>
          <w:trHeight w:val="320" w:hRule="atLeast"/>
          <w:jc w:val="center"/>
        </w:trPr>
        <w:tc>
          <w:tcPr>
            <w:tcW w:w="2268" w:type="dxa"/>
            <w:vMerge w:val="restart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>Department</w:t>
            </w:r>
          </w:p>
        </w:tc>
        <w:tc>
          <w:tcPr>
            <w:tcW w:w="2468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Internal Medicine</w:t>
            </w:r>
          </w:p>
        </w:tc>
        <w:tc>
          <w:tcPr>
            <w:tcW w:w="1076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610</w:t>
            </w:r>
          </w:p>
        </w:tc>
        <w:tc>
          <w:tcPr>
            <w:tcW w:w="1701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37.7</w:t>
            </w:r>
          </w:p>
        </w:tc>
      </w:tr>
      <w:tr>
        <w:trPr>
          <w:trHeight w:val="320" w:hRule="atLeast"/>
          <w:jc w:val="center"/>
        </w:trPr>
        <w:tc>
          <w:tcPr>
            <w:tcW w:w="2268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468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F0F0F"/>
                <w:sz w:val="21"/>
                <w:szCs w:val="21"/>
                <w:shd w:val="clear" w:color="auto" w:fill="F7F8FA"/>
              </w:rPr>
              <w:t>Surgery</w:t>
            </w:r>
          </w:p>
        </w:tc>
        <w:tc>
          <w:tcPr>
            <w:tcW w:w="1076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316</w:t>
            </w:r>
          </w:p>
        </w:tc>
        <w:tc>
          <w:tcPr>
            <w:tcW w:w="1701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19.6</w:t>
            </w:r>
          </w:p>
        </w:tc>
      </w:tr>
      <w:tr>
        <w:trPr>
          <w:trHeight w:val="320" w:hRule="atLeast"/>
          <w:jc w:val="center"/>
        </w:trPr>
        <w:tc>
          <w:tcPr>
            <w:tcW w:w="2268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468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ICU</w:t>
            </w:r>
          </w:p>
        </w:tc>
        <w:tc>
          <w:tcPr>
            <w:tcW w:w="1076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90</w:t>
            </w:r>
          </w:p>
        </w:tc>
        <w:tc>
          <w:tcPr>
            <w:tcW w:w="1701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5.6</w:t>
            </w:r>
          </w:p>
        </w:tc>
      </w:tr>
      <w:tr>
        <w:trPr>
          <w:trHeight w:val="320" w:hRule="atLeast"/>
          <w:jc w:val="center"/>
        </w:trPr>
        <w:tc>
          <w:tcPr>
            <w:tcW w:w="2268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468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F0F0F"/>
                <w:sz w:val="21"/>
                <w:szCs w:val="21"/>
                <w:shd w:val="clear" w:color="auto" w:fill="F7F8FA"/>
              </w:rPr>
              <w:t>Emergency Medicine</w:t>
            </w:r>
          </w:p>
        </w:tc>
        <w:tc>
          <w:tcPr>
            <w:tcW w:w="1076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84</w:t>
            </w:r>
          </w:p>
        </w:tc>
        <w:tc>
          <w:tcPr>
            <w:tcW w:w="1701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5.2</w:t>
            </w:r>
          </w:p>
        </w:tc>
      </w:tr>
      <w:tr>
        <w:trPr>
          <w:trHeight w:val="320" w:hRule="atLeast"/>
          <w:jc w:val="center"/>
        </w:trPr>
        <w:tc>
          <w:tcPr>
            <w:tcW w:w="2268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468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Operating room</w:t>
            </w:r>
          </w:p>
        </w:tc>
        <w:tc>
          <w:tcPr>
            <w:tcW w:w="1076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56</w:t>
            </w:r>
          </w:p>
        </w:tc>
        <w:tc>
          <w:tcPr>
            <w:tcW w:w="1701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3.5</w:t>
            </w:r>
          </w:p>
        </w:tc>
      </w:tr>
      <w:tr>
        <w:trPr>
          <w:trHeight w:val="320" w:hRule="atLeast"/>
          <w:jc w:val="center"/>
        </w:trPr>
        <w:tc>
          <w:tcPr>
            <w:tcW w:w="2268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468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F0F0F"/>
                <w:sz w:val="21"/>
                <w:szCs w:val="21"/>
                <w:shd w:val="clear" w:color="auto" w:fill="F7F8FA"/>
              </w:rPr>
              <w:t>Pediatrics</w:t>
            </w:r>
          </w:p>
        </w:tc>
        <w:tc>
          <w:tcPr>
            <w:tcW w:w="1076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62</w:t>
            </w:r>
          </w:p>
        </w:tc>
        <w:tc>
          <w:tcPr>
            <w:tcW w:w="1701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3.8</w:t>
            </w:r>
          </w:p>
        </w:tc>
      </w:tr>
      <w:tr>
        <w:trPr>
          <w:trHeight w:val="320" w:hRule="atLeast"/>
          <w:jc w:val="center"/>
        </w:trPr>
        <w:tc>
          <w:tcPr>
            <w:tcW w:w="2268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468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Gynaecology</w:t>
            </w:r>
          </w:p>
        </w:tc>
        <w:tc>
          <w:tcPr>
            <w:tcW w:w="1076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43</w:t>
            </w:r>
          </w:p>
        </w:tc>
        <w:tc>
          <w:tcPr>
            <w:tcW w:w="1701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2.7</w:t>
            </w:r>
          </w:p>
        </w:tc>
      </w:tr>
      <w:tr>
        <w:trPr>
          <w:trHeight w:val="320" w:hRule="atLeast"/>
          <w:jc w:val="center"/>
        </w:trPr>
        <w:tc>
          <w:tcPr>
            <w:tcW w:w="2268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468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>Obstetrical department</w:t>
            </w:r>
          </w:p>
        </w:tc>
        <w:tc>
          <w:tcPr>
            <w:tcW w:w="1076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34</w:t>
            </w:r>
          </w:p>
        </w:tc>
        <w:tc>
          <w:tcPr>
            <w:tcW w:w="1701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2.1</w:t>
            </w:r>
          </w:p>
        </w:tc>
      </w:tr>
      <w:tr>
        <w:trPr>
          <w:trHeight w:val="320" w:hRule="atLeast"/>
          <w:jc w:val="center"/>
        </w:trPr>
        <w:tc>
          <w:tcPr>
            <w:tcW w:w="2268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468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Other</w:t>
            </w:r>
          </w:p>
        </w:tc>
        <w:tc>
          <w:tcPr>
            <w:tcW w:w="1076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321</w:t>
            </w:r>
          </w:p>
        </w:tc>
        <w:tc>
          <w:tcPr>
            <w:tcW w:w="1701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19.9</w:t>
            </w:r>
          </w:p>
        </w:tc>
      </w:tr>
    </w:tbl>
    <w:p>
      <w:pPr>
        <w:rPr>
          <w:rFonts w:ascii="Times New Roman" w:hAnsi="Times New Roman" w:cs="Times New Roman"/>
        </w:rPr>
      </w:pPr>
    </w:p>
    <w:p>
      <w:pPr>
        <w:spacing w:after="0" w:line="360" w:lineRule="auto"/>
        <w:jc w:val="center"/>
        <w:outlineLvl w:val="1"/>
        <w:rPr>
          <w:rFonts w:ascii="Times New Roman" w:hAnsi="Times New Roman" w:cs="Times New Roman"/>
          <w:b/>
          <w:bCs/>
          <w:color w:val="000000"/>
          <w14:ligatures w14:val="none"/>
        </w:rPr>
      </w:pPr>
      <w:r>
        <w:rPr>
          <w:rFonts w:ascii="Times New Roman" w:hAnsi="Times New Roman" w:cs="Times New Roman"/>
          <w:b/>
          <w:bCs/>
          <w:color w:val="000000"/>
          <w14:ligatures w14:val="none"/>
        </w:rPr>
        <w:t>Table 2 Scores of each dimension</w:t>
      </w:r>
    </w:p>
    <w:tbl>
      <w:tblPr>
        <w:tblStyle w:val="14"/>
        <w:tblW w:w="7366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415"/>
        <w:gridCol w:w="2688"/>
      </w:tblGrid>
      <w:tr>
        <w:trPr>
          <w:trHeight w:val="320" w:hRule="atLeast"/>
          <w:jc w:val="center"/>
        </w:trPr>
        <w:tc>
          <w:tcPr>
            <w:tcW w:w="2263" w:type="dxa"/>
            <w:tcBorders>
              <w:top w:val="single" w:color="auto" w:sz="12" w:space="0"/>
              <w:bottom w:val="single" w:color="auto" w:sz="12" w:space="0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>Dimension</w:t>
            </w:r>
          </w:p>
        </w:tc>
        <w:tc>
          <w:tcPr>
            <w:tcW w:w="2415" w:type="dxa"/>
            <w:tcBorders>
              <w:top w:val="single" w:color="auto" w:sz="12" w:space="0"/>
              <w:bottom w:val="single" w:color="auto" w:sz="12" w:space="0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>Score, mean ± SD</w:t>
            </w:r>
          </w:p>
        </w:tc>
        <w:tc>
          <w:tcPr>
            <w:tcW w:w="2688" w:type="dxa"/>
            <w:tcBorders>
              <w:top w:val="single" w:color="auto" w:sz="12" w:space="0"/>
              <w:bottom w:val="single" w:color="auto" w:sz="12" w:space="0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>Scoring rate, %</w:t>
            </w:r>
          </w:p>
        </w:tc>
      </w:tr>
      <w:tr>
        <w:trPr>
          <w:trHeight w:val="320" w:hRule="atLeast"/>
          <w:jc w:val="center"/>
        </w:trPr>
        <w:tc>
          <w:tcPr>
            <w:tcW w:w="2263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>Knowledge</w:t>
            </w:r>
          </w:p>
        </w:tc>
        <w:tc>
          <w:tcPr>
            <w:tcW w:w="2415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>48.88±6.96</w:t>
            </w:r>
          </w:p>
        </w:tc>
        <w:tc>
          <w:tcPr>
            <w:tcW w:w="2688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>88.88</w:t>
            </w:r>
          </w:p>
        </w:tc>
      </w:tr>
      <w:tr>
        <w:trPr>
          <w:trHeight w:val="320" w:hRule="atLeast"/>
          <w:jc w:val="center"/>
        </w:trPr>
        <w:tc>
          <w:tcPr>
            <w:tcW w:w="2263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>Attitude</w:t>
            </w:r>
          </w:p>
        </w:tc>
        <w:tc>
          <w:tcPr>
            <w:tcW w:w="2415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>35.35±5.56</w:t>
            </w:r>
          </w:p>
        </w:tc>
        <w:tc>
          <w:tcPr>
            <w:tcW w:w="2688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>88.34</w:t>
            </w:r>
          </w:p>
        </w:tc>
      </w:tr>
      <w:tr>
        <w:trPr>
          <w:trHeight w:val="320" w:hRule="atLeast"/>
          <w:jc w:val="center"/>
        </w:trPr>
        <w:tc>
          <w:tcPr>
            <w:tcW w:w="2263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>Behavior</w:t>
            </w:r>
          </w:p>
        </w:tc>
        <w:tc>
          <w:tcPr>
            <w:tcW w:w="2415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>39.83±5.85</w:t>
            </w:r>
          </w:p>
        </w:tc>
        <w:tc>
          <w:tcPr>
            <w:tcW w:w="2688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>88.64</w:t>
            </w:r>
          </w:p>
        </w:tc>
      </w:tr>
    </w:tbl>
    <w:p>
      <w:pPr>
        <w:pStyle w:val="12"/>
        <w:spacing w:before="0" w:beforeAutospacing="0" w:after="0" w:afterAutospacing="0" w:line="360" w:lineRule="auto"/>
        <w:ind w:firstLine="240" w:firstLineChars="100"/>
        <w:jc w:val="center"/>
        <w:rPr>
          <w:rFonts w:ascii="Times New Roman" w:hAnsi="Times New Roman" w:cs="Times New Roman"/>
          <w:b/>
          <w:bCs/>
          <w:color w:val="000000"/>
        </w:rPr>
      </w:pPr>
    </w:p>
    <w:p>
      <w:pPr>
        <w:pStyle w:val="12"/>
        <w:spacing w:before="0" w:beforeAutospacing="0" w:after="0" w:afterAutospacing="0" w:line="360" w:lineRule="auto"/>
        <w:ind w:firstLine="240" w:firstLineChars="100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Table 3 Mastery of research ethics knowledge among clinical nurses</w:t>
      </w:r>
    </w:p>
    <w:tbl>
      <w:tblPr>
        <w:tblStyle w:val="14"/>
        <w:tblW w:w="9209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5"/>
        <w:gridCol w:w="1554"/>
      </w:tblGrid>
      <w:tr>
        <w:trPr>
          <w:trHeight w:val="46" w:hRule="atLeast"/>
        </w:trPr>
        <w:tc>
          <w:tcPr>
            <w:tcW w:w="7655" w:type="dxa"/>
            <w:tcBorders>
              <w:bottom w:val="single" w:color="auto" w:sz="12" w:space="0"/>
            </w:tcBorders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bookmarkStart w:id="0" w:name="_Hlk226049646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Item</w:t>
            </w:r>
          </w:p>
        </w:tc>
        <w:tc>
          <w:tcPr>
            <w:tcW w:w="1554" w:type="dxa"/>
            <w:tcBorders>
              <w:bottom w:val="single" w:color="auto" w:sz="12" w:space="0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bookmarkStart w:id="1" w:name="OLE_LINK53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Scoring rate, %</w:t>
            </w:r>
            <w:bookmarkEnd w:id="1"/>
          </w:p>
        </w:tc>
      </w:tr>
      <w:bookmarkEnd w:id="0"/>
      <w:tr>
        <w:trPr>
          <w:trHeight w:val="325" w:hRule="atLeast"/>
        </w:trPr>
        <w:tc>
          <w:tcPr>
            <w:tcW w:w="7655" w:type="dxa"/>
            <w:tcBorders>
              <w:top w:val="single" w:color="auto" w:sz="12" w:space="0"/>
              <w:bottom w:val="nil"/>
            </w:tcBorders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Basic principles of nursing ethics</w:t>
            </w:r>
          </w:p>
        </w:tc>
        <w:tc>
          <w:tcPr>
            <w:tcW w:w="1554" w:type="dxa"/>
            <w:tcBorders>
              <w:top w:val="single" w:color="auto" w:sz="12" w:space="0"/>
              <w:bottom w:val="nil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90.80%</w:t>
            </w:r>
          </w:p>
        </w:tc>
      </w:tr>
      <w:tr>
        <w:trPr>
          <w:trHeight w:val="320" w:hRule="atLeast"/>
        </w:trPr>
        <w:tc>
          <w:tcPr>
            <w:tcW w:w="7655" w:type="dxa"/>
            <w:tcBorders>
              <w:top w:val="nil"/>
              <w:bottom w:val="nil"/>
            </w:tcBorders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Protection of patients’ personal interests</w:t>
            </w:r>
          </w:p>
        </w:tc>
        <w:tc>
          <w:tcPr>
            <w:tcW w:w="1554" w:type="dxa"/>
            <w:tcBorders>
              <w:top w:val="nil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90.20%</w:t>
            </w:r>
          </w:p>
        </w:tc>
      </w:tr>
      <w:tr>
        <w:trPr>
          <w:trHeight w:val="320" w:hRule="atLeast"/>
        </w:trPr>
        <w:tc>
          <w:tcPr>
            <w:tcW w:w="7655" w:type="dxa"/>
            <w:tcBorders>
              <w:top w:val="nil"/>
              <w:bottom w:val="nil"/>
            </w:tcBorders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Protection of patients’ right to informed consent</w:t>
            </w:r>
          </w:p>
        </w:tc>
        <w:tc>
          <w:tcPr>
            <w:tcW w:w="1554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89.00%</w:t>
            </w:r>
          </w:p>
        </w:tc>
      </w:tr>
      <w:tr>
        <w:trPr>
          <w:trHeight w:val="320" w:hRule="atLeast"/>
        </w:trPr>
        <w:tc>
          <w:tcPr>
            <w:tcW w:w="7655" w:type="dxa"/>
            <w:tcBorders>
              <w:top w:val="nil"/>
              <w:bottom w:val="nil"/>
            </w:tcBorders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Most fundamental principle of nursing ethics</w:t>
            </w:r>
          </w:p>
        </w:tc>
        <w:tc>
          <w:tcPr>
            <w:tcW w:w="1554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87.00%</w:t>
            </w:r>
          </w:p>
        </w:tc>
      </w:tr>
      <w:tr>
        <w:trPr>
          <w:trHeight w:val="320" w:hRule="atLeast"/>
        </w:trPr>
        <w:tc>
          <w:tcPr>
            <w:tcW w:w="7655" w:type="dxa"/>
            <w:tcBorders>
              <w:top w:val="nil"/>
              <w:bottom w:val="nil"/>
            </w:tcBorders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Obtaining written informed consent from guardians or agents for participants unable to make decisions</w:t>
            </w:r>
          </w:p>
        </w:tc>
        <w:tc>
          <w:tcPr>
            <w:tcW w:w="1554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90.40%</w:t>
            </w:r>
          </w:p>
        </w:tc>
      </w:tr>
      <w:tr>
        <w:trPr>
          <w:trHeight w:val="320" w:hRule="atLeast"/>
        </w:trPr>
        <w:tc>
          <w:tcPr>
            <w:tcW w:w="7655" w:type="dxa"/>
            <w:tcBorders>
              <w:top w:val="nil"/>
              <w:bottom w:val="nil"/>
            </w:tcBorders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Scope of vulnerable populations</w:t>
            </w:r>
          </w:p>
        </w:tc>
        <w:tc>
          <w:tcPr>
            <w:tcW w:w="1554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84.60%</w:t>
            </w:r>
          </w:p>
        </w:tc>
      </w:tr>
      <w:tr>
        <w:trPr>
          <w:trHeight w:val="320" w:hRule="atLeast"/>
        </w:trPr>
        <w:tc>
          <w:tcPr>
            <w:tcW w:w="7655" w:type="dxa"/>
            <w:tcBorders>
              <w:top w:val="nil"/>
              <w:bottom w:val="nil"/>
            </w:tcBorders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Ultimate purpose of ethics review application</w:t>
            </w:r>
          </w:p>
        </w:tc>
        <w:tc>
          <w:tcPr>
            <w:tcW w:w="1554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89.20%</w:t>
            </w:r>
          </w:p>
        </w:tc>
      </w:tr>
      <w:tr>
        <w:trPr>
          <w:trHeight w:val="320" w:hRule="atLeast"/>
        </w:trPr>
        <w:tc>
          <w:tcPr>
            <w:tcW w:w="7655" w:type="dxa"/>
            <w:tcBorders>
              <w:top w:val="nil"/>
              <w:bottom w:val="nil"/>
            </w:tcBorders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All life science and medical research involving humans requires ethics review</w:t>
            </w:r>
          </w:p>
        </w:tc>
        <w:tc>
          <w:tcPr>
            <w:tcW w:w="1554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89.80%</w:t>
            </w:r>
          </w:p>
        </w:tc>
      </w:tr>
      <w:tr>
        <w:trPr>
          <w:trHeight w:val="320" w:hRule="atLeast"/>
        </w:trPr>
        <w:tc>
          <w:tcPr>
            <w:tcW w:w="7655" w:type="dxa"/>
            <w:tcBorders>
              <w:top w:val="nil"/>
              <w:bottom w:val="nil"/>
            </w:tcBorders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Research protocols must be approved by the ethics committee</w:t>
            </w:r>
          </w:p>
        </w:tc>
        <w:tc>
          <w:tcPr>
            <w:tcW w:w="1554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90.40%</w:t>
            </w:r>
          </w:p>
        </w:tc>
      </w:tr>
      <w:tr>
        <w:trPr>
          <w:trHeight w:val="320" w:hRule="atLeast"/>
        </w:trPr>
        <w:tc>
          <w:tcPr>
            <w:tcW w:w="7655" w:type="dxa"/>
            <w:tcBorders>
              <w:top w:val="nil"/>
              <w:bottom w:val="nil"/>
            </w:tcBorders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Scope of academic misconduct</w:t>
            </w:r>
          </w:p>
        </w:tc>
        <w:tc>
          <w:tcPr>
            <w:tcW w:w="1554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90.00%</w:t>
            </w:r>
          </w:p>
        </w:tc>
      </w:tr>
      <w:tr>
        <w:trPr>
          <w:trHeight w:val="320" w:hRule="atLeast"/>
        </w:trPr>
        <w:tc>
          <w:tcPr>
            <w:tcW w:w="7655" w:type="dxa"/>
            <w:tcBorders>
              <w:top w:val="nil"/>
              <w:bottom w:val="single" w:color="auto" w:sz="12" w:space="0"/>
            </w:tcBorders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Authorship issues for publications and patents</w:t>
            </w:r>
          </w:p>
        </w:tc>
        <w:tc>
          <w:tcPr>
            <w:tcW w:w="1554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86.20%</w:t>
            </w:r>
          </w:p>
        </w:tc>
      </w:tr>
    </w:tbl>
    <w:p>
      <w:pPr>
        <w:rPr>
          <w:rFonts w:ascii="Times New Roman" w:hAnsi="Times New Roman" w:cs="Times New Roman"/>
        </w:rPr>
      </w:pPr>
    </w:p>
    <w:p>
      <w:pPr>
        <w:pStyle w:val="12"/>
        <w:spacing w:before="0" w:beforeAutospacing="0" w:after="0" w:afterAutospacing="0" w:line="360" w:lineRule="auto"/>
        <w:ind w:firstLine="240" w:firstLineChars="100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Table 4 Attitudes toward research ethics among clinical nurses</w:t>
      </w:r>
    </w:p>
    <w:tbl>
      <w:tblPr>
        <w:tblStyle w:val="14"/>
        <w:tblW w:w="9356" w:type="dxa"/>
        <w:tblInd w:w="-147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2"/>
        <w:gridCol w:w="420"/>
        <w:gridCol w:w="1134"/>
      </w:tblGrid>
      <w:tr>
        <w:trPr>
          <w:trHeight w:val="320" w:hRule="atLeast"/>
        </w:trPr>
        <w:tc>
          <w:tcPr>
            <w:tcW w:w="7802" w:type="dxa"/>
            <w:tcBorders>
              <w:top w:val="single" w:color="auto" w:sz="12" w:space="0"/>
              <w:bottom w:val="single" w:color="auto" w:sz="12" w:space="0"/>
            </w:tcBorders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Item</w:t>
            </w:r>
          </w:p>
        </w:tc>
        <w:tc>
          <w:tcPr>
            <w:tcW w:w="1554" w:type="dxa"/>
            <w:gridSpan w:val="2"/>
            <w:tcBorders>
              <w:top w:val="single" w:color="auto" w:sz="12" w:space="0"/>
              <w:bottom w:val="single" w:color="auto" w:sz="12" w:space="0"/>
            </w:tcBorders>
            <w:noWrap/>
            <w:vAlign w:val="center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Scoring rate, %</w:t>
            </w:r>
          </w:p>
        </w:tc>
      </w:tr>
      <w:tr>
        <w:trPr>
          <w:trHeight w:val="320" w:hRule="atLeast"/>
        </w:trPr>
        <w:tc>
          <w:tcPr>
            <w:tcW w:w="8222" w:type="dxa"/>
            <w:gridSpan w:val="2"/>
            <w:tcBorders>
              <w:top w:val="single" w:color="auto" w:sz="12" w:space="0"/>
            </w:tcBorders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Importance of nursing research ethics</w:t>
            </w:r>
          </w:p>
        </w:tc>
        <w:tc>
          <w:tcPr>
            <w:tcW w:w="1134" w:type="dxa"/>
            <w:tcBorders>
              <w:top w:val="single" w:color="auto" w:sz="12" w:space="0"/>
            </w:tcBorders>
            <w:noWrap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89.40%</w:t>
            </w:r>
          </w:p>
        </w:tc>
      </w:tr>
      <w:tr>
        <w:trPr>
          <w:trHeight w:val="320" w:hRule="atLeast"/>
        </w:trPr>
        <w:tc>
          <w:tcPr>
            <w:tcW w:w="8222" w:type="dxa"/>
            <w:gridSpan w:val="2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Correlation between nurses’ research ethics cognition and research quality</w:t>
            </w:r>
          </w:p>
        </w:tc>
        <w:tc>
          <w:tcPr>
            <w:tcW w:w="1134" w:type="dxa"/>
            <w:noWrap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88.80%</w:t>
            </w:r>
          </w:p>
        </w:tc>
      </w:tr>
      <w:tr>
        <w:trPr>
          <w:trHeight w:val="320" w:hRule="atLeast"/>
        </w:trPr>
        <w:tc>
          <w:tcPr>
            <w:tcW w:w="8222" w:type="dxa"/>
            <w:gridSpan w:val="2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Research ethics knowledge helps coordinate nurse–patient relationships</w:t>
            </w:r>
            <w:r>
              <w:rPr>
                <w:rStyle w:val="35"/>
                <w:rFonts w:ascii="Times New Roman" w:hAnsi="Times New Roman" w:cs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4" w:type="dxa"/>
            <w:noWrap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88.20%</w:t>
            </w:r>
          </w:p>
        </w:tc>
      </w:tr>
      <w:tr>
        <w:trPr>
          <w:trHeight w:val="320" w:hRule="atLeast"/>
        </w:trPr>
        <w:tc>
          <w:tcPr>
            <w:tcW w:w="8222" w:type="dxa"/>
            <w:gridSpan w:val="2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Research ethics knowledge helps nurses address ethical problems in work</w:t>
            </w:r>
          </w:p>
        </w:tc>
        <w:tc>
          <w:tcPr>
            <w:tcW w:w="1134" w:type="dxa"/>
            <w:noWrap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88.40%</w:t>
            </w:r>
          </w:p>
        </w:tc>
      </w:tr>
      <w:tr>
        <w:trPr>
          <w:trHeight w:val="320" w:hRule="atLeast"/>
        </w:trPr>
        <w:tc>
          <w:tcPr>
            <w:tcW w:w="8222" w:type="dxa"/>
            <w:gridSpan w:val="2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Nurses need to master certain research ethics knowledge</w:t>
            </w:r>
            <w:r>
              <w:rPr>
                <w:rStyle w:val="35"/>
                <w:rFonts w:ascii="Times New Roman" w:hAnsi="Times New Roman" w:cs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134" w:type="dxa"/>
            <w:noWrap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88.20%</w:t>
            </w:r>
          </w:p>
        </w:tc>
      </w:tr>
      <w:tr>
        <w:trPr>
          <w:trHeight w:val="320" w:hRule="atLeast"/>
        </w:trPr>
        <w:tc>
          <w:tcPr>
            <w:tcW w:w="8222" w:type="dxa"/>
            <w:gridSpan w:val="2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Hospitals should provide opportunities to learn research ethics</w:t>
            </w:r>
          </w:p>
        </w:tc>
        <w:tc>
          <w:tcPr>
            <w:tcW w:w="1134" w:type="dxa"/>
            <w:noWrap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88.20%</w:t>
            </w:r>
          </w:p>
        </w:tc>
      </w:tr>
      <w:tr>
        <w:trPr>
          <w:trHeight w:val="320" w:hRule="atLeast"/>
        </w:trPr>
        <w:tc>
          <w:tcPr>
            <w:tcW w:w="8222" w:type="dxa"/>
            <w:gridSpan w:val="2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Nursing staff should actively acquire research ethics knowledge</w:t>
            </w:r>
          </w:p>
        </w:tc>
        <w:tc>
          <w:tcPr>
            <w:tcW w:w="1134" w:type="dxa"/>
            <w:noWrap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87.80%</w:t>
            </w:r>
          </w:p>
        </w:tc>
      </w:tr>
      <w:tr>
        <w:trPr>
          <w:trHeight w:val="66" w:hRule="atLeast"/>
        </w:trPr>
        <w:tc>
          <w:tcPr>
            <w:tcW w:w="8222" w:type="dxa"/>
            <w:gridSpan w:val="2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Nursing staff should actively seek solutions to research ethics problems</w:t>
            </w:r>
          </w:p>
        </w:tc>
        <w:tc>
          <w:tcPr>
            <w:tcW w:w="1134" w:type="dxa"/>
            <w:noWrap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88.00%</w:t>
            </w:r>
          </w:p>
        </w:tc>
      </w:tr>
    </w:tbl>
    <w:p>
      <w:pPr>
        <w:rPr>
          <w:rFonts w:ascii="Times New Roman" w:hAnsi="Times New Roman" w:cs="Times New Roman"/>
        </w:rPr>
      </w:pPr>
    </w:p>
    <w:p>
      <w:pPr>
        <w:pStyle w:val="12"/>
        <w:spacing w:before="0" w:beforeAutospacing="0" w:after="0" w:afterAutospacing="0" w:line="360" w:lineRule="auto"/>
        <w:ind w:firstLine="240" w:firstLineChars="100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Table 5 Research ethics behaviors among clinical nurses</w:t>
      </w:r>
    </w:p>
    <w:tbl>
      <w:tblPr>
        <w:tblStyle w:val="14"/>
        <w:tblW w:w="9356" w:type="dxa"/>
        <w:tblInd w:w="-147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2"/>
        <w:gridCol w:w="1554"/>
      </w:tblGrid>
      <w:tr>
        <w:trPr>
          <w:trHeight w:val="320" w:hRule="atLeast"/>
        </w:trPr>
        <w:tc>
          <w:tcPr>
            <w:tcW w:w="7802" w:type="dxa"/>
            <w:tcBorders>
              <w:top w:val="single" w:color="auto" w:sz="12" w:space="0"/>
              <w:bottom w:val="single" w:color="auto" w:sz="12" w:space="0"/>
            </w:tcBorders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Item</w:t>
            </w:r>
          </w:p>
        </w:tc>
        <w:tc>
          <w:tcPr>
            <w:tcW w:w="1554" w:type="dxa"/>
            <w:tcBorders>
              <w:top w:val="single" w:color="auto" w:sz="12" w:space="0"/>
              <w:bottom w:val="single" w:color="auto" w:sz="12" w:space="0"/>
            </w:tcBorders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Scoring rate, %</w:t>
            </w:r>
          </w:p>
        </w:tc>
      </w:tr>
      <w:tr>
        <w:trPr>
          <w:trHeight w:val="320" w:hRule="atLeast"/>
        </w:trPr>
        <w:tc>
          <w:tcPr>
            <w:tcW w:w="7802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Departments/hospitals emphasize learning clinical research ethics</w:t>
            </w:r>
          </w:p>
        </w:tc>
        <w:tc>
          <w:tcPr>
            <w:tcW w:w="1554" w:type="dxa"/>
            <w:tcBorders>
              <w:top w:val="single" w:color="auto" w:sz="12" w:space="0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87.80%</w:t>
            </w:r>
          </w:p>
        </w:tc>
      </w:tr>
      <w:tr>
        <w:trPr>
          <w:trHeight w:val="320" w:hRule="atLeast"/>
        </w:trPr>
        <w:tc>
          <w:tcPr>
            <w:tcW w:w="7802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Providing full information on risks and benefits during clinical notification</w:t>
            </w:r>
          </w:p>
        </w:tc>
        <w:tc>
          <w:tcPr>
            <w:tcW w:w="1554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87.40%</w:t>
            </w:r>
          </w:p>
        </w:tc>
      </w:tr>
      <w:tr>
        <w:trPr>
          <w:trHeight w:val="320" w:hRule="atLeast"/>
        </w:trPr>
        <w:tc>
          <w:tcPr>
            <w:tcW w:w="7802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Always paying attention to protecting patient privacy</w:t>
            </w:r>
          </w:p>
        </w:tc>
        <w:tc>
          <w:tcPr>
            <w:tcW w:w="1554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92.00%</w:t>
            </w:r>
          </w:p>
        </w:tc>
      </w:tr>
      <w:tr>
        <w:trPr>
          <w:trHeight w:val="320" w:hRule="atLeast"/>
        </w:trPr>
        <w:tc>
          <w:tcPr>
            <w:tcW w:w="7802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Starting procedures after obtaining informed consent</w:t>
            </w:r>
          </w:p>
        </w:tc>
        <w:tc>
          <w:tcPr>
            <w:tcW w:w="1554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92.00%</w:t>
            </w:r>
          </w:p>
        </w:tc>
      </w:tr>
      <w:tr>
        <w:trPr>
          <w:trHeight w:val="320" w:hRule="atLeast"/>
        </w:trPr>
        <w:tc>
          <w:tcPr>
            <w:tcW w:w="7802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Learning research ethics through various channels</w:t>
            </w:r>
          </w:p>
        </w:tc>
        <w:tc>
          <w:tcPr>
            <w:tcW w:w="1554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88.80%</w:t>
            </w:r>
          </w:p>
        </w:tc>
      </w:tr>
      <w:tr>
        <w:trPr>
          <w:trHeight w:val="320" w:hRule="atLeast"/>
        </w:trPr>
        <w:tc>
          <w:tcPr>
            <w:tcW w:w="7802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Pointing out colleagues’ ethical violations</w:t>
            </w:r>
          </w:p>
        </w:tc>
        <w:tc>
          <w:tcPr>
            <w:tcW w:w="1554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88.60%</w:t>
            </w:r>
          </w:p>
        </w:tc>
      </w:tr>
      <w:tr>
        <w:trPr>
          <w:trHeight w:val="320" w:hRule="atLeast"/>
        </w:trPr>
        <w:tc>
          <w:tcPr>
            <w:tcW w:w="7802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Seeking expert help when encountering ethics issues</w:t>
            </w:r>
          </w:p>
        </w:tc>
        <w:tc>
          <w:tcPr>
            <w:tcW w:w="1554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89.40%</w:t>
            </w:r>
          </w:p>
        </w:tc>
      </w:tr>
      <w:tr>
        <w:trPr>
          <w:trHeight w:val="320" w:hRule="atLeast"/>
        </w:trPr>
        <w:tc>
          <w:tcPr>
            <w:tcW w:w="7802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Regularly learning and sharing new research ethics knowledge</w:t>
            </w:r>
            <w:r>
              <w:rPr>
                <w:rStyle w:val="35"/>
                <w:rFonts w:ascii="Times New Roman" w:hAnsi="Times New Roman" w:cs="Times New Roman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554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85.40%</w:t>
            </w:r>
          </w:p>
        </w:tc>
      </w:tr>
      <w:tr>
        <w:trPr>
          <w:trHeight w:val="320" w:hRule="atLeast"/>
        </w:trPr>
        <w:tc>
          <w:tcPr>
            <w:tcW w:w="7802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bookmarkStart w:id="2" w:name="_Hlk225173122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Providing suggestions for improving departmental ethics capacity</w:t>
            </w:r>
          </w:p>
        </w:tc>
        <w:tc>
          <w:tcPr>
            <w:tcW w:w="1554" w:type="dxa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85.00%</w:t>
            </w:r>
          </w:p>
        </w:tc>
      </w:tr>
      <w:bookmarkEnd w:id="2"/>
    </w:tbl>
    <w:p>
      <w:pPr>
        <w:rPr>
          <w:rFonts w:ascii="Times New Roman" w:hAnsi="Times New Roman" w:cs="Times New Roman"/>
        </w:rPr>
      </w:pPr>
    </w:p>
    <w:p>
      <w:pPr>
        <w:pStyle w:val="12"/>
        <w:spacing w:before="0" w:beforeAutospacing="0" w:after="0" w:afterAutospacing="0" w:line="360" w:lineRule="auto"/>
        <w:ind w:firstLine="240" w:firstLineChars="100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Table 6 Univariate analysis of factors associated with research ethics KAP scores</w:t>
      </w:r>
    </w:p>
    <w:tbl>
      <w:tblPr>
        <w:tblStyle w:val="14"/>
        <w:tblpPr w:leftFromText="180" w:rightFromText="180" w:vertAnchor="text" w:horzAnchor="margin" w:tblpXSpec="center" w:tblpY="83"/>
        <w:tblW w:w="11466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5"/>
        <w:gridCol w:w="1266"/>
        <w:gridCol w:w="759"/>
        <w:gridCol w:w="807"/>
        <w:gridCol w:w="1371"/>
        <w:gridCol w:w="729"/>
        <w:gridCol w:w="837"/>
        <w:gridCol w:w="1275"/>
        <w:gridCol w:w="764"/>
        <w:gridCol w:w="793"/>
      </w:tblGrid>
      <w:tr>
        <w:trPr>
          <w:trHeight w:val="320" w:hRule="atLeast"/>
        </w:trPr>
        <w:tc>
          <w:tcPr>
            <w:tcW w:w="2865" w:type="dxa"/>
            <w:vMerge w:val="restart"/>
            <w:tcBorders>
              <w:top w:val="single" w:color="auto" w:sz="12" w:space="0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  <w:t>Group</w:t>
            </w:r>
          </w:p>
        </w:tc>
        <w:tc>
          <w:tcPr>
            <w:tcW w:w="2832" w:type="dxa"/>
            <w:gridSpan w:val="3"/>
            <w:tcBorders>
              <w:top w:val="single" w:color="auto" w:sz="12" w:space="0"/>
              <w:bottom w:val="single" w:color="auto" w:sz="12" w:space="0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Knowledge</w:t>
            </w:r>
          </w:p>
        </w:tc>
        <w:tc>
          <w:tcPr>
            <w:tcW w:w="2937" w:type="dxa"/>
            <w:gridSpan w:val="3"/>
            <w:tcBorders>
              <w:top w:val="single" w:color="auto" w:sz="12" w:space="0"/>
              <w:bottom w:val="single" w:color="auto" w:sz="12" w:space="0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Attitude</w:t>
            </w:r>
          </w:p>
        </w:tc>
        <w:tc>
          <w:tcPr>
            <w:tcW w:w="2832" w:type="dxa"/>
            <w:gridSpan w:val="3"/>
            <w:tcBorders>
              <w:top w:val="single" w:color="auto" w:sz="12" w:space="0"/>
              <w:bottom w:val="single" w:color="auto" w:sz="12" w:space="0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Behavior</w:t>
            </w:r>
          </w:p>
        </w:tc>
      </w:tr>
      <w:tr>
        <w:trPr>
          <w:trHeight w:val="320" w:hRule="atLeast"/>
        </w:trPr>
        <w:tc>
          <w:tcPr>
            <w:tcW w:w="2865" w:type="dxa"/>
            <w:vMerge w:val="continue"/>
            <w:tcBorders>
              <w:bottom w:val="single" w:color="auto" w:sz="8" w:space="0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1266" w:type="dxa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 xml:space="preserve">Score,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mean ± SD</w:t>
            </w:r>
          </w:p>
        </w:tc>
        <w:tc>
          <w:tcPr>
            <w:tcW w:w="759" w:type="dxa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t</w:t>
            </w:r>
          </w:p>
        </w:tc>
        <w:tc>
          <w:tcPr>
            <w:tcW w:w="807" w:type="dxa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p</w:t>
            </w:r>
          </w:p>
        </w:tc>
        <w:tc>
          <w:tcPr>
            <w:tcW w:w="1371" w:type="dxa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Score,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mean ± SD</w:t>
            </w:r>
          </w:p>
        </w:tc>
        <w:tc>
          <w:tcPr>
            <w:tcW w:w="729" w:type="dxa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t</w:t>
            </w:r>
          </w:p>
        </w:tc>
        <w:tc>
          <w:tcPr>
            <w:tcW w:w="837" w:type="dxa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p</w:t>
            </w:r>
          </w:p>
        </w:tc>
        <w:tc>
          <w:tcPr>
            <w:tcW w:w="1275" w:type="dxa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Score</w:t>
            </w:r>
          </w:p>
        </w:tc>
        <w:tc>
          <w:tcPr>
            <w:tcW w:w="764" w:type="dxa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t</w:t>
            </w:r>
          </w:p>
        </w:tc>
        <w:tc>
          <w:tcPr>
            <w:tcW w:w="793" w:type="dxa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p</w:t>
            </w:r>
          </w:p>
        </w:tc>
      </w:tr>
      <w:tr>
        <w:trPr>
          <w:trHeight w:val="320" w:hRule="atLeast"/>
        </w:trPr>
        <w:tc>
          <w:tcPr>
            <w:tcW w:w="2865" w:type="dxa"/>
            <w:tcBorders>
              <w:top w:val="single" w:color="auto" w:sz="8" w:space="0"/>
            </w:tcBorders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bookmarkStart w:id="3" w:name="_Hlk226050096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Below bachelor’s degree</w:t>
            </w:r>
          </w:p>
        </w:tc>
        <w:tc>
          <w:tcPr>
            <w:tcW w:w="1266" w:type="dxa"/>
            <w:tcBorders>
              <w:top w:val="single" w:color="auto" w:sz="8" w:space="0"/>
            </w:tcBorders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10205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10205"/>
                <w:sz w:val="21"/>
                <w:szCs w:val="21"/>
                <w14:ligatures w14:val="none"/>
              </w:rPr>
              <w:t>46.75±6.33</w:t>
            </w:r>
          </w:p>
        </w:tc>
        <w:tc>
          <w:tcPr>
            <w:tcW w:w="759" w:type="dxa"/>
            <w:vMerge w:val="restart"/>
            <w:tcBorders>
              <w:top w:val="single" w:color="auto" w:sz="8" w:space="0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-4.855</w:t>
            </w:r>
          </w:p>
        </w:tc>
        <w:tc>
          <w:tcPr>
            <w:tcW w:w="807" w:type="dxa"/>
            <w:vMerge w:val="restart"/>
            <w:tcBorders>
              <w:top w:val="single" w:color="auto" w:sz="8" w:space="0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&lt;0.001</w:t>
            </w:r>
          </w:p>
        </w:tc>
        <w:tc>
          <w:tcPr>
            <w:tcW w:w="1371" w:type="dxa"/>
            <w:tcBorders>
              <w:top w:val="single" w:color="auto" w:sz="8" w:space="0"/>
            </w:tcBorders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33.88±5.37</w:t>
            </w:r>
          </w:p>
        </w:tc>
        <w:tc>
          <w:tcPr>
            <w:tcW w:w="729" w:type="dxa"/>
            <w:vMerge w:val="restart"/>
            <w:tcBorders>
              <w:top w:val="single" w:color="auto" w:sz="8" w:space="0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-4.183</w:t>
            </w:r>
          </w:p>
        </w:tc>
        <w:tc>
          <w:tcPr>
            <w:tcW w:w="837" w:type="dxa"/>
            <w:vMerge w:val="restart"/>
            <w:tcBorders>
              <w:top w:val="single" w:color="auto" w:sz="8" w:space="0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&lt;0.001</w:t>
            </w:r>
          </w:p>
        </w:tc>
        <w:tc>
          <w:tcPr>
            <w:tcW w:w="1275" w:type="dxa"/>
            <w:tcBorders>
              <w:top w:val="single" w:color="auto" w:sz="8" w:space="0"/>
            </w:tcBorders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38.83±5.59</w:t>
            </w:r>
          </w:p>
        </w:tc>
        <w:tc>
          <w:tcPr>
            <w:tcW w:w="764" w:type="dxa"/>
            <w:vMerge w:val="restart"/>
            <w:tcBorders>
              <w:top w:val="single" w:color="auto" w:sz="8" w:space="0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-2.687</w:t>
            </w:r>
          </w:p>
        </w:tc>
        <w:tc>
          <w:tcPr>
            <w:tcW w:w="793" w:type="dxa"/>
            <w:vMerge w:val="restart"/>
            <w:tcBorders>
              <w:top w:val="single" w:color="auto" w:sz="8" w:space="0"/>
            </w:tcBorders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0.007</w:t>
            </w:r>
          </w:p>
        </w:tc>
      </w:tr>
      <w:tr>
        <w:trPr>
          <w:trHeight w:val="320" w:hRule="atLeast"/>
        </w:trPr>
        <w:tc>
          <w:tcPr>
            <w:tcW w:w="2865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Bachelor’s degree or above</w:t>
            </w:r>
          </w:p>
        </w:tc>
        <w:tc>
          <w:tcPr>
            <w:tcW w:w="1266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10205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10205"/>
                <w:sz w:val="21"/>
                <w:szCs w:val="21"/>
                <w14:ligatures w14:val="none"/>
              </w:rPr>
              <w:t>49.21±6.99</w:t>
            </w:r>
          </w:p>
        </w:tc>
        <w:tc>
          <w:tcPr>
            <w:tcW w:w="759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807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1371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35.58±5.56</w:t>
            </w:r>
          </w:p>
        </w:tc>
        <w:tc>
          <w:tcPr>
            <w:tcW w:w="729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837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39.98±5.86</w:t>
            </w:r>
          </w:p>
        </w:tc>
        <w:tc>
          <w:tcPr>
            <w:tcW w:w="764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793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>
        <w:trPr>
          <w:trHeight w:val="320" w:hRule="atLeast"/>
        </w:trPr>
        <w:tc>
          <w:tcPr>
            <w:tcW w:w="2865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bookmarkStart w:id="4" w:name="OLE_LINK47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Work experience</w:t>
            </w:r>
            <w:bookmarkEnd w:id="4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≤10 years</w:t>
            </w:r>
          </w:p>
        </w:tc>
        <w:tc>
          <w:tcPr>
            <w:tcW w:w="1266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48.50±7.19</w:t>
            </w:r>
          </w:p>
        </w:tc>
        <w:tc>
          <w:tcPr>
            <w:tcW w:w="759" w:type="dxa"/>
            <w:vMerge w:val="restart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-1.697</w:t>
            </w:r>
          </w:p>
        </w:tc>
        <w:tc>
          <w:tcPr>
            <w:tcW w:w="807" w:type="dxa"/>
            <w:vMerge w:val="restart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0.09</w:t>
            </w:r>
          </w:p>
        </w:tc>
        <w:tc>
          <w:tcPr>
            <w:tcW w:w="1371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35.26±5.60</w:t>
            </w:r>
          </w:p>
        </w:tc>
        <w:tc>
          <w:tcPr>
            <w:tcW w:w="729" w:type="dxa"/>
            <w:vMerge w:val="restart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-0.507</w:t>
            </w:r>
          </w:p>
        </w:tc>
        <w:tc>
          <w:tcPr>
            <w:tcW w:w="837" w:type="dxa"/>
            <w:vMerge w:val="restart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0.613</w:t>
            </w:r>
          </w:p>
        </w:tc>
        <w:tc>
          <w:tcPr>
            <w:tcW w:w="1275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39.65±6.04</w:t>
            </w:r>
          </w:p>
        </w:tc>
        <w:tc>
          <w:tcPr>
            <w:tcW w:w="764" w:type="dxa"/>
            <w:vMerge w:val="restart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-0.96</w:t>
            </w:r>
          </w:p>
        </w:tc>
        <w:tc>
          <w:tcPr>
            <w:tcW w:w="793" w:type="dxa"/>
            <w:vMerge w:val="restart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0.337</w:t>
            </w:r>
          </w:p>
        </w:tc>
      </w:tr>
      <w:tr>
        <w:trPr>
          <w:trHeight w:val="320" w:hRule="atLeast"/>
        </w:trPr>
        <w:tc>
          <w:tcPr>
            <w:tcW w:w="2865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Work experience &gt;10 years</w:t>
            </w:r>
          </w:p>
        </w:tc>
        <w:tc>
          <w:tcPr>
            <w:tcW w:w="1266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49.11±6.8</w:t>
            </w:r>
          </w:p>
        </w:tc>
        <w:tc>
          <w:tcPr>
            <w:tcW w:w="759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807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1371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35.40±5.56</w:t>
            </w:r>
          </w:p>
        </w:tc>
        <w:tc>
          <w:tcPr>
            <w:tcW w:w="729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837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39.94±5.73</w:t>
            </w:r>
          </w:p>
        </w:tc>
        <w:tc>
          <w:tcPr>
            <w:tcW w:w="764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793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>
        <w:trPr>
          <w:trHeight w:val="320" w:hRule="atLeast"/>
        </w:trPr>
        <w:tc>
          <w:tcPr>
            <w:tcW w:w="2865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Had </w:t>
            </w:r>
            <w:bookmarkStart w:id="5" w:name="OLE_LINK48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publication experience</w:t>
            </w:r>
            <w:bookmarkEnd w:id="5"/>
          </w:p>
        </w:tc>
        <w:tc>
          <w:tcPr>
            <w:tcW w:w="1266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49.23±6.49</w:t>
            </w:r>
          </w:p>
        </w:tc>
        <w:tc>
          <w:tcPr>
            <w:tcW w:w="759" w:type="dxa"/>
            <w:vMerge w:val="restart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1.714</w:t>
            </w:r>
          </w:p>
        </w:tc>
        <w:tc>
          <w:tcPr>
            <w:tcW w:w="807" w:type="dxa"/>
            <w:vMerge w:val="restart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0.087</w:t>
            </w:r>
          </w:p>
        </w:tc>
        <w:tc>
          <w:tcPr>
            <w:tcW w:w="1371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35.69±5.08</w:t>
            </w:r>
          </w:p>
        </w:tc>
        <w:tc>
          <w:tcPr>
            <w:tcW w:w="729" w:type="dxa"/>
            <w:vMerge w:val="restart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2.11</w:t>
            </w:r>
          </w:p>
        </w:tc>
        <w:tc>
          <w:tcPr>
            <w:tcW w:w="837" w:type="dxa"/>
            <w:vMerge w:val="restart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0.035</w:t>
            </w:r>
          </w:p>
        </w:tc>
        <w:tc>
          <w:tcPr>
            <w:tcW w:w="1275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40.17±5.42</w:t>
            </w:r>
          </w:p>
        </w:tc>
        <w:tc>
          <w:tcPr>
            <w:tcW w:w="764" w:type="dxa"/>
            <w:vMerge w:val="restart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1.987</w:t>
            </w:r>
          </w:p>
        </w:tc>
        <w:tc>
          <w:tcPr>
            <w:tcW w:w="793" w:type="dxa"/>
            <w:vMerge w:val="restart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0.047</w:t>
            </w:r>
          </w:p>
        </w:tc>
      </w:tr>
      <w:tr>
        <w:trPr>
          <w:trHeight w:val="320" w:hRule="atLeast"/>
        </w:trPr>
        <w:tc>
          <w:tcPr>
            <w:tcW w:w="2865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 xml:space="preserve">No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publication experience</w:t>
            </w:r>
          </w:p>
        </w:tc>
        <w:tc>
          <w:tcPr>
            <w:tcW w:w="1266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48.64±7.25</w:t>
            </w:r>
          </w:p>
        </w:tc>
        <w:tc>
          <w:tcPr>
            <w:tcW w:w="759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807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1371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35.12±5.86</w:t>
            </w:r>
          </w:p>
        </w:tc>
        <w:tc>
          <w:tcPr>
            <w:tcW w:w="729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837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39.6±6.12</w:t>
            </w:r>
          </w:p>
        </w:tc>
        <w:tc>
          <w:tcPr>
            <w:tcW w:w="764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793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tr>
        <w:trPr>
          <w:trHeight w:val="320" w:hRule="atLeast"/>
        </w:trPr>
        <w:tc>
          <w:tcPr>
            <w:tcW w:w="2865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Had participated in academic conferences</w:t>
            </w:r>
          </w:p>
        </w:tc>
        <w:tc>
          <w:tcPr>
            <w:tcW w:w="1266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49.43±6.56</w:t>
            </w:r>
          </w:p>
        </w:tc>
        <w:tc>
          <w:tcPr>
            <w:tcW w:w="759" w:type="dxa"/>
            <w:vMerge w:val="restart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2.897</w:t>
            </w:r>
          </w:p>
        </w:tc>
        <w:tc>
          <w:tcPr>
            <w:tcW w:w="807" w:type="dxa"/>
            <w:vMerge w:val="restart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0.004</w:t>
            </w:r>
          </w:p>
        </w:tc>
        <w:tc>
          <w:tcPr>
            <w:tcW w:w="1371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35.88±5.098</w:t>
            </w:r>
          </w:p>
        </w:tc>
        <w:tc>
          <w:tcPr>
            <w:tcW w:w="729" w:type="dxa"/>
            <w:vMerge w:val="restart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3.544</w:t>
            </w:r>
          </w:p>
        </w:tc>
        <w:tc>
          <w:tcPr>
            <w:tcW w:w="837" w:type="dxa"/>
            <w:vMerge w:val="restart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&lt;0.001</w:t>
            </w:r>
          </w:p>
        </w:tc>
        <w:tc>
          <w:tcPr>
            <w:tcW w:w="1275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40.32±5.51</w:t>
            </w:r>
          </w:p>
        </w:tc>
        <w:tc>
          <w:tcPr>
            <w:tcW w:w="764" w:type="dxa"/>
            <w:vMerge w:val="restart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3.123</w:t>
            </w:r>
          </w:p>
        </w:tc>
        <w:tc>
          <w:tcPr>
            <w:tcW w:w="793" w:type="dxa"/>
            <w:vMerge w:val="restart"/>
            <w:noWrap/>
            <w:vAlign w:val="center"/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0.002</w:t>
            </w:r>
          </w:p>
        </w:tc>
      </w:tr>
      <w:tr>
        <w:trPr>
          <w:trHeight w:val="320" w:hRule="atLeast"/>
        </w:trPr>
        <w:tc>
          <w:tcPr>
            <w:tcW w:w="2865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No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had participated in academic conferences</w:t>
            </w:r>
          </w:p>
        </w:tc>
        <w:tc>
          <w:tcPr>
            <w:tcW w:w="1266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48.43±7.24</w:t>
            </w:r>
          </w:p>
        </w:tc>
        <w:tc>
          <w:tcPr>
            <w:tcW w:w="759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807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1371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34.91±5.89</w:t>
            </w:r>
          </w:p>
        </w:tc>
        <w:tc>
          <w:tcPr>
            <w:tcW w:w="729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837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  <w:t>39.42±6.09</w:t>
            </w:r>
          </w:p>
        </w:tc>
        <w:tc>
          <w:tcPr>
            <w:tcW w:w="764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793" w:type="dxa"/>
            <w:vMerge w:val="continue"/>
            <w:vAlign w:val="center"/>
          </w:tcPr>
          <w:p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</w:tr>
      <w:bookmarkEnd w:id="3"/>
    </w:tbl>
    <w:p>
      <w:pPr>
        <w:rPr>
          <w:rFonts w:ascii="Times New Roman" w:hAnsi="Times New Roman" w:cs="Times New Roman"/>
        </w:rPr>
      </w:pPr>
      <w:bookmarkStart w:id="6" w:name="_GoBack"/>
      <w:bookmarkEnd w:id="6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753"/>
    <w:rsid w:val="00092753"/>
    <w:rsid w:val="00392073"/>
    <w:rsid w:val="008170DD"/>
    <w:rsid w:val="00D83293"/>
    <w:rsid w:val="00E858B2"/>
    <w:rsid w:val="ECFDB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uiPriority w:val="1"/>
  </w:style>
  <w:style w:type="table" w:default="1" w:styleId="1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Normal (Web)"/>
    <w:basedOn w:val="1"/>
    <w:link w:val="34"/>
    <w:unhideWhenUsed/>
    <w:uiPriority w:val="99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14:ligatures w14:val="none"/>
    </w:rPr>
  </w:style>
  <w:style w:type="paragraph" w:styleId="13">
    <w:name w:val="Title"/>
    <w:basedOn w:val="1"/>
    <w:next w:val="1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标题 1 字符"/>
    <w:basedOn w:val="15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1">
    <w:name w:val="标题 6 字符"/>
    <w:basedOn w:val="15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2">
    <w:name w:val="标题 7 字符"/>
    <w:basedOn w:val="15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3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明显引用 字符"/>
    <w:basedOn w:val="15"/>
    <w:link w:val="31"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4">
    <w:name w:val="普通(网站) 字符"/>
    <w:basedOn w:val="15"/>
    <w:link w:val="12"/>
    <w:uiPriority w:val="99"/>
    <w:rPr>
      <w:rFonts w:ascii="宋体" w:hAnsi="宋体" w:eastAsia="宋体" w:cs="宋体"/>
      <w:kern w:val="0"/>
      <w:sz w:val="24"/>
      <w14:ligatures w14:val="none"/>
    </w:rPr>
  </w:style>
  <w:style w:type="character" w:customStyle="1" w:styleId="35">
    <w:name w:val="apple-converted-space"/>
    <w:basedOn w:val="15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618</Words>
  <Characters>3523</Characters>
  <Lines>29</Lines>
  <Paragraphs>8</Paragraphs>
  <TotalTime>0</TotalTime>
  <ScaleCrop>false</ScaleCrop>
  <LinksUpToDate>false</LinksUpToDate>
  <CharactersWithSpaces>4133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2026-07-04T01:14:00Z</dcterms:created>
  <dc:creator>e58841</dc:creator>
  <cp:lastModifiedBy>54</cp:lastModifiedBy>
  <dcterms:modified xsi:type="dcterms:W3CDTF">2026-07-06T17:24:54Z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2052-6.2.2.8394</vt:lpwstr>
  </property>
  <property fmtid="{D5CDD505-2E9C-101B-9397-08002B2CF9AE}" pid="3" name="ICV">
    <vt:lpwstr>47D50468EBFDAA2566744B6A11B07944_42</vt:lpwstr>
  </property>
</Properties>
</file>