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DA63E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</w:t>
      </w:r>
    </w:p>
    <w:p w14:paraId="008F8819" w14:textId="77777777" w:rsidR="00496753" w:rsidRPr="00AD2721" w:rsidRDefault="00496753" w:rsidP="00496753">
      <w:pPr>
        <w:pStyle w:val="Bijschrift"/>
        <w:spacing w:after="0" w:line="480" w:lineRule="auto"/>
        <w:rPr>
          <w:i w:val="0"/>
          <w:iCs w:val="0"/>
          <w:color w:val="auto"/>
          <w:lang w:val="en-US"/>
        </w:rPr>
      </w:pPr>
      <w:bookmarkStart w:id="0" w:name="_Hlk160184326"/>
      <w:r>
        <w:rPr>
          <w:b/>
          <w:bCs/>
          <w:i w:val="0"/>
          <w:iCs w:val="0"/>
          <w:color w:val="auto"/>
          <w:lang w:val="en-US"/>
        </w:rPr>
        <w:t>T</w:t>
      </w:r>
      <w:r w:rsidRPr="00AD2721">
        <w:rPr>
          <w:b/>
          <w:bCs/>
          <w:i w:val="0"/>
          <w:iCs w:val="0"/>
          <w:color w:val="auto"/>
          <w:lang w:val="en-US"/>
        </w:rPr>
        <w:t xml:space="preserve">able </w:t>
      </w:r>
      <w:r>
        <w:rPr>
          <w:b/>
          <w:bCs/>
          <w:i w:val="0"/>
          <w:iCs w:val="0"/>
          <w:color w:val="auto"/>
          <w:lang w:val="en-US"/>
        </w:rPr>
        <w:t>S1</w:t>
      </w:r>
      <w:r w:rsidRPr="00AD2721">
        <w:rPr>
          <w:b/>
          <w:bCs/>
          <w:i w:val="0"/>
          <w:iCs w:val="0"/>
          <w:color w:val="auto"/>
          <w:lang w:val="en-US"/>
        </w:rPr>
        <w:t>:</w:t>
      </w:r>
      <w:r w:rsidRPr="00AD2721">
        <w:rPr>
          <w:i w:val="0"/>
          <w:iCs w:val="0"/>
          <w:color w:val="auto"/>
          <w:lang w:val="en-US"/>
        </w:rPr>
        <w:t xml:space="preserve"> 7-point drug titration concentrations</w:t>
      </w:r>
      <w:r>
        <w:rPr>
          <w:i w:val="0"/>
          <w:iCs w:val="0"/>
          <w:color w:val="auto"/>
          <w:lang w:val="en-US"/>
        </w:rPr>
        <w:t xml:space="preserve"> (µM)</w:t>
      </w:r>
      <w:r w:rsidRPr="00AD2721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for four</w:t>
      </w:r>
      <w:r w:rsidRPr="00AD2721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 xml:space="preserve">SOC NSCLC </w:t>
      </w:r>
      <w:r w:rsidRPr="00AD2721">
        <w:rPr>
          <w:i w:val="0"/>
          <w:iCs w:val="0"/>
          <w:color w:val="auto"/>
          <w:lang w:val="en-US"/>
        </w:rPr>
        <w:t>chemothera</w:t>
      </w:r>
      <w:r>
        <w:rPr>
          <w:i w:val="0"/>
          <w:iCs w:val="0"/>
          <w:color w:val="auto"/>
          <w:lang w:val="en-US"/>
        </w:rPr>
        <w:t>peutic agents</w:t>
      </w:r>
      <w:r w:rsidRPr="00AD2721">
        <w:rPr>
          <w:i w:val="0"/>
          <w:iCs w:val="0"/>
          <w:color w:val="auto"/>
          <w:lang w:val="en-US"/>
        </w:rPr>
        <w:t>.</w:t>
      </w:r>
      <w:bookmarkEnd w:id="0"/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091"/>
        <w:gridCol w:w="1092"/>
        <w:gridCol w:w="1092"/>
        <w:gridCol w:w="1092"/>
        <w:gridCol w:w="1092"/>
        <w:gridCol w:w="1092"/>
        <w:gridCol w:w="1092"/>
      </w:tblGrid>
      <w:tr w:rsidR="00496753" w14:paraId="1A033781" w14:textId="77777777" w:rsidTr="00330262">
        <w:trPr>
          <w:trHeight w:val="1463"/>
          <w:jc w:val="center"/>
        </w:trPr>
        <w:tc>
          <w:tcPr>
            <w:tcW w:w="1413" w:type="dxa"/>
            <w:tcBorders>
              <w:tl2br w:val="single" w:sz="4" w:space="0" w:color="auto"/>
            </w:tcBorders>
            <w:shd w:val="clear" w:color="auto" w:fill="E8E8E8" w:themeFill="background2"/>
          </w:tcPr>
          <w:p w14:paraId="1D64C5F4" w14:textId="77777777" w:rsidR="00496753" w:rsidRPr="00877760" w:rsidRDefault="00496753" w:rsidP="00330262">
            <w:pPr>
              <w:jc w:val="right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bookmarkStart w:id="1" w:name="_Hlk160183909"/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Drug titration</w:t>
            </w:r>
          </w:p>
          <w:p w14:paraId="3E0AF530" w14:textId="77777777" w:rsidR="00496753" w:rsidRPr="00877760" w:rsidRDefault="00496753" w:rsidP="00330262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56D05B8" w14:textId="77777777" w:rsidR="00496753" w:rsidRPr="00877760" w:rsidRDefault="00496753" w:rsidP="00330262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2814CBF" w14:textId="77777777" w:rsidR="00496753" w:rsidRPr="00877760" w:rsidRDefault="00496753" w:rsidP="00330262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569FA41" w14:textId="77777777" w:rsidR="00496753" w:rsidRPr="00877760" w:rsidRDefault="00496753" w:rsidP="00330262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DB2524D" w14:textId="77777777" w:rsidR="00496753" w:rsidRPr="00877760" w:rsidRDefault="00496753" w:rsidP="00330262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D0C37C6" w14:textId="77777777" w:rsidR="00496753" w:rsidRPr="0099057E" w:rsidRDefault="00496753" w:rsidP="0033026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b/>
                <w:bCs/>
                <w:sz w:val="18"/>
                <w:szCs w:val="18"/>
                <w:lang w:val="en-US"/>
              </w:rPr>
              <w:t>Chemotherapy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91" w:type="dxa"/>
            <w:shd w:val="clear" w:color="auto" w:fill="E8E8E8" w:themeFill="background2"/>
            <w:vAlign w:val="center"/>
          </w:tcPr>
          <w:p w14:paraId="58C4A508" w14:textId="77777777" w:rsidR="00496753" w:rsidRPr="00943C29" w:rsidRDefault="00496753" w:rsidP="00330262">
            <w:pPr>
              <w:jc w:val="center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1092" w:type="dxa"/>
            <w:shd w:val="clear" w:color="auto" w:fill="E8E8E8" w:themeFill="background2"/>
            <w:vAlign w:val="center"/>
          </w:tcPr>
          <w:p w14:paraId="0AFC18B9" w14:textId="77777777" w:rsidR="00496753" w:rsidRPr="00EB071A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1092" w:type="dxa"/>
            <w:shd w:val="clear" w:color="auto" w:fill="E8E8E8" w:themeFill="background2"/>
            <w:vAlign w:val="center"/>
          </w:tcPr>
          <w:p w14:paraId="044D2B81" w14:textId="77777777" w:rsidR="00496753" w:rsidRPr="00EB071A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92" w:type="dxa"/>
            <w:shd w:val="clear" w:color="auto" w:fill="E8E8E8" w:themeFill="background2"/>
            <w:vAlign w:val="center"/>
          </w:tcPr>
          <w:p w14:paraId="1F8AB37B" w14:textId="77777777" w:rsidR="00496753" w:rsidRPr="00B35376" w:rsidRDefault="00496753" w:rsidP="00330262">
            <w:pPr>
              <w:jc w:val="center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92" w:type="dxa"/>
            <w:shd w:val="clear" w:color="auto" w:fill="E8E8E8" w:themeFill="background2"/>
            <w:vAlign w:val="center"/>
          </w:tcPr>
          <w:p w14:paraId="27143154" w14:textId="77777777" w:rsidR="00496753" w:rsidRPr="00B35376" w:rsidRDefault="00496753" w:rsidP="00330262">
            <w:pPr>
              <w:jc w:val="center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092" w:type="dxa"/>
            <w:shd w:val="clear" w:color="auto" w:fill="E8E8E8" w:themeFill="background2"/>
            <w:vAlign w:val="center"/>
          </w:tcPr>
          <w:p w14:paraId="4CB52D78" w14:textId="77777777" w:rsidR="00496753" w:rsidRPr="00943C29" w:rsidRDefault="00496753" w:rsidP="00330262">
            <w:pPr>
              <w:jc w:val="center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1092" w:type="dxa"/>
            <w:shd w:val="clear" w:color="auto" w:fill="E8E8E8" w:themeFill="background2"/>
            <w:vAlign w:val="center"/>
          </w:tcPr>
          <w:p w14:paraId="5D9E3925" w14:textId="77777777" w:rsidR="00496753" w:rsidRPr="00B35376" w:rsidRDefault="00496753" w:rsidP="00330262">
            <w:pPr>
              <w:jc w:val="center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</w:tc>
      </w:tr>
      <w:tr w:rsidR="00496753" w14:paraId="392E6B51" w14:textId="77777777" w:rsidTr="00330262">
        <w:trPr>
          <w:trHeight w:val="340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08751B65" w14:textId="77777777" w:rsidR="00496753" w:rsidRPr="00877760" w:rsidRDefault="00496753" w:rsidP="0033026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Cisplatin</w:t>
            </w:r>
          </w:p>
        </w:tc>
        <w:tc>
          <w:tcPr>
            <w:tcW w:w="1091" w:type="dxa"/>
            <w:vAlign w:val="center"/>
          </w:tcPr>
          <w:p w14:paraId="0FA8A8C4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5</w:t>
            </w:r>
            <w:r>
              <w:rPr>
                <w:rFonts w:cstheme="minorHAnsi"/>
                <w:sz w:val="18"/>
                <w:szCs w:val="18"/>
                <w:lang w:val="en-US"/>
              </w:rPr>
              <w:t>00</w:t>
            </w:r>
          </w:p>
        </w:tc>
        <w:tc>
          <w:tcPr>
            <w:tcW w:w="1092" w:type="dxa"/>
            <w:vAlign w:val="center"/>
          </w:tcPr>
          <w:p w14:paraId="545F2E16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925</w:t>
            </w:r>
          </w:p>
        </w:tc>
        <w:tc>
          <w:tcPr>
            <w:tcW w:w="1092" w:type="dxa"/>
            <w:vAlign w:val="center"/>
          </w:tcPr>
          <w:p w14:paraId="6277D563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710</w:t>
            </w:r>
          </w:p>
        </w:tc>
        <w:tc>
          <w:tcPr>
            <w:tcW w:w="1092" w:type="dxa"/>
            <w:vAlign w:val="center"/>
          </w:tcPr>
          <w:p w14:paraId="2A42172D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3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162</w:t>
            </w:r>
          </w:p>
        </w:tc>
        <w:tc>
          <w:tcPr>
            <w:tcW w:w="1092" w:type="dxa"/>
            <w:vAlign w:val="center"/>
          </w:tcPr>
          <w:p w14:paraId="447FD584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5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848</w:t>
            </w:r>
          </w:p>
        </w:tc>
        <w:tc>
          <w:tcPr>
            <w:tcW w:w="1092" w:type="dxa"/>
            <w:vAlign w:val="center"/>
          </w:tcPr>
          <w:p w14:paraId="772EFD52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10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815</w:t>
            </w:r>
          </w:p>
        </w:tc>
        <w:tc>
          <w:tcPr>
            <w:tcW w:w="1092" w:type="dxa"/>
            <w:vAlign w:val="center"/>
          </w:tcPr>
          <w:p w14:paraId="60B920DB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20</w:t>
            </w:r>
            <w:r>
              <w:rPr>
                <w:rFonts w:cstheme="minorHAnsi"/>
                <w:sz w:val="18"/>
                <w:szCs w:val="18"/>
                <w:lang w:val="en-US"/>
              </w:rPr>
              <w:t>.000</w:t>
            </w:r>
          </w:p>
        </w:tc>
      </w:tr>
      <w:tr w:rsidR="00496753" w14:paraId="306861E6" w14:textId="77777777" w:rsidTr="00330262">
        <w:trPr>
          <w:trHeight w:val="340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44D7E2A2" w14:textId="77777777" w:rsidR="00496753" w:rsidRPr="00877760" w:rsidRDefault="00496753" w:rsidP="0033026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Carboplatin</w:t>
            </w:r>
          </w:p>
        </w:tc>
        <w:tc>
          <w:tcPr>
            <w:tcW w:w="1091" w:type="dxa"/>
            <w:vAlign w:val="center"/>
          </w:tcPr>
          <w:p w14:paraId="291E4362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92" w:type="dxa"/>
            <w:vAlign w:val="center"/>
          </w:tcPr>
          <w:p w14:paraId="090BDAF9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076</w:t>
            </w:r>
          </w:p>
        </w:tc>
        <w:tc>
          <w:tcPr>
            <w:tcW w:w="1092" w:type="dxa"/>
            <w:vAlign w:val="center"/>
          </w:tcPr>
          <w:p w14:paraId="26DC4A2A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4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309</w:t>
            </w:r>
          </w:p>
        </w:tc>
        <w:tc>
          <w:tcPr>
            <w:tcW w:w="1092" w:type="dxa"/>
            <w:vAlign w:val="center"/>
          </w:tcPr>
          <w:p w14:paraId="6C160093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8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944</w:t>
            </w:r>
          </w:p>
        </w:tc>
        <w:tc>
          <w:tcPr>
            <w:tcW w:w="1092" w:type="dxa"/>
            <w:vAlign w:val="center"/>
          </w:tcPr>
          <w:p w14:paraId="23210702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18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566</w:t>
            </w:r>
          </w:p>
        </w:tc>
        <w:tc>
          <w:tcPr>
            <w:tcW w:w="1092" w:type="dxa"/>
            <w:vAlign w:val="center"/>
          </w:tcPr>
          <w:p w14:paraId="45169817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38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540</w:t>
            </w:r>
          </w:p>
        </w:tc>
        <w:tc>
          <w:tcPr>
            <w:tcW w:w="1092" w:type="dxa"/>
            <w:vAlign w:val="center"/>
          </w:tcPr>
          <w:p w14:paraId="0ED58552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80</w:t>
            </w:r>
            <w:r>
              <w:rPr>
                <w:rFonts w:cstheme="minorHAnsi"/>
                <w:sz w:val="18"/>
                <w:szCs w:val="18"/>
                <w:lang w:val="en-US"/>
              </w:rPr>
              <w:t>.000</w:t>
            </w:r>
          </w:p>
        </w:tc>
      </w:tr>
      <w:tr w:rsidR="00496753" w14:paraId="3730B640" w14:textId="77777777" w:rsidTr="00330262">
        <w:trPr>
          <w:trHeight w:val="340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2F80767E" w14:textId="77777777" w:rsidR="00496753" w:rsidRPr="00877760" w:rsidRDefault="00496753" w:rsidP="0033026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Docetaxel</w:t>
            </w:r>
          </w:p>
        </w:tc>
        <w:tc>
          <w:tcPr>
            <w:tcW w:w="1091" w:type="dxa"/>
            <w:vAlign w:val="center"/>
          </w:tcPr>
          <w:p w14:paraId="6E4E939E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092" w:type="dxa"/>
            <w:vAlign w:val="center"/>
          </w:tcPr>
          <w:p w14:paraId="5781F80D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0.00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92" w:type="dxa"/>
            <w:vAlign w:val="center"/>
          </w:tcPr>
          <w:p w14:paraId="3015FB0B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092" w:type="dxa"/>
            <w:vAlign w:val="center"/>
          </w:tcPr>
          <w:p w14:paraId="564C932F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32</w:t>
            </w:r>
          </w:p>
        </w:tc>
        <w:tc>
          <w:tcPr>
            <w:tcW w:w="1092" w:type="dxa"/>
            <w:vAlign w:val="center"/>
          </w:tcPr>
          <w:p w14:paraId="52B76922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00</w:t>
            </w:r>
          </w:p>
        </w:tc>
        <w:tc>
          <w:tcPr>
            <w:tcW w:w="1092" w:type="dxa"/>
            <w:vAlign w:val="center"/>
          </w:tcPr>
          <w:p w14:paraId="61492F3E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316</w:t>
            </w:r>
          </w:p>
        </w:tc>
        <w:tc>
          <w:tcPr>
            <w:tcW w:w="1092" w:type="dxa"/>
            <w:vAlign w:val="center"/>
          </w:tcPr>
          <w:p w14:paraId="4FA63AF5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.000</w:t>
            </w:r>
          </w:p>
        </w:tc>
      </w:tr>
      <w:tr w:rsidR="00496753" w14:paraId="73C8B15E" w14:textId="77777777" w:rsidTr="00330262">
        <w:trPr>
          <w:trHeight w:val="340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62CC88A5" w14:textId="77777777" w:rsidR="00496753" w:rsidRPr="00877760" w:rsidRDefault="00496753" w:rsidP="0033026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Gemcitabine</w:t>
            </w:r>
          </w:p>
        </w:tc>
        <w:tc>
          <w:tcPr>
            <w:tcW w:w="1091" w:type="dxa"/>
            <w:vAlign w:val="center"/>
          </w:tcPr>
          <w:p w14:paraId="5BA30226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0.00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1092" w:type="dxa"/>
            <w:vAlign w:val="center"/>
          </w:tcPr>
          <w:p w14:paraId="17964E57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0.00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092" w:type="dxa"/>
            <w:vAlign w:val="center"/>
          </w:tcPr>
          <w:p w14:paraId="7C480D9C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22</w:t>
            </w:r>
          </w:p>
        </w:tc>
        <w:tc>
          <w:tcPr>
            <w:tcW w:w="1092" w:type="dxa"/>
            <w:vAlign w:val="center"/>
          </w:tcPr>
          <w:p w14:paraId="733F07BD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00</w:t>
            </w:r>
          </w:p>
        </w:tc>
        <w:tc>
          <w:tcPr>
            <w:tcW w:w="1092" w:type="dxa"/>
            <w:vAlign w:val="center"/>
          </w:tcPr>
          <w:p w14:paraId="5418D76B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464</w:t>
            </w:r>
          </w:p>
        </w:tc>
        <w:tc>
          <w:tcPr>
            <w:tcW w:w="1092" w:type="dxa"/>
            <w:vAlign w:val="center"/>
          </w:tcPr>
          <w:p w14:paraId="580D0427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877760">
              <w:rPr>
                <w:rFonts w:cstheme="minorHAnsi"/>
                <w:sz w:val="18"/>
                <w:szCs w:val="18"/>
                <w:lang w:val="en-US"/>
              </w:rPr>
              <w:t>154</w:t>
            </w:r>
          </w:p>
        </w:tc>
        <w:tc>
          <w:tcPr>
            <w:tcW w:w="1092" w:type="dxa"/>
            <w:vAlign w:val="center"/>
          </w:tcPr>
          <w:p w14:paraId="066535AC" w14:textId="77777777" w:rsidR="00496753" w:rsidRPr="00877760" w:rsidRDefault="00496753" w:rsidP="0033026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7760">
              <w:rPr>
                <w:rFonts w:cstheme="minorHAnsi"/>
                <w:sz w:val="18"/>
                <w:szCs w:val="18"/>
                <w:lang w:val="en-US"/>
              </w:rPr>
              <w:t>10</w:t>
            </w:r>
            <w:r>
              <w:rPr>
                <w:rFonts w:cstheme="minorHAnsi"/>
                <w:sz w:val="18"/>
                <w:szCs w:val="18"/>
                <w:lang w:val="en-US"/>
              </w:rPr>
              <w:t>.000</w:t>
            </w:r>
          </w:p>
        </w:tc>
      </w:tr>
      <w:bookmarkEnd w:id="1"/>
    </w:tbl>
    <w:p w14:paraId="18CC042C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</w:p>
    <w:p w14:paraId="65C8B844" w14:textId="77777777" w:rsidR="00496753" w:rsidRPr="009E221F" w:rsidRDefault="00496753" w:rsidP="00496753">
      <w:pPr>
        <w:pStyle w:val="Bijschrift"/>
        <w:spacing w:after="0" w:line="480" w:lineRule="auto"/>
        <w:rPr>
          <w:i w:val="0"/>
          <w:iCs w:val="0"/>
          <w:color w:val="auto"/>
          <w:lang w:val="en-US"/>
        </w:rPr>
      </w:pPr>
      <w:r>
        <w:rPr>
          <w:b/>
          <w:bCs/>
          <w:i w:val="0"/>
          <w:iCs w:val="0"/>
          <w:color w:val="auto"/>
          <w:lang w:val="en-US"/>
        </w:rPr>
        <w:t>T</w:t>
      </w:r>
      <w:r w:rsidRPr="00AD2721">
        <w:rPr>
          <w:b/>
          <w:bCs/>
          <w:i w:val="0"/>
          <w:iCs w:val="0"/>
          <w:color w:val="auto"/>
          <w:lang w:val="en-US"/>
        </w:rPr>
        <w:t xml:space="preserve">able </w:t>
      </w:r>
      <w:r>
        <w:rPr>
          <w:b/>
          <w:bCs/>
          <w:i w:val="0"/>
          <w:iCs w:val="0"/>
          <w:color w:val="auto"/>
          <w:lang w:val="en-US"/>
        </w:rPr>
        <w:t>S2</w:t>
      </w:r>
      <w:r w:rsidRPr="00AD2721">
        <w:rPr>
          <w:b/>
          <w:bCs/>
          <w:i w:val="0"/>
          <w:iCs w:val="0"/>
          <w:color w:val="auto"/>
          <w:lang w:val="en-US"/>
        </w:rPr>
        <w:t>:</w:t>
      </w:r>
      <w:r w:rsidRPr="00AD2721">
        <w:rPr>
          <w:i w:val="0"/>
          <w:iCs w:val="0"/>
          <w:color w:val="auto"/>
          <w:lang w:val="en-US"/>
        </w:rPr>
        <w:t xml:space="preserve"> </w:t>
      </w:r>
      <w:r w:rsidRPr="009E221F">
        <w:rPr>
          <w:i w:val="0"/>
          <w:iCs w:val="0"/>
          <w:color w:val="auto"/>
          <w:lang w:val="en-US"/>
        </w:rPr>
        <w:t xml:space="preserve">Drug connectivity analysis using the large-scale pharmacogenomic dataset CTRPv2, top mechanisms of action that target most differently expressed pathways in the TIS </w:t>
      </w:r>
      <w:r>
        <w:rPr>
          <w:i w:val="0"/>
          <w:iCs w:val="0"/>
          <w:color w:val="auto"/>
          <w:lang w:val="en-US"/>
        </w:rPr>
        <w:t xml:space="preserve">A549 </w:t>
      </w:r>
      <w:r w:rsidRPr="009E221F">
        <w:rPr>
          <w:i w:val="0"/>
          <w:iCs w:val="0"/>
          <w:color w:val="auto"/>
          <w:lang w:val="en-US"/>
        </w:rPr>
        <w:t xml:space="preserve">cells compared to non-senescent control cells are shown, blue marked rows indicate mechanisms of action that we examined targeting with potential </w:t>
      </w:r>
      <w:proofErr w:type="spellStart"/>
      <w:r w:rsidRPr="009E221F">
        <w:rPr>
          <w:i w:val="0"/>
          <w:iCs w:val="0"/>
          <w:color w:val="auto"/>
          <w:lang w:val="en-US"/>
        </w:rPr>
        <w:t>senolytic</w:t>
      </w:r>
      <w:proofErr w:type="spellEnd"/>
      <w:r w:rsidRPr="009E221F">
        <w:rPr>
          <w:i w:val="0"/>
          <w:iCs w:val="0"/>
          <w:color w:val="auto"/>
          <w:lang w:val="en-US"/>
        </w:rPr>
        <w:t xml:space="preserve"> compounds.</w:t>
      </w:r>
    </w:p>
    <w:tbl>
      <w:tblPr>
        <w:tblW w:w="9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520"/>
        <w:gridCol w:w="1060"/>
        <w:gridCol w:w="1780"/>
        <w:gridCol w:w="880"/>
      </w:tblGrid>
      <w:tr w:rsidR="00496753" w:rsidRPr="00BD4241" w14:paraId="76AAC63A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6051EFF4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nl-BE"/>
              </w:rPr>
              <w:t>Mode of action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26F4905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nl-BE"/>
              </w:rPr>
              <w:t>Target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2511570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nl-BE"/>
              </w:rPr>
              <w:t>Compound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3BB0549C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nl-BE"/>
              </w:rPr>
              <w:t>NES</w:t>
            </w:r>
          </w:p>
        </w:tc>
      </w:tr>
      <w:tr w:rsidR="00496753" w:rsidRPr="00BD4241" w14:paraId="7EF11123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10838BF2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Inhibitor of p38 MAPK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219C738B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MAPK14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A0970EB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Doramapimod</w:t>
            </w:r>
            <w:proofErr w:type="spellEnd"/>
          </w:p>
          <w:p w14:paraId="273D9D8C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Adezmapimod</w:t>
            </w:r>
            <w:proofErr w:type="spellEnd"/>
          </w:p>
          <w:p w14:paraId="01D1C3DA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Skepinone</w:t>
            </w:r>
            <w:proofErr w:type="spellEnd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-l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67533A51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-2.081</w:t>
            </w:r>
          </w:p>
        </w:tc>
      </w:tr>
      <w:tr w:rsidR="00496753" w:rsidRPr="00BD4241" w14:paraId="1B272278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12B6926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nl-BE"/>
              </w:rPr>
              <w:t>Inhibitor of CRM1-mediated nucleocytoplasmic transport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796D8CFA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XPO1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7AC6392C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218C3703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-1.953</w:t>
            </w:r>
          </w:p>
        </w:tc>
      </w:tr>
      <w:tr w:rsidR="00496753" w:rsidRPr="00BD4241" w14:paraId="4395A71F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76207CC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 xml:space="preserve">Inhibitor of </w:t>
            </w: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nicotinamide</w:t>
            </w:r>
            <w:proofErr w:type="spellEnd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phosphoribosyltransferase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16D1EB6A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NAMPT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E40EDDE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6BF22581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-1.769</w:t>
            </w:r>
          </w:p>
        </w:tc>
      </w:tr>
      <w:tr w:rsidR="00496753" w:rsidRPr="00BD4241" w14:paraId="6988B5ED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5F392168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Activator of BAX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2DC3881F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BAX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149D1F9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BTSA1</w:t>
            </w:r>
          </w:p>
          <w:p w14:paraId="48090696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BAM7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1D4E8D20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-1.722</w:t>
            </w:r>
          </w:p>
        </w:tc>
      </w:tr>
      <w:tr w:rsidR="00496753" w:rsidRPr="00BD4241" w14:paraId="0037F442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3CB832DE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nl-BE"/>
              </w:rPr>
              <w:t>Inhibitor of polo-like kinase 1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1844C76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PLK1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B760E3A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B0CAC3A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-1.685</w:t>
            </w:r>
          </w:p>
        </w:tc>
      </w:tr>
      <w:tr w:rsidR="00496753" w:rsidRPr="00BD4241" w14:paraId="5B03CE04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7DA22A84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Activator of Sirtuin-1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5146000A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SIRT1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57C720D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12301E37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-1.655</w:t>
            </w:r>
          </w:p>
        </w:tc>
      </w:tr>
      <w:tr w:rsidR="00496753" w:rsidRPr="00BD4241" w14:paraId="76556A1B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3C034579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nl-BE"/>
              </w:rPr>
              <w:t>Inhibitor of the transforming growth factor beta type 1 receptor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648CFA83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TGFBR1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F735F57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581D47B9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-1.654</w:t>
            </w:r>
          </w:p>
        </w:tc>
      </w:tr>
      <w:tr w:rsidR="00496753" w:rsidRPr="00BD4241" w14:paraId="717F8786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5D48F36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nl-BE"/>
              </w:rPr>
              <w:t>Inhibitor of insulin-like growth factor 1 receptor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686D8C5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IGF1R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7E36C259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Picropodophyllin</w:t>
            </w:r>
            <w:proofErr w:type="spellEnd"/>
          </w:p>
          <w:p w14:paraId="15CAC6CC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AZD-3463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1F393A55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-1.649</w:t>
            </w:r>
          </w:p>
        </w:tc>
      </w:tr>
      <w:tr w:rsidR="00496753" w:rsidRPr="00BD4241" w14:paraId="4FD8CFFF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47F05CF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 xml:space="preserve">Inhibitor of DNA </w:t>
            </w: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methyltransferase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580E9FDA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DNMT1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4175D3D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F60CE57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-1.550</w:t>
            </w:r>
          </w:p>
        </w:tc>
      </w:tr>
      <w:tr w:rsidR="00496753" w:rsidRPr="00BD4241" w14:paraId="7649B2DE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BB05529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nl-BE"/>
              </w:rPr>
              <w:t>Inhibitor of BCL2 family proteins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6BFD279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BCL2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47FA37DC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Navitoclax</w:t>
            </w:r>
            <w:proofErr w:type="spellEnd"/>
          </w:p>
          <w:p w14:paraId="653DCCD5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Venetoclax</w:t>
            </w:r>
            <w:proofErr w:type="spellEnd"/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EE80663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-1.495</w:t>
            </w:r>
          </w:p>
        </w:tc>
      </w:tr>
      <w:tr w:rsidR="00496753" w:rsidRPr="00BD4241" w14:paraId="250E239B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045FE39E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Inhibitor of chemokine receptor 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6DABC657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CXCR2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71E4DC4E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73E4A155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-1.490</w:t>
            </w:r>
          </w:p>
        </w:tc>
      </w:tr>
      <w:tr w:rsidR="00496753" w:rsidRPr="00BD4241" w14:paraId="1C4275C2" w14:textId="77777777" w:rsidTr="00330262">
        <w:trPr>
          <w:trHeight w:val="2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2A78B02D" w14:textId="77777777" w:rsidR="00496753" w:rsidRPr="00BD4241" w:rsidRDefault="00496753" w:rsidP="003302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 xml:space="preserve">Inhibitor of </w:t>
            </w: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thioredoxin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730B7108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TXN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18FC3313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proofErr w:type="spellStart"/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Auranofin</w:t>
            </w:r>
            <w:proofErr w:type="spellEnd"/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48" w:type="dxa"/>
              <w:left w:w="95" w:type="dxa"/>
              <w:bottom w:w="48" w:type="dxa"/>
              <w:right w:w="95" w:type="dxa"/>
            </w:tcMar>
            <w:vAlign w:val="center"/>
            <w:hideMark/>
          </w:tcPr>
          <w:p w14:paraId="1E401A6C" w14:textId="77777777" w:rsidR="00496753" w:rsidRPr="00BD4241" w:rsidRDefault="00496753" w:rsidP="00330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BE"/>
              </w:rPr>
            </w:pPr>
            <w:r w:rsidRPr="00BD424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nl-BE"/>
              </w:rPr>
              <w:t>-1.483</w:t>
            </w:r>
          </w:p>
        </w:tc>
      </w:tr>
    </w:tbl>
    <w:p w14:paraId="3CAC42C2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1C8BFD21" wp14:editId="417A8F83">
            <wp:extent cx="5761355" cy="3670300"/>
            <wp:effectExtent l="0" t="0" r="0" b="6350"/>
            <wp:docPr id="27096732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9D78E" w14:textId="77777777" w:rsidR="00496753" w:rsidRDefault="00496753" w:rsidP="00496753">
      <w:pPr>
        <w:pStyle w:val="Bijschrift"/>
        <w:spacing w:before="240" w:line="480" w:lineRule="auto"/>
        <w:jc w:val="both"/>
        <w:rPr>
          <w:i w:val="0"/>
          <w:iCs w:val="0"/>
          <w:color w:val="auto"/>
          <w:lang w:val="en-US"/>
        </w:rPr>
      </w:pPr>
      <w:r w:rsidRPr="00625DB3">
        <w:rPr>
          <w:b/>
          <w:bCs/>
          <w:i w:val="0"/>
          <w:iCs w:val="0"/>
          <w:color w:val="auto"/>
          <w:u w:val="single"/>
          <w:lang w:val="en-US"/>
        </w:rPr>
        <w:t xml:space="preserve">Figure </w:t>
      </w:r>
      <w:r>
        <w:rPr>
          <w:b/>
          <w:bCs/>
          <w:i w:val="0"/>
          <w:iCs w:val="0"/>
          <w:color w:val="auto"/>
          <w:u w:val="single"/>
          <w:lang w:val="en-US"/>
        </w:rPr>
        <w:t>S1</w:t>
      </w:r>
      <w:r w:rsidRPr="00625DB3">
        <w:rPr>
          <w:b/>
          <w:bCs/>
          <w:i w:val="0"/>
          <w:iCs w:val="0"/>
          <w:color w:val="auto"/>
          <w:u w:val="single"/>
          <w:lang w:val="en-US"/>
        </w:rPr>
        <w:t>:</w:t>
      </w:r>
      <w:r>
        <w:rPr>
          <w:b/>
          <w:bCs/>
          <w:i w:val="0"/>
          <w:iCs w:val="0"/>
          <w:color w:val="auto"/>
          <w:lang w:val="en-US"/>
        </w:rPr>
        <w:t xml:space="preserve"> Development of an automated high-throughput senescence detection and classification strategy. </w:t>
      </w:r>
      <w:r w:rsidRPr="004235BE">
        <w:rPr>
          <w:i w:val="0"/>
          <w:iCs w:val="0"/>
          <w:color w:val="auto"/>
          <w:lang w:val="en-US"/>
        </w:rPr>
        <w:t xml:space="preserve">Upper panels represent images of individual wells taken with the Spark® </w:t>
      </w:r>
      <w:proofErr w:type="spellStart"/>
      <w:r w:rsidRPr="004235BE">
        <w:rPr>
          <w:i w:val="0"/>
          <w:iCs w:val="0"/>
          <w:color w:val="auto"/>
          <w:lang w:val="en-US"/>
        </w:rPr>
        <w:t>Cyto</w:t>
      </w:r>
      <w:proofErr w:type="spellEnd"/>
      <w:r w:rsidRPr="004235BE">
        <w:rPr>
          <w:i w:val="0"/>
          <w:iCs w:val="0"/>
          <w:color w:val="auto"/>
          <w:lang w:val="en-US"/>
        </w:rPr>
        <w:t xml:space="preserve"> imaging system of A549 cells after staining with </w:t>
      </w:r>
      <w:r>
        <w:rPr>
          <w:i w:val="0"/>
          <w:iCs w:val="0"/>
          <w:color w:val="auto"/>
          <w:lang w:val="en-US"/>
        </w:rPr>
        <w:t xml:space="preserve">the </w:t>
      </w:r>
      <w:r w:rsidRPr="004235BE">
        <w:rPr>
          <w:i w:val="0"/>
          <w:iCs w:val="0"/>
          <w:color w:val="auto"/>
          <w:lang w:val="en-US"/>
        </w:rPr>
        <w:t xml:space="preserve">fluorescent blue nuclear dye </w:t>
      </w:r>
      <w:r>
        <w:rPr>
          <w:i w:val="0"/>
          <w:iCs w:val="0"/>
          <w:color w:val="auto"/>
          <w:lang w:val="en-US"/>
        </w:rPr>
        <w:t xml:space="preserve">Hoechst 33342 </w:t>
      </w:r>
      <w:r w:rsidRPr="004235BE">
        <w:rPr>
          <w:i w:val="0"/>
          <w:iCs w:val="0"/>
          <w:color w:val="auto"/>
          <w:lang w:val="en-US"/>
        </w:rPr>
        <w:t xml:space="preserve">and fluorescent green probe for SA-β-Gal in different conditions of senescence induction. Lower panels represent </w:t>
      </w:r>
      <w:r>
        <w:rPr>
          <w:i w:val="0"/>
          <w:iCs w:val="0"/>
          <w:color w:val="auto"/>
          <w:lang w:val="en-US"/>
        </w:rPr>
        <w:t>classification</w:t>
      </w:r>
      <w:r w:rsidRPr="004235BE">
        <w:rPr>
          <w:i w:val="0"/>
          <w:iCs w:val="0"/>
          <w:color w:val="auto"/>
          <w:lang w:val="en-US"/>
        </w:rPr>
        <w:t xml:space="preserve"> of </w:t>
      </w:r>
      <w:r>
        <w:rPr>
          <w:i w:val="0"/>
          <w:iCs w:val="0"/>
          <w:color w:val="auto"/>
          <w:lang w:val="en-US"/>
        </w:rPr>
        <w:t xml:space="preserve">TIS </w:t>
      </w:r>
      <w:r w:rsidRPr="004235BE">
        <w:rPr>
          <w:i w:val="0"/>
          <w:iCs w:val="0"/>
          <w:color w:val="auto"/>
          <w:lang w:val="en-US"/>
        </w:rPr>
        <w:t xml:space="preserve">cells (yellow cells) and non-senescent cells (red cells) based on the presence or absence of senescent phenotypic features. Cells with a normal nuclear size, without SA-β-Gal activity and/or small cytoplasmic fluorescent green area (i.e., normal cell size) are </w:t>
      </w:r>
      <w:r>
        <w:rPr>
          <w:i w:val="0"/>
          <w:iCs w:val="0"/>
          <w:color w:val="auto"/>
          <w:lang w:val="en-US"/>
        </w:rPr>
        <w:t>classified</w:t>
      </w:r>
      <w:r w:rsidRPr="004235BE">
        <w:rPr>
          <w:i w:val="0"/>
          <w:iCs w:val="0"/>
          <w:color w:val="auto"/>
          <w:lang w:val="en-US"/>
        </w:rPr>
        <w:t xml:space="preserve"> as non-senescent cells (black circles). Cells with an enlarged nucleus, cytoplasmic SA-β-Gal activity and an enlarged cytoplasmic fluorescent green area (i.e., enlarged cell size) are </w:t>
      </w:r>
      <w:r>
        <w:rPr>
          <w:i w:val="0"/>
          <w:iCs w:val="0"/>
          <w:color w:val="auto"/>
          <w:lang w:val="en-US"/>
        </w:rPr>
        <w:t xml:space="preserve">classified </w:t>
      </w:r>
      <w:r w:rsidRPr="004235BE">
        <w:rPr>
          <w:i w:val="0"/>
          <w:iCs w:val="0"/>
          <w:color w:val="auto"/>
          <w:lang w:val="en-US"/>
        </w:rPr>
        <w:t xml:space="preserve">as senescent cells (white circles). In case cells do express some (i.e., only an enlarged nuclear size in this case) but not all of these three senescent phenotypic features, cells are </w:t>
      </w:r>
      <w:r>
        <w:rPr>
          <w:i w:val="0"/>
          <w:iCs w:val="0"/>
          <w:color w:val="auto"/>
          <w:lang w:val="en-US"/>
        </w:rPr>
        <w:t>classified</w:t>
      </w:r>
      <w:r w:rsidRPr="004235BE">
        <w:rPr>
          <w:i w:val="0"/>
          <w:iCs w:val="0"/>
          <w:color w:val="auto"/>
          <w:lang w:val="en-US"/>
        </w:rPr>
        <w:t xml:space="preserve"> as non-senescent (orange circles).</w:t>
      </w:r>
      <w:r>
        <w:rPr>
          <w:i w:val="0"/>
          <w:iCs w:val="0"/>
          <w:color w:val="auto"/>
          <w:lang w:val="en-US"/>
        </w:rPr>
        <w:t xml:space="preserve"> SA-</w:t>
      </w:r>
      <w:r w:rsidRPr="00C475E8">
        <w:rPr>
          <w:i w:val="0"/>
          <w:iCs w:val="0"/>
          <w:color w:val="auto"/>
          <w:lang w:val="en-US"/>
        </w:rPr>
        <w:t xml:space="preserve"> </w:t>
      </w:r>
      <w:r w:rsidRPr="004235BE">
        <w:rPr>
          <w:i w:val="0"/>
          <w:iCs w:val="0"/>
          <w:color w:val="auto"/>
          <w:lang w:val="en-US"/>
        </w:rPr>
        <w:t>β-Gal</w:t>
      </w:r>
      <w:r>
        <w:rPr>
          <w:i w:val="0"/>
          <w:iCs w:val="0"/>
          <w:color w:val="auto"/>
          <w:lang w:val="en-US"/>
        </w:rPr>
        <w:t>, senescence-associated beta galactosidase; TIS: therapy-induced senescence.</w:t>
      </w:r>
    </w:p>
    <w:p w14:paraId="3E1F3C93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</w:p>
    <w:p w14:paraId="4F63B303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</w:p>
    <w:p w14:paraId="3ED74B3D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</w:p>
    <w:p w14:paraId="72862D6C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</w:p>
    <w:p w14:paraId="208977BB" w14:textId="77777777" w:rsidR="00496753" w:rsidRDefault="00496753" w:rsidP="00496753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15E07B18" wp14:editId="5FDF0DC6">
            <wp:extent cx="6005195" cy="4127500"/>
            <wp:effectExtent l="0" t="0" r="0" b="0"/>
            <wp:docPr id="90626966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2FF33" w14:textId="77777777" w:rsidR="00496753" w:rsidRPr="00973EB5" w:rsidRDefault="00496753" w:rsidP="00496753">
      <w:pPr>
        <w:pStyle w:val="Bijschrift"/>
        <w:spacing w:before="240" w:line="480" w:lineRule="auto"/>
        <w:jc w:val="both"/>
        <w:rPr>
          <w:i w:val="0"/>
          <w:iCs w:val="0"/>
          <w:color w:val="auto"/>
          <w:lang w:val="en-US"/>
        </w:rPr>
      </w:pPr>
      <w:r w:rsidRPr="00625DB3">
        <w:rPr>
          <w:b/>
          <w:bCs/>
          <w:i w:val="0"/>
          <w:iCs w:val="0"/>
          <w:color w:val="auto"/>
          <w:u w:val="single"/>
          <w:lang w:val="en-US"/>
        </w:rPr>
        <w:t xml:space="preserve">Figure </w:t>
      </w:r>
      <w:r>
        <w:rPr>
          <w:b/>
          <w:bCs/>
          <w:i w:val="0"/>
          <w:iCs w:val="0"/>
          <w:color w:val="auto"/>
          <w:u w:val="single"/>
          <w:lang w:val="en-US"/>
        </w:rPr>
        <w:t>S2</w:t>
      </w:r>
      <w:r w:rsidRPr="00625DB3">
        <w:rPr>
          <w:b/>
          <w:bCs/>
          <w:i w:val="0"/>
          <w:iCs w:val="0"/>
          <w:color w:val="auto"/>
          <w:u w:val="single"/>
          <w:lang w:val="en-US"/>
        </w:rPr>
        <w:t>:</w:t>
      </w:r>
      <w:r>
        <w:rPr>
          <w:b/>
          <w:bCs/>
          <w:i w:val="0"/>
          <w:iCs w:val="0"/>
          <w:color w:val="auto"/>
          <w:lang w:val="en-US"/>
        </w:rPr>
        <w:t xml:space="preserve"> </w:t>
      </w:r>
      <w:r w:rsidRPr="00894C50">
        <w:rPr>
          <w:b/>
          <w:bCs/>
          <w:i w:val="0"/>
          <w:iCs w:val="0"/>
          <w:color w:val="auto"/>
          <w:lang w:val="en-US"/>
        </w:rPr>
        <w:t xml:space="preserve">TIS is induced in </w:t>
      </w:r>
      <w:r>
        <w:rPr>
          <w:b/>
          <w:bCs/>
          <w:i w:val="0"/>
          <w:iCs w:val="0"/>
          <w:color w:val="auto"/>
          <w:lang w:val="en-US"/>
        </w:rPr>
        <w:t>H460</w:t>
      </w:r>
      <w:r w:rsidRPr="00894C50">
        <w:rPr>
          <w:b/>
          <w:bCs/>
          <w:i w:val="0"/>
          <w:iCs w:val="0"/>
          <w:color w:val="auto"/>
          <w:lang w:val="en-US"/>
        </w:rPr>
        <w:t xml:space="preserve"> </w:t>
      </w:r>
      <w:r>
        <w:rPr>
          <w:b/>
          <w:bCs/>
          <w:i w:val="0"/>
          <w:iCs w:val="0"/>
          <w:color w:val="auto"/>
          <w:lang w:val="en-US"/>
        </w:rPr>
        <w:t>NSCLC</w:t>
      </w:r>
      <w:r w:rsidRPr="00894C50">
        <w:rPr>
          <w:b/>
          <w:bCs/>
          <w:i w:val="0"/>
          <w:iCs w:val="0"/>
          <w:color w:val="auto"/>
          <w:lang w:val="en-US"/>
        </w:rPr>
        <w:t xml:space="preserve"> cells by </w:t>
      </w:r>
      <w:r>
        <w:rPr>
          <w:b/>
          <w:bCs/>
          <w:i w:val="0"/>
          <w:iCs w:val="0"/>
          <w:color w:val="auto"/>
          <w:lang w:val="en-US"/>
        </w:rPr>
        <w:t>platinum-based chemotherapeutic treatment.</w:t>
      </w:r>
      <w:r w:rsidRPr="00894C50">
        <w:rPr>
          <w:b/>
          <w:bCs/>
          <w:i w:val="0"/>
          <w:iCs w:val="0"/>
          <w:color w:val="auto"/>
          <w:lang w:val="en-US"/>
        </w:rPr>
        <w:t xml:space="preserve"> (A)</w:t>
      </w:r>
      <w:r w:rsidRPr="00894C50">
        <w:rPr>
          <w:i w:val="0"/>
          <w:iCs w:val="0"/>
          <w:color w:val="auto"/>
          <w:lang w:val="en-US"/>
        </w:rPr>
        <w:t xml:space="preserve"> Immunohistochemical staining of non-senescent control and TIS</w:t>
      </w:r>
      <w:r>
        <w:rPr>
          <w:i w:val="0"/>
          <w:iCs w:val="0"/>
          <w:color w:val="auto"/>
          <w:lang w:val="en-US"/>
        </w:rPr>
        <w:t xml:space="preserve"> H460</w:t>
      </w:r>
      <w:r w:rsidRPr="00894C50">
        <w:rPr>
          <w:i w:val="0"/>
          <w:iCs w:val="0"/>
          <w:color w:val="auto"/>
          <w:lang w:val="en-US"/>
        </w:rPr>
        <w:t xml:space="preserve"> cells for the canonical senescence markers SA-β-Gal, KI-67, p21 and p53. </w:t>
      </w:r>
      <w:r w:rsidRPr="00064836">
        <w:rPr>
          <w:b/>
          <w:bCs/>
          <w:i w:val="0"/>
          <w:iCs w:val="0"/>
          <w:color w:val="auto"/>
          <w:lang w:val="en-US"/>
        </w:rPr>
        <w:t>(B)</w:t>
      </w:r>
      <w:r w:rsidRPr="00894C50">
        <w:rPr>
          <w:i w:val="0"/>
          <w:iCs w:val="0"/>
          <w:color w:val="auto"/>
          <w:lang w:val="en-US"/>
        </w:rPr>
        <w:t xml:space="preserve"> </w:t>
      </w:r>
      <w:r w:rsidRPr="002643F2">
        <w:rPr>
          <w:i w:val="0"/>
          <w:iCs w:val="0"/>
          <w:color w:val="auto"/>
          <w:lang w:val="en-US"/>
        </w:rPr>
        <w:t>Quantification of the normalized SA-β-Gal expression using Fiji software (</w:t>
      </w:r>
      <w:r>
        <w:rPr>
          <w:i w:val="0"/>
          <w:iCs w:val="0"/>
          <w:color w:val="auto"/>
          <w:lang w:val="en-US"/>
        </w:rPr>
        <w:t>upper</w:t>
      </w:r>
      <w:r w:rsidRPr="002643F2">
        <w:rPr>
          <w:i w:val="0"/>
          <w:iCs w:val="0"/>
          <w:color w:val="auto"/>
          <w:lang w:val="en-US"/>
        </w:rPr>
        <w:t xml:space="preserve"> panel) and the percentage positive KI-67, p21 and p53 cells using </w:t>
      </w:r>
      <w:proofErr w:type="spellStart"/>
      <w:r w:rsidRPr="002643F2">
        <w:rPr>
          <w:i w:val="0"/>
          <w:iCs w:val="0"/>
          <w:color w:val="auto"/>
          <w:lang w:val="en-US"/>
        </w:rPr>
        <w:t>QuPath</w:t>
      </w:r>
      <w:proofErr w:type="spellEnd"/>
      <w:r w:rsidRPr="002643F2">
        <w:rPr>
          <w:i w:val="0"/>
          <w:iCs w:val="0"/>
          <w:color w:val="auto"/>
          <w:lang w:val="en-US"/>
        </w:rPr>
        <w:t xml:space="preserve"> software (</w:t>
      </w:r>
      <w:r>
        <w:rPr>
          <w:i w:val="0"/>
          <w:iCs w:val="0"/>
          <w:color w:val="auto"/>
          <w:lang w:val="en-US"/>
        </w:rPr>
        <w:t>lower</w:t>
      </w:r>
      <w:r w:rsidRPr="002643F2">
        <w:rPr>
          <w:i w:val="0"/>
          <w:iCs w:val="0"/>
          <w:color w:val="auto"/>
          <w:lang w:val="en-US"/>
        </w:rPr>
        <w:t xml:space="preserve"> panel) illustrated in </w:t>
      </w:r>
      <w:r w:rsidRPr="0029446D">
        <w:rPr>
          <w:b/>
          <w:bCs/>
          <w:i w:val="0"/>
          <w:iCs w:val="0"/>
          <w:color w:val="auto"/>
          <w:lang w:val="en-US"/>
        </w:rPr>
        <w:t>(A).</w:t>
      </w:r>
      <w:r w:rsidRPr="00894C50">
        <w:rPr>
          <w:i w:val="0"/>
          <w:iCs w:val="0"/>
          <w:color w:val="auto"/>
          <w:lang w:val="en-US"/>
        </w:rPr>
        <w:t xml:space="preserve"> Data are represented as mean ± SEM</w:t>
      </w:r>
      <w:r>
        <w:rPr>
          <w:i w:val="0"/>
          <w:iCs w:val="0"/>
          <w:color w:val="auto"/>
          <w:lang w:val="en-US"/>
        </w:rPr>
        <w:t xml:space="preserve"> (n=3)</w:t>
      </w:r>
      <w:r w:rsidRPr="00894C50">
        <w:rPr>
          <w:i w:val="0"/>
          <w:iCs w:val="0"/>
          <w:color w:val="auto"/>
          <w:lang w:val="en-US"/>
        </w:rPr>
        <w:t>. Statistical significance was determined using unpaired student’s t-tests. *** p&lt;0.001. TIS, therapy-induced senescence; SA-β-Gal, senescence-associated beta galactosidase; SEM, standard error of means.</w:t>
      </w:r>
    </w:p>
    <w:p w14:paraId="57C51F31" w14:textId="77777777" w:rsidR="00496753" w:rsidRDefault="00496753" w:rsidP="00496753">
      <w:pPr>
        <w:spacing w:line="480" w:lineRule="auto"/>
        <w:rPr>
          <w:lang w:val="en-US"/>
        </w:rPr>
      </w:pPr>
    </w:p>
    <w:p w14:paraId="404A8892" w14:textId="77777777" w:rsidR="00496753" w:rsidRDefault="00496753" w:rsidP="00496753">
      <w:pPr>
        <w:spacing w:line="480" w:lineRule="auto"/>
        <w:rPr>
          <w:lang w:val="en-US"/>
        </w:rPr>
      </w:pPr>
    </w:p>
    <w:p w14:paraId="066626DA" w14:textId="77777777" w:rsidR="00496753" w:rsidRDefault="00496753" w:rsidP="00496753">
      <w:pPr>
        <w:spacing w:line="480" w:lineRule="auto"/>
        <w:rPr>
          <w:lang w:val="en-US"/>
        </w:rPr>
      </w:pPr>
    </w:p>
    <w:p w14:paraId="3BAB4CBE" w14:textId="77777777" w:rsidR="00496753" w:rsidRDefault="00496753" w:rsidP="00496753">
      <w:pPr>
        <w:spacing w:line="480" w:lineRule="auto"/>
        <w:rPr>
          <w:lang w:val="en-US"/>
        </w:rPr>
      </w:pPr>
    </w:p>
    <w:p w14:paraId="35ABE5F3" w14:textId="77777777" w:rsidR="00496753" w:rsidRDefault="00496753" w:rsidP="00496753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B205EC4" wp14:editId="73E0460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20000" cy="8244952"/>
            <wp:effectExtent l="0" t="0" r="0" b="0"/>
            <wp:wrapSquare wrapText="bothSides"/>
            <wp:docPr id="149630558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244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16C5A" w14:textId="77777777" w:rsidR="00496753" w:rsidRPr="00F824D1" w:rsidRDefault="00496753" w:rsidP="00496753">
      <w:pPr>
        <w:pStyle w:val="Bijschrift"/>
        <w:spacing w:line="480" w:lineRule="auto"/>
        <w:jc w:val="both"/>
        <w:rPr>
          <w:i w:val="0"/>
          <w:iCs w:val="0"/>
          <w:color w:val="auto"/>
          <w:lang w:val="en-US"/>
        </w:rPr>
      </w:pPr>
      <w:r w:rsidRPr="00625DB3">
        <w:rPr>
          <w:b/>
          <w:bCs/>
          <w:i w:val="0"/>
          <w:iCs w:val="0"/>
          <w:color w:val="auto"/>
          <w:u w:val="single"/>
          <w:lang w:val="en-US"/>
        </w:rPr>
        <w:lastRenderedPageBreak/>
        <w:t xml:space="preserve">Figure </w:t>
      </w:r>
      <w:r>
        <w:rPr>
          <w:b/>
          <w:bCs/>
          <w:i w:val="0"/>
          <w:iCs w:val="0"/>
          <w:color w:val="auto"/>
          <w:u w:val="single"/>
          <w:lang w:val="en-US"/>
        </w:rPr>
        <w:t>S3</w:t>
      </w:r>
      <w:r w:rsidRPr="00625DB3">
        <w:rPr>
          <w:b/>
          <w:bCs/>
          <w:i w:val="0"/>
          <w:iCs w:val="0"/>
          <w:color w:val="auto"/>
          <w:u w:val="single"/>
          <w:lang w:val="en-US"/>
        </w:rPr>
        <w:t>:</w:t>
      </w:r>
      <w:r>
        <w:rPr>
          <w:b/>
          <w:bCs/>
          <w:i w:val="0"/>
          <w:iCs w:val="0"/>
          <w:color w:val="auto"/>
          <w:lang w:val="en-US"/>
        </w:rPr>
        <w:t xml:space="preserve"> </w:t>
      </w:r>
      <w:r w:rsidRPr="00530F35">
        <w:rPr>
          <w:b/>
          <w:bCs/>
          <w:i w:val="0"/>
          <w:iCs w:val="0"/>
          <w:color w:val="auto"/>
          <w:lang w:val="en-US"/>
        </w:rPr>
        <w:t>TIS cells are sensitive to Bax activation and thioredoxin reductase inhibition.</w:t>
      </w:r>
      <w:r w:rsidRPr="00530F35">
        <w:rPr>
          <w:i w:val="0"/>
          <w:iCs w:val="0"/>
          <w:color w:val="auto"/>
          <w:lang w:val="en-US"/>
        </w:rPr>
        <w:t xml:space="preserve"> </w:t>
      </w:r>
      <w:r w:rsidRPr="00530F35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A</w:t>
      </w:r>
      <w:r w:rsidRPr="00530F35">
        <w:rPr>
          <w:b/>
          <w:bCs/>
          <w:i w:val="0"/>
          <w:iCs w:val="0"/>
          <w:color w:val="auto"/>
          <w:lang w:val="en-US"/>
        </w:rPr>
        <w:t xml:space="preserve">) </w:t>
      </w:r>
      <w:r>
        <w:rPr>
          <w:i w:val="0"/>
          <w:iCs w:val="0"/>
          <w:color w:val="auto"/>
          <w:lang w:val="en-US"/>
        </w:rPr>
        <w:t xml:space="preserve">Percentage survival against untreated conditions </w:t>
      </w:r>
      <w:r w:rsidRPr="00530F35">
        <w:rPr>
          <w:i w:val="0"/>
          <w:iCs w:val="0"/>
          <w:color w:val="auto"/>
          <w:lang w:val="en-US"/>
        </w:rPr>
        <w:t>of</w:t>
      </w:r>
      <w:r>
        <w:rPr>
          <w:i w:val="0"/>
          <w:iCs w:val="0"/>
          <w:color w:val="auto"/>
          <w:lang w:val="en-US"/>
        </w:rPr>
        <w:t xml:space="preserve"> non-senescent control and TIS</w:t>
      </w:r>
      <w:r w:rsidRPr="00530F35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H460</w:t>
      </w:r>
      <w:r w:rsidRPr="00530F35">
        <w:rPr>
          <w:i w:val="0"/>
          <w:iCs w:val="0"/>
          <w:color w:val="auto"/>
          <w:lang w:val="en-US"/>
        </w:rPr>
        <w:t xml:space="preserve"> cells 48 hours after the administration of a concentration range (</w:t>
      </w:r>
      <w:r>
        <w:rPr>
          <w:i w:val="0"/>
          <w:iCs w:val="0"/>
          <w:color w:val="auto"/>
          <w:lang w:val="en-US"/>
        </w:rPr>
        <w:t>1</w:t>
      </w:r>
      <w:r w:rsidRPr="00530F35">
        <w:rPr>
          <w:i w:val="0"/>
          <w:iCs w:val="0"/>
          <w:color w:val="auto"/>
          <w:lang w:val="en-US"/>
        </w:rPr>
        <w:t xml:space="preserve">.0 µM </w:t>
      </w:r>
      <w:r>
        <w:rPr>
          <w:i w:val="0"/>
          <w:iCs w:val="0"/>
          <w:color w:val="auto"/>
          <w:lang w:val="en-US"/>
        </w:rPr>
        <w:t>-</w:t>
      </w:r>
      <w:r w:rsidRPr="00530F35">
        <w:rPr>
          <w:i w:val="0"/>
          <w:iCs w:val="0"/>
          <w:color w:val="auto"/>
          <w:lang w:val="en-US"/>
        </w:rPr>
        <w:t xml:space="preserve"> 90.0 µM) of the Bcl-2 inhibitors Navitoclax or Venetoclax, a concentration range (</w:t>
      </w:r>
      <w:r>
        <w:rPr>
          <w:i w:val="0"/>
          <w:iCs w:val="0"/>
          <w:color w:val="auto"/>
          <w:lang w:val="en-US"/>
        </w:rPr>
        <w:t>10</w:t>
      </w:r>
      <w:r w:rsidRPr="00530F35">
        <w:rPr>
          <w:i w:val="0"/>
          <w:iCs w:val="0"/>
          <w:color w:val="auto"/>
          <w:lang w:val="en-US"/>
        </w:rPr>
        <w:t>.0 - 90.0 µM) of the BAX activator BTSA1, or a concentration range (</w:t>
      </w:r>
      <w:r>
        <w:rPr>
          <w:i w:val="0"/>
          <w:iCs w:val="0"/>
          <w:color w:val="auto"/>
          <w:lang w:val="en-US"/>
        </w:rPr>
        <w:t>3</w:t>
      </w:r>
      <w:r w:rsidRPr="00530F35">
        <w:rPr>
          <w:i w:val="0"/>
          <w:iCs w:val="0"/>
          <w:color w:val="auto"/>
          <w:lang w:val="en-US"/>
        </w:rPr>
        <w:t>.</w:t>
      </w:r>
      <w:r>
        <w:rPr>
          <w:i w:val="0"/>
          <w:iCs w:val="0"/>
          <w:color w:val="auto"/>
          <w:lang w:val="en-US"/>
        </w:rPr>
        <w:t>4</w:t>
      </w:r>
      <w:r w:rsidRPr="00530F35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-</w:t>
      </w:r>
      <w:r w:rsidRPr="00530F35">
        <w:rPr>
          <w:i w:val="0"/>
          <w:iCs w:val="0"/>
          <w:color w:val="auto"/>
          <w:lang w:val="en-US"/>
        </w:rPr>
        <w:t xml:space="preserve"> 11.6 µM) of the thioredoxin reductase inhibitor Auranofin. </w:t>
      </w:r>
      <w:r w:rsidRPr="00530F35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B</w:t>
      </w:r>
      <w:r w:rsidRPr="00530F35">
        <w:rPr>
          <w:b/>
          <w:bCs/>
          <w:i w:val="0"/>
          <w:iCs w:val="0"/>
          <w:color w:val="auto"/>
          <w:lang w:val="en-US"/>
        </w:rPr>
        <w:t>)</w:t>
      </w:r>
      <w:r w:rsidRPr="00530F35">
        <w:rPr>
          <w:i w:val="0"/>
          <w:iCs w:val="0"/>
          <w:color w:val="auto"/>
          <w:lang w:val="en-US"/>
        </w:rPr>
        <w:t xml:space="preserve"> Representative images of both control and TIS </w:t>
      </w:r>
      <w:r>
        <w:rPr>
          <w:i w:val="0"/>
          <w:iCs w:val="0"/>
          <w:color w:val="auto"/>
          <w:lang w:val="en-US"/>
        </w:rPr>
        <w:t>H460</w:t>
      </w:r>
      <w:r w:rsidRPr="00530F35">
        <w:rPr>
          <w:i w:val="0"/>
          <w:iCs w:val="0"/>
          <w:color w:val="auto"/>
          <w:lang w:val="en-US"/>
        </w:rPr>
        <w:t xml:space="preserve"> cells 48h after </w:t>
      </w:r>
      <w:proofErr w:type="spellStart"/>
      <w:r w:rsidRPr="00530F35">
        <w:rPr>
          <w:i w:val="0"/>
          <w:iCs w:val="0"/>
          <w:color w:val="auto"/>
          <w:lang w:val="en-US"/>
        </w:rPr>
        <w:t>senolytic</w:t>
      </w:r>
      <w:proofErr w:type="spellEnd"/>
      <w:r w:rsidRPr="00530F35">
        <w:rPr>
          <w:i w:val="0"/>
          <w:iCs w:val="0"/>
          <w:color w:val="auto"/>
          <w:lang w:val="en-US"/>
        </w:rPr>
        <w:t xml:space="preserve"> treatment, obtained with the Spark® </w:t>
      </w:r>
      <w:proofErr w:type="spellStart"/>
      <w:r w:rsidRPr="00530F35">
        <w:rPr>
          <w:i w:val="0"/>
          <w:iCs w:val="0"/>
          <w:color w:val="auto"/>
          <w:lang w:val="en-US"/>
        </w:rPr>
        <w:t>Cyto</w:t>
      </w:r>
      <w:proofErr w:type="spellEnd"/>
      <w:r w:rsidRPr="00530F35">
        <w:rPr>
          <w:i w:val="0"/>
          <w:iCs w:val="0"/>
          <w:color w:val="auto"/>
          <w:lang w:val="en-US"/>
        </w:rPr>
        <w:t xml:space="preserve"> imaging system. Green signal is </w:t>
      </w:r>
      <w:proofErr w:type="spellStart"/>
      <w:r w:rsidRPr="00530F35">
        <w:rPr>
          <w:i w:val="0"/>
          <w:iCs w:val="0"/>
          <w:color w:val="auto"/>
          <w:lang w:val="en-US"/>
        </w:rPr>
        <w:t>Incucyte</w:t>
      </w:r>
      <w:proofErr w:type="spellEnd"/>
      <w:r w:rsidRPr="00530F35">
        <w:rPr>
          <w:i w:val="0"/>
          <w:iCs w:val="0"/>
          <w:color w:val="auto"/>
          <w:lang w:val="en-US"/>
        </w:rPr>
        <w:t xml:space="preserve">® </w:t>
      </w:r>
      <w:proofErr w:type="spellStart"/>
      <w:r w:rsidRPr="00530F35">
        <w:rPr>
          <w:i w:val="0"/>
          <w:iCs w:val="0"/>
          <w:color w:val="auto"/>
          <w:lang w:val="en-US"/>
        </w:rPr>
        <w:t>Cytotox</w:t>
      </w:r>
      <w:proofErr w:type="spellEnd"/>
      <w:r w:rsidRPr="00530F35">
        <w:rPr>
          <w:i w:val="0"/>
          <w:iCs w:val="0"/>
          <w:color w:val="auto"/>
          <w:lang w:val="en-US"/>
        </w:rPr>
        <w:t xml:space="preserve"> green dye and represents cell death. </w:t>
      </w:r>
      <w:r w:rsidRPr="00530F35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C-D</w:t>
      </w:r>
      <w:r w:rsidRPr="00530F35">
        <w:rPr>
          <w:b/>
          <w:bCs/>
          <w:i w:val="0"/>
          <w:iCs w:val="0"/>
          <w:color w:val="auto"/>
          <w:lang w:val="en-US"/>
        </w:rPr>
        <w:t>)</w:t>
      </w:r>
      <w:r w:rsidRPr="00530F35">
        <w:rPr>
          <w:i w:val="0"/>
          <w:iCs w:val="0"/>
          <w:color w:val="auto"/>
          <w:lang w:val="en-US"/>
        </w:rPr>
        <w:t xml:space="preserve"> Flow cytometric quantification of the percentage positive cells </w:t>
      </w:r>
      <w:r w:rsidRPr="00530F35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C</w:t>
      </w:r>
      <w:r w:rsidRPr="00530F35">
        <w:rPr>
          <w:b/>
          <w:bCs/>
          <w:i w:val="0"/>
          <w:iCs w:val="0"/>
          <w:color w:val="auto"/>
          <w:lang w:val="en-US"/>
        </w:rPr>
        <w:t>)</w:t>
      </w:r>
      <w:r w:rsidRPr="00530F35">
        <w:rPr>
          <w:i w:val="0"/>
          <w:iCs w:val="0"/>
          <w:color w:val="auto"/>
          <w:lang w:val="en-US"/>
        </w:rPr>
        <w:t xml:space="preserve"> and mean intensity of positivity per cell </w:t>
      </w:r>
      <w:r w:rsidRPr="00530F35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D</w:t>
      </w:r>
      <w:r w:rsidRPr="00530F35">
        <w:rPr>
          <w:b/>
          <w:bCs/>
          <w:i w:val="0"/>
          <w:iCs w:val="0"/>
          <w:color w:val="auto"/>
          <w:lang w:val="en-US"/>
        </w:rPr>
        <w:t xml:space="preserve">) </w:t>
      </w:r>
      <w:r w:rsidRPr="00530F35">
        <w:rPr>
          <w:i w:val="0"/>
          <w:iCs w:val="0"/>
          <w:color w:val="auto"/>
          <w:lang w:val="en-US"/>
        </w:rPr>
        <w:t xml:space="preserve">for the targets of the </w:t>
      </w:r>
      <w:proofErr w:type="spellStart"/>
      <w:r w:rsidRPr="00530F35">
        <w:rPr>
          <w:i w:val="0"/>
          <w:iCs w:val="0"/>
          <w:color w:val="auto"/>
          <w:lang w:val="en-US"/>
        </w:rPr>
        <w:t>senolytic</w:t>
      </w:r>
      <w:proofErr w:type="spellEnd"/>
      <w:r w:rsidRPr="00530F35">
        <w:rPr>
          <w:i w:val="0"/>
          <w:iCs w:val="0"/>
          <w:color w:val="auto"/>
          <w:lang w:val="en-US"/>
        </w:rPr>
        <w:t xml:space="preserve"> strategies. Survival data were normalized to </w:t>
      </w:r>
      <w:r>
        <w:rPr>
          <w:i w:val="0"/>
          <w:iCs w:val="0"/>
          <w:color w:val="auto"/>
          <w:lang w:val="en-US"/>
        </w:rPr>
        <w:t xml:space="preserve">untreated controls </w:t>
      </w:r>
      <w:r w:rsidRPr="00530F35">
        <w:rPr>
          <w:i w:val="0"/>
          <w:iCs w:val="0"/>
          <w:color w:val="auto"/>
          <w:lang w:val="en-US"/>
        </w:rPr>
        <w:t xml:space="preserve">and </w:t>
      </w:r>
      <w:r>
        <w:rPr>
          <w:i w:val="0"/>
          <w:iCs w:val="0"/>
          <w:color w:val="auto"/>
          <w:lang w:val="en-US"/>
        </w:rPr>
        <w:t xml:space="preserve">all data </w:t>
      </w:r>
      <w:r w:rsidRPr="00530F35">
        <w:rPr>
          <w:i w:val="0"/>
          <w:iCs w:val="0"/>
          <w:color w:val="auto"/>
          <w:lang w:val="en-US"/>
        </w:rPr>
        <w:t>are represented as mean ± SEM</w:t>
      </w:r>
      <w:r>
        <w:rPr>
          <w:i w:val="0"/>
          <w:iCs w:val="0"/>
          <w:color w:val="auto"/>
          <w:lang w:val="en-US"/>
        </w:rPr>
        <w:t xml:space="preserve"> (n=3)</w:t>
      </w:r>
      <w:r w:rsidRPr="00530F35">
        <w:rPr>
          <w:i w:val="0"/>
          <w:iCs w:val="0"/>
          <w:color w:val="auto"/>
          <w:lang w:val="en-US"/>
        </w:rPr>
        <w:t>. Statistical significance was determined using linear mixed models</w:t>
      </w:r>
      <w:r>
        <w:rPr>
          <w:i w:val="0"/>
          <w:iCs w:val="0"/>
          <w:color w:val="auto"/>
          <w:lang w:val="en-US"/>
        </w:rPr>
        <w:t>’</w:t>
      </w:r>
      <w:r w:rsidRPr="00530F35">
        <w:rPr>
          <w:i w:val="0"/>
          <w:iCs w:val="0"/>
          <w:color w:val="auto"/>
          <w:lang w:val="en-US"/>
        </w:rPr>
        <w:t xml:space="preserve"> analysis for survival data and using student’s t tests for the expression levels. *p &lt; 0.05, **p &lt; 0.01, and ***p &lt; 0.001. TIS, therapy-induced senescence; SEM, standard error of means.</w:t>
      </w:r>
    </w:p>
    <w:p w14:paraId="31C680B4" w14:textId="77777777" w:rsidR="00496753" w:rsidRDefault="00496753" w:rsidP="00496753">
      <w:pPr>
        <w:spacing w:line="480" w:lineRule="auto"/>
        <w:rPr>
          <w:lang w:val="en-US"/>
        </w:rPr>
      </w:pPr>
    </w:p>
    <w:p w14:paraId="27444239" w14:textId="77777777" w:rsidR="00496753" w:rsidRDefault="00496753" w:rsidP="00496753">
      <w:pPr>
        <w:spacing w:line="480" w:lineRule="auto"/>
        <w:rPr>
          <w:lang w:val="en-US"/>
        </w:rPr>
      </w:pPr>
    </w:p>
    <w:p w14:paraId="00AD4D77" w14:textId="77777777" w:rsidR="00496753" w:rsidRDefault="00496753" w:rsidP="00496753">
      <w:pPr>
        <w:spacing w:line="480" w:lineRule="auto"/>
        <w:rPr>
          <w:lang w:val="en-US"/>
        </w:rPr>
      </w:pPr>
    </w:p>
    <w:p w14:paraId="13819005" w14:textId="77777777" w:rsidR="00496753" w:rsidRDefault="00496753" w:rsidP="00496753">
      <w:pPr>
        <w:spacing w:line="480" w:lineRule="auto"/>
        <w:rPr>
          <w:lang w:val="en-US"/>
        </w:rPr>
      </w:pPr>
    </w:p>
    <w:p w14:paraId="6C7ED5B9" w14:textId="77777777" w:rsidR="00496753" w:rsidRDefault="00496753" w:rsidP="00496753">
      <w:pPr>
        <w:spacing w:line="480" w:lineRule="auto"/>
        <w:rPr>
          <w:lang w:val="en-US"/>
        </w:rPr>
      </w:pPr>
    </w:p>
    <w:p w14:paraId="58DA119B" w14:textId="77777777" w:rsidR="00496753" w:rsidRDefault="00496753" w:rsidP="00496753">
      <w:pPr>
        <w:spacing w:line="480" w:lineRule="auto"/>
        <w:rPr>
          <w:lang w:val="en-US"/>
        </w:rPr>
      </w:pPr>
    </w:p>
    <w:p w14:paraId="40E23F0D" w14:textId="77777777" w:rsidR="00496753" w:rsidRDefault="00496753" w:rsidP="00496753">
      <w:pPr>
        <w:spacing w:line="480" w:lineRule="auto"/>
        <w:rPr>
          <w:lang w:val="en-US"/>
        </w:rPr>
      </w:pPr>
    </w:p>
    <w:p w14:paraId="4299A419" w14:textId="77777777" w:rsidR="00496753" w:rsidRDefault="00496753" w:rsidP="00496753">
      <w:pPr>
        <w:spacing w:line="480" w:lineRule="auto"/>
        <w:rPr>
          <w:lang w:val="en-US"/>
        </w:rPr>
      </w:pPr>
    </w:p>
    <w:p w14:paraId="1B392CC6" w14:textId="77777777" w:rsidR="00496753" w:rsidRDefault="00496753" w:rsidP="00496753">
      <w:pPr>
        <w:spacing w:line="480" w:lineRule="auto"/>
        <w:rPr>
          <w:lang w:val="en-US"/>
        </w:rPr>
      </w:pPr>
    </w:p>
    <w:p w14:paraId="7B776BA9" w14:textId="77777777" w:rsidR="00496753" w:rsidRDefault="00496753" w:rsidP="00496753">
      <w:pPr>
        <w:spacing w:line="480" w:lineRule="auto"/>
        <w:rPr>
          <w:lang w:val="en-US"/>
        </w:rPr>
      </w:pPr>
    </w:p>
    <w:p w14:paraId="2F6A3A64" w14:textId="77777777" w:rsidR="00496753" w:rsidRDefault="00496753" w:rsidP="00496753">
      <w:pPr>
        <w:spacing w:line="480" w:lineRule="auto"/>
        <w:rPr>
          <w:lang w:val="en-US"/>
        </w:rPr>
      </w:pPr>
    </w:p>
    <w:p w14:paraId="194EDBE2" w14:textId="77777777" w:rsidR="00496753" w:rsidRDefault="00496753" w:rsidP="00496753">
      <w:pPr>
        <w:spacing w:line="480" w:lineRule="auto"/>
        <w:rPr>
          <w:lang w:val="en-US"/>
        </w:rPr>
      </w:pPr>
    </w:p>
    <w:p w14:paraId="6029BF91" w14:textId="77777777" w:rsidR="00496753" w:rsidRDefault="00496753" w:rsidP="00496753">
      <w:pPr>
        <w:spacing w:line="480" w:lineRule="auto"/>
        <w:rPr>
          <w:lang w:val="en-US"/>
        </w:rPr>
      </w:pPr>
    </w:p>
    <w:p w14:paraId="3CA6FB30" w14:textId="77777777" w:rsidR="00496753" w:rsidRPr="00D076C2" w:rsidRDefault="00496753" w:rsidP="00496753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7DEAE5DC" wp14:editId="3781240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20000" cy="5256679"/>
            <wp:effectExtent l="0" t="0" r="0" b="1270"/>
            <wp:wrapSquare wrapText="bothSides"/>
            <wp:docPr id="57957503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256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F39C0" w14:textId="77777777" w:rsidR="00496753" w:rsidRDefault="00496753" w:rsidP="00496753">
      <w:pPr>
        <w:pStyle w:val="Bijschrift"/>
        <w:spacing w:line="480" w:lineRule="auto"/>
        <w:jc w:val="both"/>
        <w:rPr>
          <w:i w:val="0"/>
          <w:iCs w:val="0"/>
          <w:color w:val="auto"/>
          <w:lang w:val="en-US"/>
        </w:rPr>
      </w:pPr>
      <w:r w:rsidRPr="00625DB3">
        <w:rPr>
          <w:b/>
          <w:bCs/>
          <w:i w:val="0"/>
          <w:iCs w:val="0"/>
          <w:color w:val="auto"/>
          <w:u w:val="single"/>
          <w:lang w:val="en-US"/>
        </w:rPr>
        <w:t xml:space="preserve">Figure </w:t>
      </w:r>
      <w:r>
        <w:rPr>
          <w:b/>
          <w:bCs/>
          <w:i w:val="0"/>
          <w:iCs w:val="0"/>
          <w:color w:val="auto"/>
          <w:u w:val="single"/>
          <w:lang w:val="en-US"/>
        </w:rPr>
        <w:t>S4</w:t>
      </w:r>
      <w:r w:rsidRPr="00625DB3">
        <w:rPr>
          <w:b/>
          <w:bCs/>
          <w:i w:val="0"/>
          <w:iCs w:val="0"/>
          <w:color w:val="auto"/>
          <w:u w:val="single"/>
          <w:lang w:val="en-US"/>
        </w:rPr>
        <w:t>:</w:t>
      </w:r>
      <w:r>
        <w:rPr>
          <w:b/>
          <w:bCs/>
          <w:i w:val="0"/>
          <w:iCs w:val="0"/>
          <w:color w:val="auto"/>
          <w:lang w:val="en-US"/>
        </w:rPr>
        <w:t xml:space="preserve"> Evaluated strategies that did not demonstrate potent </w:t>
      </w:r>
      <w:proofErr w:type="spellStart"/>
      <w:r>
        <w:rPr>
          <w:b/>
          <w:bCs/>
          <w:i w:val="0"/>
          <w:iCs w:val="0"/>
          <w:color w:val="auto"/>
          <w:lang w:val="en-US"/>
        </w:rPr>
        <w:t>senolytic</w:t>
      </w:r>
      <w:proofErr w:type="spellEnd"/>
      <w:r>
        <w:rPr>
          <w:b/>
          <w:bCs/>
          <w:i w:val="0"/>
          <w:iCs w:val="0"/>
          <w:color w:val="auto"/>
          <w:lang w:val="en-US"/>
        </w:rPr>
        <w:t xml:space="preserve"> effects. (A) </w:t>
      </w:r>
      <w:r>
        <w:rPr>
          <w:i w:val="0"/>
          <w:iCs w:val="0"/>
          <w:color w:val="auto"/>
          <w:lang w:val="en-US"/>
        </w:rPr>
        <w:t>Percentage survival against untreated conditions</w:t>
      </w:r>
      <w:r w:rsidRPr="00D474A8">
        <w:rPr>
          <w:i w:val="0"/>
          <w:iCs w:val="0"/>
          <w:color w:val="auto"/>
          <w:lang w:val="en-US"/>
        </w:rPr>
        <w:t xml:space="preserve"> of </w:t>
      </w:r>
      <w:r>
        <w:rPr>
          <w:i w:val="0"/>
          <w:iCs w:val="0"/>
          <w:color w:val="auto"/>
          <w:lang w:val="en-US"/>
        </w:rPr>
        <w:t xml:space="preserve">non-senescent control and TIS </w:t>
      </w:r>
      <w:r w:rsidRPr="00D474A8">
        <w:rPr>
          <w:i w:val="0"/>
          <w:iCs w:val="0"/>
          <w:color w:val="auto"/>
          <w:lang w:val="en-US"/>
        </w:rPr>
        <w:t xml:space="preserve">A549 cells 48 hours after </w:t>
      </w:r>
      <w:r>
        <w:rPr>
          <w:i w:val="0"/>
          <w:iCs w:val="0"/>
          <w:color w:val="auto"/>
          <w:lang w:val="en-US"/>
        </w:rPr>
        <w:t xml:space="preserve">treatment with </w:t>
      </w:r>
      <w:r w:rsidRPr="00D474A8">
        <w:rPr>
          <w:i w:val="0"/>
          <w:iCs w:val="0"/>
          <w:color w:val="auto"/>
          <w:lang w:val="en-US"/>
        </w:rPr>
        <w:t>a concentration range (</w:t>
      </w:r>
      <w:r>
        <w:rPr>
          <w:i w:val="0"/>
          <w:iCs w:val="0"/>
          <w:color w:val="auto"/>
          <w:lang w:val="en-US"/>
        </w:rPr>
        <w:t>1</w:t>
      </w:r>
      <w:r w:rsidRPr="00D474A8">
        <w:rPr>
          <w:i w:val="0"/>
          <w:iCs w:val="0"/>
          <w:color w:val="auto"/>
          <w:lang w:val="en-US"/>
        </w:rPr>
        <w:t xml:space="preserve">.0 µM </w:t>
      </w:r>
      <w:r>
        <w:rPr>
          <w:i w:val="0"/>
          <w:iCs w:val="0"/>
          <w:color w:val="auto"/>
          <w:lang w:val="en-US"/>
        </w:rPr>
        <w:t>-</w:t>
      </w:r>
      <w:r w:rsidRPr="00D474A8">
        <w:rPr>
          <w:i w:val="0"/>
          <w:iCs w:val="0"/>
          <w:color w:val="auto"/>
          <w:lang w:val="en-US"/>
        </w:rPr>
        <w:t xml:space="preserve"> 90.0 µM) of</w:t>
      </w:r>
      <w:r>
        <w:rPr>
          <w:i w:val="0"/>
          <w:iCs w:val="0"/>
          <w:color w:val="auto"/>
          <w:lang w:val="en-US"/>
        </w:rPr>
        <w:t xml:space="preserve"> the p38 MAPK inhibitors</w:t>
      </w:r>
      <w:r w:rsidRPr="00D474A8">
        <w:rPr>
          <w:i w:val="0"/>
          <w:iCs w:val="0"/>
          <w:color w:val="auto"/>
          <w:lang w:val="en-US"/>
        </w:rPr>
        <w:t xml:space="preserve"> </w:t>
      </w:r>
      <w:proofErr w:type="spellStart"/>
      <w:r>
        <w:rPr>
          <w:i w:val="0"/>
          <w:iCs w:val="0"/>
          <w:color w:val="auto"/>
          <w:lang w:val="en-US"/>
        </w:rPr>
        <w:t>Skepinone</w:t>
      </w:r>
      <w:proofErr w:type="spellEnd"/>
      <w:r>
        <w:rPr>
          <w:i w:val="0"/>
          <w:iCs w:val="0"/>
          <w:color w:val="auto"/>
          <w:lang w:val="en-US"/>
        </w:rPr>
        <w:t xml:space="preserve">-l, </w:t>
      </w:r>
      <w:proofErr w:type="spellStart"/>
      <w:r>
        <w:rPr>
          <w:i w:val="0"/>
          <w:iCs w:val="0"/>
          <w:color w:val="auto"/>
          <w:lang w:val="en-US"/>
        </w:rPr>
        <w:t>Adezmapimod</w:t>
      </w:r>
      <w:proofErr w:type="spellEnd"/>
      <w:r>
        <w:rPr>
          <w:b/>
          <w:bCs/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or Doramapimod; the Bax activator BAM7; the IGF1R inhibitors Picropodophyllin</w:t>
      </w:r>
      <w:r>
        <w:rPr>
          <w:b/>
          <w:bCs/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 xml:space="preserve">or AZD-3463; the sodium channel blocker Amiloride; or the adenosine receptor agonist NECA. </w:t>
      </w:r>
      <w:r>
        <w:rPr>
          <w:b/>
          <w:bCs/>
          <w:i w:val="0"/>
          <w:iCs w:val="0"/>
          <w:color w:val="auto"/>
          <w:lang w:val="en-US"/>
        </w:rPr>
        <w:t xml:space="preserve">(B) </w:t>
      </w:r>
      <w:r w:rsidRPr="00726106">
        <w:rPr>
          <w:i w:val="0"/>
          <w:iCs w:val="0"/>
          <w:color w:val="auto"/>
          <w:lang w:val="en-US"/>
        </w:rPr>
        <w:t xml:space="preserve">Representative images of </w:t>
      </w:r>
      <w:r>
        <w:rPr>
          <w:i w:val="0"/>
          <w:iCs w:val="0"/>
          <w:color w:val="auto"/>
          <w:lang w:val="en-US"/>
        </w:rPr>
        <w:t xml:space="preserve">non-senescent </w:t>
      </w:r>
      <w:r w:rsidRPr="00726106">
        <w:rPr>
          <w:i w:val="0"/>
          <w:iCs w:val="0"/>
          <w:color w:val="auto"/>
          <w:lang w:val="en-US"/>
        </w:rPr>
        <w:t>control</w:t>
      </w:r>
      <w:r>
        <w:rPr>
          <w:i w:val="0"/>
          <w:iCs w:val="0"/>
          <w:color w:val="auto"/>
          <w:lang w:val="en-US"/>
        </w:rPr>
        <w:t xml:space="preserve"> and</w:t>
      </w:r>
      <w:r w:rsidRPr="00726106">
        <w:rPr>
          <w:i w:val="0"/>
          <w:iCs w:val="0"/>
          <w:color w:val="auto"/>
          <w:lang w:val="en-US"/>
        </w:rPr>
        <w:t xml:space="preserve"> TIS A549 cells taken by the Spark® </w:t>
      </w:r>
      <w:proofErr w:type="spellStart"/>
      <w:r w:rsidRPr="00726106">
        <w:rPr>
          <w:i w:val="0"/>
          <w:iCs w:val="0"/>
          <w:color w:val="auto"/>
          <w:lang w:val="en-US"/>
        </w:rPr>
        <w:t>Cyto</w:t>
      </w:r>
      <w:proofErr w:type="spellEnd"/>
      <w:r w:rsidRPr="00726106">
        <w:rPr>
          <w:i w:val="0"/>
          <w:iCs w:val="0"/>
          <w:color w:val="auto"/>
          <w:lang w:val="en-US"/>
        </w:rPr>
        <w:t xml:space="preserve"> imaging system </w:t>
      </w:r>
      <w:r>
        <w:rPr>
          <w:i w:val="0"/>
          <w:iCs w:val="0"/>
          <w:color w:val="auto"/>
          <w:lang w:val="en-US"/>
        </w:rPr>
        <w:t>48</w:t>
      </w:r>
      <w:r w:rsidRPr="00726106">
        <w:rPr>
          <w:i w:val="0"/>
          <w:iCs w:val="0"/>
          <w:color w:val="auto"/>
          <w:lang w:val="en-US"/>
        </w:rPr>
        <w:t xml:space="preserve"> hours after treatment.</w:t>
      </w:r>
      <w:r>
        <w:rPr>
          <w:i w:val="0"/>
          <w:iCs w:val="0"/>
          <w:color w:val="auto"/>
          <w:lang w:val="en-US"/>
        </w:rPr>
        <w:t xml:space="preserve"> Green signal is </w:t>
      </w:r>
      <w:proofErr w:type="spellStart"/>
      <w:r>
        <w:rPr>
          <w:i w:val="0"/>
          <w:iCs w:val="0"/>
          <w:color w:val="auto"/>
          <w:lang w:val="en-US"/>
        </w:rPr>
        <w:t>Incucyte</w:t>
      </w:r>
      <w:proofErr w:type="spellEnd"/>
      <w:r>
        <w:rPr>
          <w:rFonts w:cstheme="minorHAnsi"/>
          <w:i w:val="0"/>
          <w:iCs w:val="0"/>
          <w:color w:val="auto"/>
          <w:lang w:val="en-US"/>
        </w:rPr>
        <w:t>®</w:t>
      </w:r>
      <w:r>
        <w:rPr>
          <w:i w:val="0"/>
          <w:iCs w:val="0"/>
          <w:color w:val="auto"/>
          <w:lang w:val="en-US"/>
        </w:rPr>
        <w:t xml:space="preserve"> </w:t>
      </w:r>
      <w:proofErr w:type="spellStart"/>
      <w:r>
        <w:rPr>
          <w:i w:val="0"/>
          <w:iCs w:val="0"/>
          <w:color w:val="auto"/>
          <w:lang w:val="en-US"/>
        </w:rPr>
        <w:t>Cytotox</w:t>
      </w:r>
      <w:proofErr w:type="spellEnd"/>
      <w:r>
        <w:rPr>
          <w:i w:val="0"/>
          <w:iCs w:val="0"/>
          <w:color w:val="auto"/>
          <w:lang w:val="en-US"/>
        </w:rPr>
        <w:t xml:space="preserve"> green dye and represents cell death. </w:t>
      </w:r>
      <w:r w:rsidRPr="00530F35">
        <w:rPr>
          <w:i w:val="0"/>
          <w:iCs w:val="0"/>
          <w:color w:val="auto"/>
          <w:lang w:val="en-US"/>
        </w:rPr>
        <w:t xml:space="preserve">Survival data were normalized to </w:t>
      </w:r>
      <w:r>
        <w:rPr>
          <w:i w:val="0"/>
          <w:iCs w:val="0"/>
          <w:color w:val="auto"/>
          <w:lang w:val="en-US"/>
        </w:rPr>
        <w:t xml:space="preserve">untreated controls </w:t>
      </w:r>
      <w:r w:rsidRPr="00530F35">
        <w:rPr>
          <w:i w:val="0"/>
          <w:iCs w:val="0"/>
          <w:color w:val="auto"/>
          <w:lang w:val="en-US"/>
        </w:rPr>
        <w:t>and are represented as mean ± SEM</w:t>
      </w:r>
      <w:r>
        <w:rPr>
          <w:i w:val="0"/>
          <w:iCs w:val="0"/>
          <w:color w:val="auto"/>
          <w:lang w:val="en-US"/>
        </w:rPr>
        <w:t xml:space="preserve"> (n=3)</w:t>
      </w:r>
      <w:r w:rsidRPr="00530F35">
        <w:rPr>
          <w:i w:val="0"/>
          <w:iCs w:val="0"/>
          <w:color w:val="auto"/>
          <w:lang w:val="en-US"/>
        </w:rPr>
        <w:t>. Statistical significance was determined using linear mixed models</w:t>
      </w:r>
      <w:r>
        <w:rPr>
          <w:i w:val="0"/>
          <w:iCs w:val="0"/>
          <w:color w:val="auto"/>
          <w:lang w:val="en-US"/>
        </w:rPr>
        <w:t>’</w:t>
      </w:r>
      <w:r w:rsidRPr="00530F35">
        <w:rPr>
          <w:i w:val="0"/>
          <w:iCs w:val="0"/>
          <w:color w:val="auto"/>
          <w:lang w:val="en-US"/>
        </w:rPr>
        <w:t xml:space="preserve"> analysis. </w:t>
      </w:r>
      <w:r w:rsidRPr="00515B98">
        <w:rPr>
          <w:i w:val="0"/>
          <w:iCs w:val="0"/>
          <w:color w:val="auto"/>
          <w:lang w:val="en-US"/>
        </w:rPr>
        <w:t>* p&lt;0.0</w:t>
      </w:r>
      <w:r>
        <w:rPr>
          <w:i w:val="0"/>
          <w:iCs w:val="0"/>
          <w:color w:val="auto"/>
          <w:lang w:val="en-US"/>
        </w:rPr>
        <w:t>5</w:t>
      </w:r>
      <w:r w:rsidRPr="00515B98">
        <w:rPr>
          <w:i w:val="0"/>
          <w:iCs w:val="0"/>
          <w:color w:val="auto"/>
          <w:lang w:val="en-US"/>
        </w:rPr>
        <w:t>, *** p&lt; 0.001. TIS, therapy-induced senescence</w:t>
      </w:r>
      <w:r>
        <w:rPr>
          <w:i w:val="0"/>
          <w:iCs w:val="0"/>
          <w:color w:val="auto"/>
          <w:lang w:val="en-US"/>
        </w:rPr>
        <w:t xml:space="preserve">; </w:t>
      </w:r>
      <w:r w:rsidRPr="00515B98">
        <w:rPr>
          <w:i w:val="0"/>
          <w:iCs w:val="0"/>
          <w:color w:val="auto"/>
          <w:lang w:val="en-US"/>
        </w:rPr>
        <w:t>NECA, 5’-N-Ethylcarboxamide adenosine.</w:t>
      </w:r>
    </w:p>
    <w:p w14:paraId="324BD476" w14:textId="77777777" w:rsidR="00496753" w:rsidRDefault="00496753" w:rsidP="00496753">
      <w:pPr>
        <w:spacing w:line="480" w:lineRule="auto"/>
        <w:rPr>
          <w:lang w:val="en-US"/>
        </w:rPr>
      </w:pPr>
    </w:p>
    <w:p w14:paraId="22228571" w14:textId="77777777" w:rsidR="00496753" w:rsidRPr="00893A99" w:rsidRDefault="00496753" w:rsidP="00496753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70500B2A" wp14:editId="49C9364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20000" cy="5374004"/>
            <wp:effectExtent l="0" t="0" r="0" b="0"/>
            <wp:wrapSquare wrapText="bothSides"/>
            <wp:docPr id="50639074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374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5F9F9" w14:textId="77777777" w:rsidR="00496753" w:rsidRDefault="00496753" w:rsidP="00496753">
      <w:pPr>
        <w:pStyle w:val="Bijschrift"/>
        <w:spacing w:line="480" w:lineRule="auto"/>
        <w:jc w:val="both"/>
        <w:rPr>
          <w:i w:val="0"/>
          <w:iCs w:val="0"/>
          <w:color w:val="auto"/>
          <w:lang w:val="en-US"/>
        </w:rPr>
      </w:pPr>
      <w:r w:rsidRPr="00625DB3">
        <w:rPr>
          <w:b/>
          <w:bCs/>
          <w:i w:val="0"/>
          <w:iCs w:val="0"/>
          <w:color w:val="auto"/>
          <w:u w:val="single"/>
          <w:lang w:val="en-US"/>
        </w:rPr>
        <w:t xml:space="preserve">Figure </w:t>
      </w:r>
      <w:r>
        <w:rPr>
          <w:b/>
          <w:bCs/>
          <w:i w:val="0"/>
          <w:iCs w:val="0"/>
          <w:color w:val="auto"/>
          <w:u w:val="single"/>
          <w:lang w:val="en-US"/>
        </w:rPr>
        <w:t>S5</w:t>
      </w:r>
      <w:r w:rsidRPr="00625DB3">
        <w:rPr>
          <w:b/>
          <w:bCs/>
          <w:i w:val="0"/>
          <w:iCs w:val="0"/>
          <w:color w:val="auto"/>
          <w:u w:val="single"/>
          <w:lang w:val="en-US"/>
        </w:rPr>
        <w:t>:</w:t>
      </w:r>
      <w:r>
        <w:rPr>
          <w:b/>
          <w:bCs/>
          <w:i w:val="0"/>
          <w:iCs w:val="0"/>
          <w:color w:val="auto"/>
          <w:lang w:val="en-US"/>
        </w:rPr>
        <w:t xml:space="preserve"> Evaluated strategies that did not demonstrate potent </w:t>
      </w:r>
      <w:proofErr w:type="spellStart"/>
      <w:r>
        <w:rPr>
          <w:b/>
          <w:bCs/>
          <w:i w:val="0"/>
          <w:iCs w:val="0"/>
          <w:color w:val="auto"/>
          <w:lang w:val="en-US"/>
        </w:rPr>
        <w:t>senolytic</w:t>
      </w:r>
      <w:proofErr w:type="spellEnd"/>
      <w:r>
        <w:rPr>
          <w:b/>
          <w:bCs/>
          <w:i w:val="0"/>
          <w:iCs w:val="0"/>
          <w:color w:val="auto"/>
          <w:lang w:val="en-US"/>
        </w:rPr>
        <w:t xml:space="preserve"> effects. (A) </w:t>
      </w:r>
      <w:r>
        <w:rPr>
          <w:i w:val="0"/>
          <w:iCs w:val="0"/>
          <w:color w:val="auto"/>
          <w:lang w:val="en-US"/>
        </w:rPr>
        <w:t>Percentage survival against untreated conditions</w:t>
      </w:r>
      <w:r w:rsidRPr="00D474A8">
        <w:rPr>
          <w:i w:val="0"/>
          <w:iCs w:val="0"/>
          <w:color w:val="auto"/>
          <w:lang w:val="en-US"/>
        </w:rPr>
        <w:t xml:space="preserve"> of </w:t>
      </w:r>
      <w:r>
        <w:rPr>
          <w:i w:val="0"/>
          <w:iCs w:val="0"/>
          <w:color w:val="auto"/>
          <w:lang w:val="en-US"/>
        </w:rPr>
        <w:t>non-senescent control and TIS H460</w:t>
      </w:r>
      <w:r w:rsidRPr="00D474A8">
        <w:rPr>
          <w:i w:val="0"/>
          <w:iCs w:val="0"/>
          <w:color w:val="auto"/>
          <w:lang w:val="en-US"/>
        </w:rPr>
        <w:t xml:space="preserve"> cells 48 hours after </w:t>
      </w:r>
      <w:r>
        <w:rPr>
          <w:i w:val="0"/>
          <w:iCs w:val="0"/>
          <w:color w:val="auto"/>
          <w:lang w:val="en-US"/>
        </w:rPr>
        <w:t xml:space="preserve">treatment with </w:t>
      </w:r>
      <w:r w:rsidRPr="00D474A8">
        <w:rPr>
          <w:i w:val="0"/>
          <w:iCs w:val="0"/>
          <w:color w:val="auto"/>
          <w:lang w:val="en-US"/>
        </w:rPr>
        <w:t>a concentration range (</w:t>
      </w:r>
      <w:r>
        <w:rPr>
          <w:i w:val="0"/>
          <w:iCs w:val="0"/>
          <w:color w:val="auto"/>
          <w:lang w:val="en-US"/>
        </w:rPr>
        <w:t>1</w:t>
      </w:r>
      <w:r w:rsidRPr="00D474A8">
        <w:rPr>
          <w:i w:val="0"/>
          <w:iCs w:val="0"/>
          <w:color w:val="auto"/>
          <w:lang w:val="en-US"/>
        </w:rPr>
        <w:t xml:space="preserve">.0 µM </w:t>
      </w:r>
      <w:r>
        <w:rPr>
          <w:i w:val="0"/>
          <w:iCs w:val="0"/>
          <w:color w:val="auto"/>
          <w:lang w:val="en-US"/>
        </w:rPr>
        <w:t>-</w:t>
      </w:r>
      <w:r w:rsidRPr="00D474A8">
        <w:rPr>
          <w:i w:val="0"/>
          <w:iCs w:val="0"/>
          <w:color w:val="auto"/>
          <w:lang w:val="en-US"/>
        </w:rPr>
        <w:t xml:space="preserve"> 90.0 µM) of</w:t>
      </w:r>
      <w:r>
        <w:rPr>
          <w:i w:val="0"/>
          <w:iCs w:val="0"/>
          <w:color w:val="auto"/>
          <w:lang w:val="en-US"/>
        </w:rPr>
        <w:t xml:space="preserve"> the p38 MAPK inhibitors</w:t>
      </w:r>
      <w:r w:rsidRPr="00D474A8">
        <w:rPr>
          <w:i w:val="0"/>
          <w:iCs w:val="0"/>
          <w:color w:val="auto"/>
          <w:lang w:val="en-US"/>
        </w:rPr>
        <w:t xml:space="preserve"> </w:t>
      </w:r>
      <w:proofErr w:type="spellStart"/>
      <w:r>
        <w:rPr>
          <w:i w:val="0"/>
          <w:iCs w:val="0"/>
          <w:color w:val="auto"/>
          <w:lang w:val="en-US"/>
        </w:rPr>
        <w:t>Skepinone</w:t>
      </w:r>
      <w:proofErr w:type="spellEnd"/>
      <w:r>
        <w:rPr>
          <w:i w:val="0"/>
          <w:iCs w:val="0"/>
          <w:color w:val="auto"/>
          <w:lang w:val="en-US"/>
        </w:rPr>
        <w:t xml:space="preserve">-l, </w:t>
      </w:r>
      <w:proofErr w:type="spellStart"/>
      <w:r>
        <w:rPr>
          <w:i w:val="0"/>
          <w:iCs w:val="0"/>
          <w:color w:val="auto"/>
          <w:lang w:val="en-US"/>
        </w:rPr>
        <w:t>Adezmapimod</w:t>
      </w:r>
      <w:proofErr w:type="spellEnd"/>
      <w:r>
        <w:rPr>
          <w:b/>
          <w:bCs/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or Doramapimod; the Bax activator BAM7; the IGF1R inhibitors Picropodophyllin</w:t>
      </w:r>
      <w:r>
        <w:rPr>
          <w:b/>
          <w:bCs/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or AZD-3463; the sodium channel blocker Amiloride; or the adenosine receptor agonist NECA.</w:t>
      </w:r>
      <w:r w:rsidRPr="00515B98">
        <w:rPr>
          <w:i w:val="0"/>
          <w:iCs w:val="0"/>
          <w:color w:val="auto"/>
          <w:lang w:val="en-US"/>
        </w:rPr>
        <w:t xml:space="preserve"> </w:t>
      </w:r>
      <w:r>
        <w:rPr>
          <w:b/>
          <w:bCs/>
          <w:i w:val="0"/>
          <w:iCs w:val="0"/>
          <w:color w:val="auto"/>
          <w:lang w:val="en-US"/>
        </w:rPr>
        <w:t xml:space="preserve">(B) </w:t>
      </w:r>
      <w:r w:rsidRPr="00726106">
        <w:rPr>
          <w:i w:val="0"/>
          <w:iCs w:val="0"/>
          <w:color w:val="auto"/>
          <w:lang w:val="en-US"/>
        </w:rPr>
        <w:t xml:space="preserve">Representative images of </w:t>
      </w:r>
      <w:r>
        <w:rPr>
          <w:i w:val="0"/>
          <w:iCs w:val="0"/>
          <w:color w:val="auto"/>
          <w:lang w:val="en-US"/>
        </w:rPr>
        <w:t xml:space="preserve">non-senescent </w:t>
      </w:r>
      <w:r w:rsidRPr="00726106">
        <w:rPr>
          <w:i w:val="0"/>
          <w:iCs w:val="0"/>
          <w:color w:val="auto"/>
          <w:lang w:val="en-US"/>
        </w:rPr>
        <w:t>control</w:t>
      </w:r>
      <w:r>
        <w:rPr>
          <w:i w:val="0"/>
          <w:iCs w:val="0"/>
          <w:color w:val="auto"/>
          <w:lang w:val="en-US"/>
        </w:rPr>
        <w:t xml:space="preserve"> and</w:t>
      </w:r>
      <w:r w:rsidRPr="00726106">
        <w:rPr>
          <w:i w:val="0"/>
          <w:iCs w:val="0"/>
          <w:color w:val="auto"/>
          <w:lang w:val="en-US"/>
        </w:rPr>
        <w:t xml:space="preserve"> TIS </w:t>
      </w:r>
      <w:r>
        <w:rPr>
          <w:i w:val="0"/>
          <w:iCs w:val="0"/>
          <w:color w:val="auto"/>
          <w:lang w:val="en-US"/>
        </w:rPr>
        <w:t>H460</w:t>
      </w:r>
      <w:r w:rsidRPr="00726106">
        <w:rPr>
          <w:i w:val="0"/>
          <w:iCs w:val="0"/>
          <w:color w:val="auto"/>
          <w:lang w:val="en-US"/>
        </w:rPr>
        <w:t xml:space="preserve"> cells taken by the Spark® </w:t>
      </w:r>
      <w:proofErr w:type="spellStart"/>
      <w:r w:rsidRPr="00726106">
        <w:rPr>
          <w:i w:val="0"/>
          <w:iCs w:val="0"/>
          <w:color w:val="auto"/>
          <w:lang w:val="en-US"/>
        </w:rPr>
        <w:t>Cyto</w:t>
      </w:r>
      <w:proofErr w:type="spellEnd"/>
      <w:r w:rsidRPr="00726106">
        <w:rPr>
          <w:i w:val="0"/>
          <w:iCs w:val="0"/>
          <w:color w:val="auto"/>
          <w:lang w:val="en-US"/>
        </w:rPr>
        <w:t xml:space="preserve"> imaging system </w:t>
      </w:r>
      <w:r>
        <w:rPr>
          <w:i w:val="0"/>
          <w:iCs w:val="0"/>
          <w:color w:val="auto"/>
          <w:lang w:val="en-US"/>
        </w:rPr>
        <w:t>48</w:t>
      </w:r>
      <w:r w:rsidRPr="00726106">
        <w:rPr>
          <w:i w:val="0"/>
          <w:iCs w:val="0"/>
          <w:color w:val="auto"/>
          <w:lang w:val="en-US"/>
        </w:rPr>
        <w:t xml:space="preserve"> hours after treatment.</w:t>
      </w:r>
      <w:r>
        <w:rPr>
          <w:i w:val="0"/>
          <w:iCs w:val="0"/>
          <w:color w:val="auto"/>
          <w:lang w:val="en-US"/>
        </w:rPr>
        <w:t xml:space="preserve"> Green signal is </w:t>
      </w:r>
      <w:proofErr w:type="spellStart"/>
      <w:r>
        <w:rPr>
          <w:i w:val="0"/>
          <w:iCs w:val="0"/>
          <w:color w:val="auto"/>
          <w:lang w:val="en-US"/>
        </w:rPr>
        <w:t>Incucyte</w:t>
      </w:r>
      <w:proofErr w:type="spellEnd"/>
      <w:r>
        <w:rPr>
          <w:rFonts w:cstheme="minorHAnsi"/>
          <w:i w:val="0"/>
          <w:iCs w:val="0"/>
          <w:color w:val="auto"/>
          <w:lang w:val="en-US"/>
        </w:rPr>
        <w:t>®</w:t>
      </w:r>
      <w:r>
        <w:rPr>
          <w:i w:val="0"/>
          <w:iCs w:val="0"/>
          <w:color w:val="auto"/>
          <w:lang w:val="en-US"/>
        </w:rPr>
        <w:t xml:space="preserve"> </w:t>
      </w:r>
      <w:proofErr w:type="spellStart"/>
      <w:r>
        <w:rPr>
          <w:i w:val="0"/>
          <w:iCs w:val="0"/>
          <w:color w:val="auto"/>
          <w:lang w:val="en-US"/>
        </w:rPr>
        <w:t>Cytotox</w:t>
      </w:r>
      <w:proofErr w:type="spellEnd"/>
      <w:r>
        <w:rPr>
          <w:i w:val="0"/>
          <w:iCs w:val="0"/>
          <w:color w:val="auto"/>
          <w:lang w:val="en-US"/>
        </w:rPr>
        <w:t xml:space="preserve"> green dye and represents cell death. </w:t>
      </w:r>
      <w:r w:rsidRPr="00530F35">
        <w:rPr>
          <w:i w:val="0"/>
          <w:iCs w:val="0"/>
          <w:color w:val="auto"/>
          <w:lang w:val="en-US"/>
        </w:rPr>
        <w:t xml:space="preserve">Survival data were normalized to </w:t>
      </w:r>
      <w:r>
        <w:rPr>
          <w:i w:val="0"/>
          <w:iCs w:val="0"/>
          <w:color w:val="auto"/>
          <w:lang w:val="en-US"/>
        </w:rPr>
        <w:t>untreated controls</w:t>
      </w:r>
      <w:r w:rsidRPr="00530F35">
        <w:rPr>
          <w:i w:val="0"/>
          <w:iCs w:val="0"/>
          <w:color w:val="auto"/>
          <w:lang w:val="en-US"/>
        </w:rPr>
        <w:t xml:space="preserve"> and are represented as mean ± SEM</w:t>
      </w:r>
      <w:r>
        <w:rPr>
          <w:i w:val="0"/>
          <w:iCs w:val="0"/>
          <w:color w:val="auto"/>
          <w:lang w:val="en-US"/>
        </w:rPr>
        <w:t xml:space="preserve"> (n=3)</w:t>
      </w:r>
      <w:r w:rsidRPr="00530F35">
        <w:rPr>
          <w:i w:val="0"/>
          <w:iCs w:val="0"/>
          <w:color w:val="auto"/>
          <w:lang w:val="en-US"/>
        </w:rPr>
        <w:t>. Statistical significance was determined using linear mixed models</w:t>
      </w:r>
      <w:r>
        <w:rPr>
          <w:i w:val="0"/>
          <w:iCs w:val="0"/>
          <w:color w:val="auto"/>
          <w:lang w:val="en-US"/>
        </w:rPr>
        <w:t>’</w:t>
      </w:r>
      <w:r w:rsidRPr="00530F35">
        <w:rPr>
          <w:i w:val="0"/>
          <w:iCs w:val="0"/>
          <w:color w:val="auto"/>
          <w:lang w:val="en-US"/>
        </w:rPr>
        <w:t xml:space="preserve"> analysis. </w:t>
      </w:r>
      <w:r w:rsidRPr="00515B98">
        <w:rPr>
          <w:i w:val="0"/>
          <w:iCs w:val="0"/>
          <w:color w:val="auto"/>
          <w:lang w:val="en-US"/>
        </w:rPr>
        <w:t>* p&lt;0.0</w:t>
      </w:r>
      <w:r>
        <w:rPr>
          <w:i w:val="0"/>
          <w:iCs w:val="0"/>
          <w:color w:val="auto"/>
          <w:lang w:val="en-US"/>
        </w:rPr>
        <w:t>5</w:t>
      </w:r>
      <w:r w:rsidRPr="00515B98">
        <w:rPr>
          <w:i w:val="0"/>
          <w:iCs w:val="0"/>
          <w:color w:val="auto"/>
          <w:lang w:val="en-US"/>
        </w:rPr>
        <w:t>, *** p&lt; 0.001. TIS, therapy-induced senescence</w:t>
      </w:r>
      <w:r>
        <w:rPr>
          <w:i w:val="0"/>
          <w:iCs w:val="0"/>
          <w:color w:val="auto"/>
          <w:lang w:val="en-US"/>
        </w:rPr>
        <w:t xml:space="preserve">; </w:t>
      </w:r>
      <w:r w:rsidRPr="00515B98">
        <w:rPr>
          <w:i w:val="0"/>
          <w:iCs w:val="0"/>
          <w:color w:val="auto"/>
          <w:lang w:val="en-US"/>
        </w:rPr>
        <w:t>NECA, 5’-N-Ethylcarboxamide adenosine.</w:t>
      </w:r>
    </w:p>
    <w:p w14:paraId="340BFF78" w14:textId="77777777" w:rsidR="00496753" w:rsidRDefault="00496753" w:rsidP="00496753">
      <w:pPr>
        <w:spacing w:line="480" w:lineRule="auto"/>
        <w:rPr>
          <w:lang w:val="en-US"/>
        </w:rPr>
      </w:pPr>
    </w:p>
    <w:p w14:paraId="788FBAEC" w14:textId="5A5363EF" w:rsidR="00496753" w:rsidRDefault="00496753" w:rsidP="00496753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4735257A" wp14:editId="6707EE2F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6120000" cy="7183633"/>
            <wp:effectExtent l="0" t="0" r="0" b="0"/>
            <wp:wrapSquare wrapText="bothSides"/>
            <wp:docPr id="592774065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183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C18976" w14:textId="6D1A440D" w:rsidR="00496753" w:rsidRDefault="00496753" w:rsidP="00496753">
      <w:pPr>
        <w:spacing w:line="480" w:lineRule="auto"/>
        <w:rPr>
          <w:lang w:val="en-US"/>
        </w:rPr>
      </w:pPr>
    </w:p>
    <w:p w14:paraId="30F97A93" w14:textId="6C145C89" w:rsidR="00496753" w:rsidRDefault="00496753" w:rsidP="00496753">
      <w:pPr>
        <w:spacing w:line="480" w:lineRule="auto"/>
        <w:rPr>
          <w:lang w:val="en-US"/>
        </w:rPr>
      </w:pPr>
    </w:p>
    <w:p w14:paraId="4B5466AD" w14:textId="24653949" w:rsidR="00496753" w:rsidRPr="00300349" w:rsidRDefault="00496753" w:rsidP="00496753">
      <w:pPr>
        <w:spacing w:line="480" w:lineRule="auto"/>
        <w:rPr>
          <w:lang w:val="en-US"/>
        </w:rPr>
      </w:pPr>
    </w:p>
    <w:p w14:paraId="7FF3CAA5" w14:textId="0C61FD0D" w:rsidR="00496753" w:rsidRPr="001F4198" w:rsidRDefault="00496753" w:rsidP="00496753">
      <w:pPr>
        <w:pStyle w:val="Bijschrift"/>
        <w:spacing w:line="480" w:lineRule="auto"/>
        <w:jc w:val="both"/>
        <w:rPr>
          <w:i w:val="0"/>
          <w:iCs w:val="0"/>
          <w:color w:val="auto"/>
          <w:lang w:val="en-US"/>
        </w:rPr>
      </w:pPr>
      <w:r w:rsidRPr="00625DB3">
        <w:rPr>
          <w:b/>
          <w:bCs/>
          <w:i w:val="0"/>
          <w:iCs w:val="0"/>
          <w:color w:val="auto"/>
          <w:u w:val="single"/>
          <w:lang w:val="en-US"/>
        </w:rPr>
        <w:lastRenderedPageBreak/>
        <w:t xml:space="preserve">Figure </w:t>
      </w:r>
      <w:r>
        <w:rPr>
          <w:b/>
          <w:bCs/>
          <w:i w:val="0"/>
          <w:iCs w:val="0"/>
          <w:color w:val="auto"/>
          <w:u w:val="single"/>
          <w:lang w:val="en-US"/>
        </w:rPr>
        <w:t>S6</w:t>
      </w:r>
      <w:r w:rsidRPr="00625DB3">
        <w:rPr>
          <w:b/>
          <w:bCs/>
          <w:i w:val="0"/>
          <w:iCs w:val="0"/>
          <w:color w:val="auto"/>
          <w:u w:val="single"/>
          <w:lang w:val="en-US"/>
        </w:rPr>
        <w:t>:</w:t>
      </w:r>
      <w:r>
        <w:rPr>
          <w:b/>
          <w:bCs/>
          <w:i w:val="0"/>
          <w:iCs w:val="0"/>
          <w:color w:val="auto"/>
          <w:lang w:val="en-US"/>
        </w:rPr>
        <w:t xml:space="preserve"> </w:t>
      </w:r>
      <w:r w:rsidRPr="00203829">
        <w:rPr>
          <w:b/>
          <w:bCs/>
          <w:i w:val="0"/>
          <w:iCs w:val="0"/>
          <w:color w:val="auto"/>
          <w:lang w:val="en-US"/>
        </w:rPr>
        <w:t>Senescence</w:t>
      </w:r>
      <w:r>
        <w:rPr>
          <w:b/>
          <w:bCs/>
          <w:i w:val="0"/>
          <w:iCs w:val="0"/>
          <w:color w:val="auto"/>
          <w:lang w:val="en-US"/>
        </w:rPr>
        <w:t xml:space="preserve"> suppressor treatment</w:t>
      </w:r>
      <w:r w:rsidRPr="00203829">
        <w:rPr>
          <w:b/>
          <w:bCs/>
          <w:i w:val="0"/>
          <w:iCs w:val="0"/>
          <w:color w:val="auto"/>
          <w:lang w:val="en-US"/>
        </w:rPr>
        <w:t xml:space="preserve"> d</w:t>
      </w:r>
      <w:r>
        <w:rPr>
          <w:b/>
          <w:bCs/>
          <w:i w:val="0"/>
          <w:iCs w:val="0"/>
          <w:color w:val="auto"/>
          <w:lang w:val="en-US"/>
        </w:rPr>
        <w:t xml:space="preserve">ecreases the level of TIS induction in H460 cells. (A) </w:t>
      </w:r>
      <w:r>
        <w:rPr>
          <w:i w:val="0"/>
          <w:iCs w:val="0"/>
          <w:color w:val="auto"/>
          <w:lang w:val="en-US"/>
        </w:rPr>
        <w:t xml:space="preserve">Immunohistochemical staining of non-senescent control, TIS, and Amiloride (90.0 µM) or NECA (90.0 µM) treated SS-TIS H460 cells. </w:t>
      </w:r>
      <w:r w:rsidRPr="00016F92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B</w:t>
      </w:r>
      <w:r w:rsidRPr="00016F92">
        <w:rPr>
          <w:b/>
          <w:bCs/>
          <w:i w:val="0"/>
          <w:iCs w:val="0"/>
          <w:color w:val="auto"/>
          <w:lang w:val="en-US"/>
        </w:rPr>
        <w:t>)</w:t>
      </w:r>
      <w:r>
        <w:rPr>
          <w:i w:val="0"/>
          <w:iCs w:val="0"/>
          <w:color w:val="auto"/>
          <w:lang w:val="en-US"/>
        </w:rPr>
        <w:t xml:space="preserve"> </w:t>
      </w:r>
      <w:r w:rsidRPr="008D6B37">
        <w:rPr>
          <w:i w:val="0"/>
          <w:iCs w:val="0"/>
          <w:color w:val="auto"/>
          <w:lang w:val="en-US"/>
        </w:rPr>
        <w:t>Quantification of the normalized SA-β-Gal expression using Fiji software (left panel) and the percentage positive KI-67, p21 and p53 cells</w:t>
      </w:r>
      <w:r>
        <w:rPr>
          <w:i w:val="0"/>
          <w:iCs w:val="0"/>
          <w:color w:val="auto"/>
          <w:lang w:val="en-US"/>
        </w:rPr>
        <w:t xml:space="preserve"> </w:t>
      </w:r>
      <w:r w:rsidRPr="00FD0904">
        <w:rPr>
          <w:i w:val="0"/>
          <w:iCs w:val="0"/>
          <w:color w:val="auto"/>
          <w:lang w:val="en-US"/>
        </w:rPr>
        <w:t>using QuPath-0.5.1 software</w:t>
      </w:r>
      <w:r w:rsidRPr="008D6B37">
        <w:rPr>
          <w:i w:val="0"/>
          <w:iCs w:val="0"/>
          <w:color w:val="auto"/>
          <w:lang w:val="en-US"/>
        </w:rPr>
        <w:t xml:space="preserve"> (right panel) illustrated in </w:t>
      </w:r>
      <w:r w:rsidRPr="002A55B6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A</w:t>
      </w:r>
      <w:r w:rsidRPr="002A55B6">
        <w:rPr>
          <w:b/>
          <w:bCs/>
          <w:i w:val="0"/>
          <w:iCs w:val="0"/>
          <w:color w:val="auto"/>
          <w:lang w:val="en-US"/>
        </w:rPr>
        <w:t>)</w:t>
      </w:r>
      <w:r>
        <w:rPr>
          <w:i w:val="0"/>
          <w:iCs w:val="0"/>
          <w:color w:val="auto"/>
          <w:lang w:val="en-US"/>
        </w:rPr>
        <w:t xml:space="preserve">. </w:t>
      </w:r>
      <w:r w:rsidRPr="00792AC3">
        <w:rPr>
          <w:i w:val="0"/>
          <w:iCs w:val="0"/>
          <w:color w:val="auto"/>
          <w:lang w:val="en-US"/>
        </w:rPr>
        <w:t xml:space="preserve">Data </w:t>
      </w:r>
      <w:r w:rsidRPr="00D474A8">
        <w:rPr>
          <w:i w:val="0"/>
          <w:iCs w:val="0"/>
          <w:color w:val="auto"/>
          <w:lang w:val="en-US"/>
        </w:rPr>
        <w:t xml:space="preserve">are represented as mean </w:t>
      </w:r>
      <w:r w:rsidRPr="00D474A8">
        <w:rPr>
          <w:rFonts w:cstheme="minorHAnsi"/>
          <w:i w:val="0"/>
          <w:iCs w:val="0"/>
          <w:color w:val="auto"/>
          <w:lang w:val="en-US"/>
        </w:rPr>
        <w:t>±</w:t>
      </w:r>
      <w:r w:rsidRPr="00D474A8">
        <w:rPr>
          <w:i w:val="0"/>
          <w:iCs w:val="0"/>
          <w:color w:val="auto"/>
          <w:lang w:val="en-US"/>
        </w:rPr>
        <w:t xml:space="preserve"> SEM</w:t>
      </w:r>
      <w:r>
        <w:rPr>
          <w:i w:val="0"/>
          <w:iCs w:val="0"/>
          <w:color w:val="auto"/>
          <w:lang w:val="en-US"/>
        </w:rPr>
        <w:t xml:space="preserve"> (n=3)</w:t>
      </w:r>
      <w:r w:rsidRPr="00792AC3">
        <w:rPr>
          <w:i w:val="0"/>
          <w:iCs w:val="0"/>
          <w:color w:val="auto"/>
          <w:lang w:val="en-US"/>
        </w:rPr>
        <w:t>.</w:t>
      </w:r>
      <w:r>
        <w:rPr>
          <w:i w:val="0"/>
          <w:iCs w:val="0"/>
          <w:color w:val="auto"/>
          <w:lang w:val="en-US"/>
        </w:rPr>
        <w:t xml:space="preserve"> Statistical significance was determined using Student’s t tests. *** p&lt; 0.001</w:t>
      </w:r>
      <w:r w:rsidRPr="00792AC3">
        <w:rPr>
          <w:i w:val="0"/>
          <w:iCs w:val="0"/>
          <w:color w:val="auto"/>
          <w:lang w:val="en-US"/>
        </w:rPr>
        <w:t>.</w:t>
      </w:r>
      <w:r w:rsidRPr="00A3099A">
        <w:rPr>
          <w:i w:val="0"/>
          <w:iCs w:val="0"/>
          <w:color w:val="auto"/>
          <w:lang w:val="en-US"/>
        </w:rPr>
        <w:t xml:space="preserve"> TIS, therapy-induced senescence; </w:t>
      </w:r>
      <w:r>
        <w:rPr>
          <w:i w:val="0"/>
          <w:iCs w:val="0"/>
          <w:color w:val="auto"/>
          <w:lang w:val="en-US"/>
        </w:rPr>
        <w:t xml:space="preserve">SS-TIS, senescence suppressor treated therapy-induced senescence; </w:t>
      </w:r>
      <w:r w:rsidRPr="00792AC3">
        <w:rPr>
          <w:i w:val="0"/>
          <w:iCs w:val="0"/>
          <w:color w:val="auto"/>
          <w:lang w:val="en-US"/>
        </w:rPr>
        <w:t>SA-β-Gal, senescence-associated beta galactosidase</w:t>
      </w:r>
      <w:r>
        <w:rPr>
          <w:i w:val="0"/>
          <w:iCs w:val="0"/>
          <w:color w:val="auto"/>
          <w:lang w:val="en-US"/>
        </w:rPr>
        <w:t xml:space="preserve">; AMI, Amiloride; NECA, </w:t>
      </w:r>
      <w:r w:rsidRPr="00FD0904">
        <w:rPr>
          <w:i w:val="0"/>
          <w:iCs w:val="0"/>
          <w:color w:val="auto"/>
          <w:lang w:val="en-GB"/>
        </w:rPr>
        <w:t>5’-N-Ethylcarboxamide adenosine</w:t>
      </w:r>
      <w:r>
        <w:rPr>
          <w:i w:val="0"/>
          <w:iCs w:val="0"/>
          <w:color w:val="auto"/>
          <w:lang w:val="en-US"/>
        </w:rPr>
        <w:t xml:space="preserve">; SEM, standard error of means. </w:t>
      </w:r>
    </w:p>
    <w:p w14:paraId="46B206F0" w14:textId="77777777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36C10DB7" w14:textId="452CF291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2737E7DE" w14:textId="1B3E212C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26C706F1" w14:textId="070D962B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3C62167B" w14:textId="29A3522D" w:rsidR="00496753" w:rsidRDefault="00496753" w:rsidP="00496753">
      <w:pPr>
        <w:rPr>
          <w:lang w:val="en-US"/>
        </w:rPr>
      </w:pPr>
    </w:p>
    <w:p w14:paraId="1A0538BD" w14:textId="77777777" w:rsidR="00496753" w:rsidRDefault="00496753" w:rsidP="00496753">
      <w:pPr>
        <w:rPr>
          <w:lang w:val="en-US"/>
        </w:rPr>
      </w:pPr>
    </w:p>
    <w:p w14:paraId="555E6C26" w14:textId="77777777" w:rsidR="00496753" w:rsidRDefault="00496753" w:rsidP="00496753">
      <w:pPr>
        <w:rPr>
          <w:lang w:val="en-US"/>
        </w:rPr>
      </w:pPr>
    </w:p>
    <w:p w14:paraId="2267BE34" w14:textId="36BE00C6" w:rsidR="00496753" w:rsidRDefault="00496753" w:rsidP="00496753">
      <w:pPr>
        <w:rPr>
          <w:lang w:val="en-US"/>
        </w:rPr>
      </w:pPr>
    </w:p>
    <w:p w14:paraId="00F8A6EA" w14:textId="53623CC3" w:rsidR="00496753" w:rsidRDefault="00496753" w:rsidP="00496753">
      <w:pPr>
        <w:rPr>
          <w:lang w:val="en-US"/>
        </w:rPr>
      </w:pPr>
    </w:p>
    <w:p w14:paraId="5E280033" w14:textId="77777777" w:rsidR="00496753" w:rsidRDefault="00496753" w:rsidP="00496753">
      <w:pPr>
        <w:rPr>
          <w:lang w:val="en-US"/>
        </w:rPr>
      </w:pPr>
    </w:p>
    <w:p w14:paraId="3F9C9047" w14:textId="77777777" w:rsidR="00496753" w:rsidRDefault="00496753" w:rsidP="00496753">
      <w:pPr>
        <w:rPr>
          <w:lang w:val="en-US"/>
        </w:rPr>
      </w:pPr>
    </w:p>
    <w:p w14:paraId="7457BA5F" w14:textId="77777777" w:rsidR="00496753" w:rsidRDefault="00496753" w:rsidP="00496753">
      <w:pPr>
        <w:rPr>
          <w:lang w:val="en-US"/>
        </w:rPr>
      </w:pPr>
    </w:p>
    <w:p w14:paraId="6495D2C2" w14:textId="77777777" w:rsidR="00496753" w:rsidRDefault="00496753" w:rsidP="00496753">
      <w:pPr>
        <w:rPr>
          <w:lang w:val="en-US"/>
        </w:rPr>
      </w:pPr>
    </w:p>
    <w:p w14:paraId="62C34D3E" w14:textId="77777777" w:rsidR="00496753" w:rsidRDefault="00496753" w:rsidP="00496753">
      <w:pPr>
        <w:rPr>
          <w:lang w:val="en-US"/>
        </w:rPr>
      </w:pPr>
    </w:p>
    <w:p w14:paraId="79772B85" w14:textId="77777777" w:rsidR="00496753" w:rsidRDefault="00496753" w:rsidP="00496753">
      <w:pPr>
        <w:rPr>
          <w:lang w:val="en-US"/>
        </w:rPr>
      </w:pPr>
    </w:p>
    <w:p w14:paraId="6BCD9203" w14:textId="77777777" w:rsidR="00496753" w:rsidRDefault="00496753" w:rsidP="00496753">
      <w:pPr>
        <w:rPr>
          <w:lang w:val="en-US"/>
        </w:rPr>
      </w:pPr>
    </w:p>
    <w:p w14:paraId="4867714E" w14:textId="77777777" w:rsidR="00496753" w:rsidRPr="0002737C" w:rsidRDefault="00496753" w:rsidP="00496753">
      <w:pPr>
        <w:rPr>
          <w:lang w:val="en-US"/>
        </w:rPr>
      </w:pPr>
    </w:p>
    <w:p w14:paraId="7322124A" w14:textId="77777777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20F45183" w14:textId="77777777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38E41A87" w14:textId="77777777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719260B1" w14:textId="014CF28F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  <w:r>
        <w:rPr>
          <w:b/>
          <w:bCs/>
          <w:i w:val="0"/>
          <w:iCs w:val="0"/>
          <w:noProof/>
          <w:color w:val="auto"/>
          <w:u w:val="single"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55E66D24" wp14:editId="09171A9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834765" cy="5126990"/>
            <wp:effectExtent l="0" t="0" r="0" b="0"/>
            <wp:wrapSquare wrapText="bothSides"/>
            <wp:docPr id="2113220943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512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7AF2FC" w14:textId="4E8D0B6E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2A8A808F" w14:textId="7D8269E0" w:rsidR="00496753" w:rsidRDefault="00496753" w:rsidP="00496753">
      <w:pPr>
        <w:pStyle w:val="Bijschrift"/>
        <w:spacing w:line="480" w:lineRule="auto"/>
        <w:jc w:val="both"/>
        <w:rPr>
          <w:b/>
          <w:bCs/>
          <w:i w:val="0"/>
          <w:iCs w:val="0"/>
          <w:color w:val="auto"/>
          <w:u w:val="single"/>
          <w:lang w:val="en-US"/>
        </w:rPr>
      </w:pPr>
    </w:p>
    <w:p w14:paraId="07673337" w14:textId="77777777" w:rsidR="00496753" w:rsidRDefault="00496753" w:rsidP="00496753">
      <w:pPr>
        <w:rPr>
          <w:lang w:val="en-US"/>
        </w:rPr>
      </w:pPr>
    </w:p>
    <w:p w14:paraId="321D3BEB" w14:textId="77777777" w:rsidR="00496753" w:rsidRDefault="00496753" w:rsidP="00496753">
      <w:pPr>
        <w:rPr>
          <w:lang w:val="en-US"/>
        </w:rPr>
      </w:pPr>
    </w:p>
    <w:p w14:paraId="3B7B28C6" w14:textId="77777777" w:rsidR="00496753" w:rsidRDefault="00496753" w:rsidP="00496753">
      <w:pPr>
        <w:rPr>
          <w:lang w:val="en-US"/>
        </w:rPr>
      </w:pPr>
    </w:p>
    <w:p w14:paraId="6EF9D197" w14:textId="77777777" w:rsidR="00496753" w:rsidRDefault="00496753" w:rsidP="00496753">
      <w:pPr>
        <w:rPr>
          <w:lang w:val="en-US"/>
        </w:rPr>
      </w:pPr>
    </w:p>
    <w:p w14:paraId="03AF84A4" w14:textId="77777777" w:rsidR="00496753" w:rsidRDefault="00496753" w:rsidP="00496753">
      <w:pPr>
        <w:rPr>
          <w:lang w:val="en-US"/>
        </w:rPr>
      </w:pPr>
    </w:p>
    <w:p w14:paraId="4C3B4504" w14:textId="77777777" w:rsidR="00496753" w:rsidRDefault="00496753" w:rsidP="00496753">
      <w:pPr>
        <w:rPr>
          <w:lang w:val="en-US"/>
        </w:rPr>
      </w:pPr>
    </w:p>
    <w:p w14:paraId="23736C23" w14:textId="77777777" w:rsidR="00496753" w:rsidRDefault="00496753" w:rsidP="00496753">
      <w:pPr>
        <w:rPr>
          <w:lang w:val="en-US"/>
        </w:rPr>
      </w:pPr>
    </w:p>
    <w:p w14:paraId="2C74A792" w14:textId="77777777" w:rsidR="00496753" w:rsidRDefault="00496753" w:rsidP="00496753">
      <w:pPr>
        <w:rPr>
          <w:lang w:val="en-US"/>
        </w:rPr>
      </w:pPr>
    </w:p>
    <w:p w14:paraId="49797E3C" w14:textId="77777777" w:rsidR="00496753" w:rsidRDefault="00496753" w:rsidP="00496753">
      <w:pPr>
        <w:rPr>
          <w:lang w:val="en-US"/>
        </w:rPr>
      </w:pPr>
    </w:p>
    <w:p w14:paraId="09FDD4E3" w14:textId="77777777" w:rsidR="00496753" w:rsidRDefault="00496753" w:rsidP="00496753">
      <w:pPr>
        <w:rPr>
          <w:lang w:val="en-US"/>
        </w:rPr>
      </w:pPr>
    </w:p>
    <w:p w14:paraId="293FE6C2" w14:textId="77777777" w:rsidR="00496753" w:rsidRDefault="00496753" w:rsidP="00496753">
      <w:pPr>
        <w:rPr>
          <w:lang w:val="en-US"/>
        </w:rPr>
      </w:pPr>
    </w:p>
    <w:p w14:paraId="1F47FCEC" w14:textId="77777777" w:rsidR="00496753" w:rsidRDefault="00496753" w:rsidP="00496753">
      <w:pPr>
        <w:rPr>
          <w:lang w:val="en-US"/>
        </w:rPr>
      </w:pPr>
    </w:p>
    <w:p w14:paraId="221862C0" w14:textId="77777777" w:rsidR="00496753" w:rsidRDefault="00496753" w:rsidP="00496753">
      <w:pPr>
        <w:rPr>
          <w:lang w:val="en-US"/>
        </w:rPr>
      </w:pPr>
    </w:p>
    <w:p w14:paraId="4906C40A" w14:textId="77777777" w:rsidR="00496753" w:rsidRDefault="00496753" w:rsidP="00496753">
      <w:pPr>
        <w:rPr>
          <w:lang w:val="en-US"/>
        </w:rPr>
      </w:pPr>
    </w:p>
    <w:p w14:paraId="75B19A91" w14:textId="77777777" w:rsidR="00496753" w:rsidRPr="00496753" w:rsidRDefault="00496753" w:rsidP="00496753">
      <w:pPr>
        <w:rPr>
          <w:lang w:val="en-US"/>
        </w:rPr>
      </w:pPr>
    </w:p>
    <w:p w14:paraId="60488E77" w14:textId="2B4790F5" w:rsidR="005B4A92" w:rsidRPr="00496753" w:rsidRDefault="00496753" w:rsidP="00496753">
      <w:pPr>
        <w:pStyle w:val="Bijschrift"/>
        <w:spacing w:line="480" w:lineRule="auto"/>
        <w:jc w:val="both"/>
        <w:rPr>
          <w:i w:val="0"/>
          <w:iCs w:val="0"/>
          <w:color w:val="auto"/>
          <w:lang w:val="en-US"/>
        </w:rPr>
      </w:pPr>
      <w:r w:rsidRPr="00625DB3">
        <w:rPr>
          <w:b/>
          <w:bCs/>
          <w:i w:val="0"/>
          <w:iCs w:val="0"/>
          <w:color w:val="auto"/>
          <w:u w:val="single"/>
          <w:lang w:val="en-US"/>
        </w:rPr>
        <w:t xml:space="preserve">Figure </w:t>
      </w:r>
      <w:r>
        <w:rPr>
          <w:b/>
          <w:bCs/>
          <w:i w:val="0"/>
          <w:iCs w:val="0"/>
          <w:color w:val="auto"/>
          <w:u w:val="single"/>
          <w:lang w:val="en-US"/>
        </w:rPr>
        <w:t>S7</w:t>
      </w:r>
      <w:r w:rsidRPr="00625DB3">
        <w:rPr>
          <w:b/>
          <w:bCs/>
          <w:i w:val="0"/>
          <w:iCs w:val="0"/>
          <w:color w:val="auto"/>
          <w:u w:val="single"/>
          <w:lang w:val="en-US"/>
        </w:rPr>
        <w:t>:</w:t>
      </w:r>
      <w:r>
        <w:rPr>
          <w:b/>
          <w:bCs/>
          <w:i w:val="0"/>
          <w:iCs w:val="0"/>
          <w:color w:val="auto"/>
          <w:lang w:val="en-US"/>
        </w:rPr>
        <w:t xml:space="preserve"> Senescence suppressor treatment alters the drug responses of H460 cells. </w:t>
      </w:r>
      <w:r w:rsidRPr="00726106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A</w:t>
      </w:r>
      <w:r w:rsidRPr="00726106">
        <w:rPr>
          <w:b/>
          <w:bCs/>
          <w:i w:val="0"/>
          <w:iCs w:val="0"/>
          <w:color w:val="auto"/>
          <w:lang w:val="en-US"/>
        </w:rPr>
        <w:t xml:space="preserve">) </w:t>
      </w:r>
      <w:r>
        <w:rPr>
          <w:i w:val="0"/>
          <w:iCs w:val="0"/>
          <w:color w:val="auto"/>
          <w:lang w:val="en-US"/>
        </w:rPr>
        <w:t>Percentage survival</w:t>
      </w:r>
      <w:r w:rsidRPr="00D474A8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 xml:space="preserve">against untreated conditions </w:t>
      </w:r>
      <w:r w:rsidRPr="00D474A8">
        <w:rPr>
          <w:i w:val="0"/>
          <w:iCs w:val="0"/>
          <w:color w:val="auto"/>
          <w:lang w:val="en-US"/>
        </w:rPr>
        <w:t>of</w:t>
      </w:r>
      <w:r>
        <w:rPr>
          <w:i w:val="0"/>
          <w:iCs w:val="0"/>
          <w:color w:val="auto"/>
          <w:lang w:val="en-US"/>
        </w:rPr>
        <w:t xml:space="preserve"> non-senescent control, TIS and SS-TIS</w:t>
      </w:r>
      <w:r w:rsidRPr="00D474A8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H460</w:t>
      </w:r>
      <w:r w:rsidRPr="00D474A8">
        <w:rPr>
          <w:i w:val="0"/>
          <w:iCs w:val="0"/>
          <w:color w:val="auto"/>
          <w:lang w:val="en-US"/>
        </w:rPr>
        <w:t xml:space="preserve"> cells 48 hours after </w:t>
      </w:r>
      <w:r>
        <w:rPr>
          <w:i w:val="0"/>
          <w:iCs w:val="0"/>
          <w:color w:val="auto"/>
          <w:lang w:val="en-US"/>
        </w:rPr>
        <w:t>treatment with</w:t>
      </w:r>
      <w:r w:rsidRPr="00D474A8">
        <w:rPr>
          <w:i w:val="0"/>
          <w:iCs w:val="0"/>
          <w:color w:val="auto"/>
          <w:lang w:val="en-US"/>
        </w:rPr>
        <w:t xml:space="preserve"> a concentration range (</w:t>
      </w:r>
      <w:r>
        <w:rPr>
          <w:i w:val="0"/>
          <w:iCs w:val="0"/>
          <w:color w:val="auto"/>
          <w:lang w:val="en-US"/>
        </w:rPr>
        <w:t>1</w:t>
      </w:r>
      <w:r w:rsidRPr="00D474A8">
        <w:rPr>
          <w:i w:val="0"/>
          <w:iCs w:val="0"/>
          <w:color w:val="auto"/>
          <w:lang w:val="en-US"/>
        </w:rPr>
        <w:t xml:space="preserve">.0 µM </w:t>
      </w:r>
      <w:r>
        <w:rPr>
          <w:i w:val="0"/>
          <w:iCs w:val="0"/>
          <w:color w:val="auto"/>
          <w:lang w:val="en-US"/>
        </w:rPr>
        <w:t>-</w:t>
      </w:r>
      <w:r w:rsidRPr="00D474A8">
        <w:rPr>
          <w:i w:val="0"/>
          <w:iCs w:val="0"/>
          <w:color w:val="auto"/>
          <w:lang w:val="en-US"/>
        </w:rPr>
        <w:t xml:space="preserve"> 90.0 µM) of</w:t>
      </w:r>
      <w:r>
        <w:rPr>
          <w:i w:val="0"/>
          <w:iCs w:val="0"/>
          <w:color w:val="auto"/>
          <w:lang w:val="en-US"/>
        </w:rPr>
        <w:t xml:space="preserve"> the Bcl-2 inhibitors</w:t>
      </w:r>
      <w:r w:rsidRPr="00D474A8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Navitoclax or Venetoclax, a concentration range (10.0 - 90.0 µM) of the BAX activator BTSA1, or a concentration range (3.4 µM - 11.6 µM) of the thioredoxin reductase inhibitor Auranofi</w:t>
      </w:r>
      <w:r w:rsidRPr="00726106">
        <w:rPr>
          <w:i w:val="0"/>
          <w:iCs w:val="0"/>
          <w:color w:val="auto"/>
          <w:lang w:val="en-US"/>
        </w:rPr>
        <w:t>n</w:t>
      </w:r>
      <w:r>
        <w:rPr>
          <w:i w:val="0"/>
          <w:iCs w:val="0"/>
          <w:color w:val="auto"/>
          <w:lang w:val="en-US"/>
        </w:rPr>
        <w:t xml:space="preserve">. </w:t>
      </w:r>
      <w:r w:rsidRPr="001A3987">
        <w:rPr>
          <w:i w:val="0"/>
          <w:iCs w:val="0"/>
          <w:color w:val="auto"/>
          <w:lang w:val="en-US"/>
        </w:rPr>
        <w:t xml:space="preserve">Highlighted concentrations correspond to images shown in </w:t>
      </w:r>
      <w:r w:rsidRPr="001A3987">
        <w:rPr>
          <w:b/>
          <w:bCs/>
          <w:i w:val="0"/>
          <w:iCs w:val="0"/>
          <w:color w:val="auto"/>
          <w:lang w:val="en-US"/>
        </w:rPr>
        <w:t>(</w:t>
      </w:r>
      <w:r>
        <w:rPr>
          <w:b/>
          <w:bCs/>
          <w:i w:val="0"/>
          <w:iCs w:val="0"/>
          <w:color w:val="auto"/>
          <w:lang w:val="en-US"/>
        </w:rPr>
        <w:t>B</w:t>
      </w:r>
      <w:r w:rsidRPr="001A3987">
        <w:rPr>
          <w:b/>
          <w:bCs/>
          <w:i w:val="0"/>
          <w:iCs w:val="0"/>
          <w:color w:val="auto"/>
          <w:lang w:val="en-US"/>
        </w:rPr>
        <w:t>)</w:t>
      </w:r>
      <w:r>
        <w:rPr>
          <w:i w:val="0"/>
          <w:iCs w:val="0"/>
          <w:color w:val="auto"/>
          <w:lang w:val="en-US"/>
        </w:rPr>
        <w:t xml:space="preserve"> </w:t>
      </w:r>
      <w:r>
        <w:rPr>
          <w:b/>
          <w:bCs/>
          <w:i w:val="0"/>
          <w:iCs w:val="0"/>
          <w:color w:val="auto"/>
          <w:lang w:val="en-US"/>
        </w:rPr>
        <w:t xml:space="preserve">(B) </w:t>
      </w:r>
      <w:r w:rsidRPr="00726106">
        <w:rPr>
          <w:i w:val="0"/>
          <w:iCs w:val="0"/>
          <w:color w:val="auto"/>
          <w:lang w:val="en-US"/>
        </w:rPr>
        <w:t xml:space="preserve">Representative images of </w:t>
      </w:r>
      <w:r>
        <w:rPr>
          <w:i w:val="0"/>
          <w:iCs w:val="0"/>
          <w:color w:val="auto"/>
          <w:lang w:val="en-US"/>
        </w:rPr>
        <w:t xml:space="preserve">non-senescent </w:t>
      </w:r>
      <w:r w:rsidRPr="00726106">
        <w:rPr>
          <w:i w:val="0"/>
          <w:iCs w:val="0"/>
          <w:color w:val="auto"/>
          <w:lang w:val="en-US"/>
        </w:rPr>
        <w:t>control</w:t>
      </w:r>
      <w:r>
        <w:rPr>
          <w:i w:val="0"/>
          <w:iCs w:val="0"/>
          <w:color w:val="auto"/>
          <w:lang w:val="en-US"/>
        </w:rPr>
        <w:t>,</w:t>
      </w:r>
      <w:r w:rsidRPr="00726106">
        <w:rPr>
          <w:i w:val="0"/>
          <w:iCs w:val="0"/>
          <w:color w:val="auto"/>
          <w:lang w:val="en-US"/>
        </w:rPr>
        <w:t xml:space="preserve"> TIS</w:t>
      </w:r>
      <w:r>
        <w:rPr>
          <w:i w:val="0"/>
          <w:iCs w:val="0"/>
          <w:color w:val="auto"/>
          <w:lang w:val="en-US"/>
        </w:rPr>
        <w:t xml:space="preserve"> and SS-TIS</w:t>
      </w:r>
      <w:r w:rsidRPr="00726106">
        <w:rPr>
          <w:i w:val="0"/>
          <w:iCs w:val="0"/>
          <w:color w:val="auto"/>
          <w:lang w:val="en-US"/>
        </w:rPr>
        <w:t xml:space="preserve"> </w:t>
      </w:r>
      <w:r>
        <w:rPr>
          <w:i w:val="0"/>
          <w:iCs w:val="0"/>
          <w:color w:val="auto"/>
          <w:lang w:val="en-US"/>
        </w:rPr>
        <w:t>H460</w:t>
      </w:r>
      <w:r w:rsidRPr="00726106">
        <w:rPr>
          <w:i w:val="0"/>
          <w:iCs w:val="0"/>
          <w:color w:val="auto"/>
          <w:lang w:val="en-US"/>
        </w:rPr>
        <w:t xml:space="preserve"> cells</w:t>
      </w:r>
      <w:r>
        <w:rPr>
          <w:i w:val="0"/>
          <w:iCs w:val="0"/>
          <w:color w:val="auto"/>
          <w:lang w:val="en-US"/>
        </w:rPr>
        <w:t xml:space="preserve"> </w:t>
      </w:r>
      <w:r w:rsidRPr="00726106">
        <w:rPr>
          <w:i w:val="0"/>
          <w:iCs w:val="0"/>
          <w:color w:val="auto"/>
          <w:lang w:val="en-US"/>
        </w:rPr>
        <w:t xml:space="preserve">taken by the Spark® </w:t>
      </w:r>
      <w:proofErr w:type="spellStart"/>
      <w:r w:rsidRPr="00726106">
        <w:rPr>
          <w:i w:val="0"/>
          <w:iCs w:val="0"/>
          <w:color w:val="auto"/>
          <w:lang w:val="en-US"/>
        </w:rPr>
        <w:t>Cyto</w:t>
      </w:r>
      <w:proofErr w:type="spellEnd"/>
      <w:r w:rsidRPr="00726106">
        <w:rPr>
          <w:i w:val="0"/>
          <w:iCs w:val="0"/>
          <w:color w:val="auto"/>
          <w:lang w:val="en-US"/>
        </w:rPr>
        <w:t xml:space="preserve"> imaging system 48h after </w:t>
      </w:r>
      <w:proofErr w:type="spellStart"/>
      <w:r w:rsidRPr="00726106">
        <w:rPr>
          <w:i w:val="0"/>
          <w:iCs w:val="0"/>
          <w:color w:val="auto"/>
          <w:lang w:val="en-US"/>
        </w:rPr>
        <w:t>senolytic</w:t>
      </w:r>
      <w:proofErr w:type="spellEnd"/>
      <w:r w:rsidRPr="00726106">
        <w:rPr>
          <w:i w:val="0"/>
          <w:iCs w:val="0"/>
          <w:color w:val="auto"/>
          <w:lang w:val="en-US"/>
        </w:rPr>
        <w:t xml:space="preserve"> treatment</w:t>
      </w:r>
      <w:r>
        <w:rPr>
          <w:i w:val="0"/>
          <w:iCs w:val="0"/>
          <w:color w:val="auto"/>
          <w:lang w:val="en-US"/>
        </w:rPr>
        <w:t xml:space="preserve">. Green signal is </w:t>
      </w:r>
      <w:proofErr w:type="spellStart"/>
      <w:r>
        <w:rPr>
          <w:i w:val="0"/>
          <w:iCs w:val="0"/>
          <w:color w:val="auto"/>
          <w:lang w:val="en-US"/>
        </w:rPr>
        <w:t>Incucyte</w:t>
      </w:r>
      <w:proofErr w:type="spellEnd"/>
      <w:r>
        <w:rPr>
          <w:rFonts w:cstheme="minorHAnsi"/>
          <w:i w:val="0"/>
          <w:iCs w:val="0"/>
          <w:color w:val="auto"/>
          <w:lang w:val="en-US"/>
        </w:rPr>
        <w:t>®</w:t>
      </w:r>
      <w:r>
        <w:rPr>
          <w:i w:val="0"/>
          <w:iCs w:val="0"/>
          <w:color w:val="auto"/>
          <w:lang w:val="en-US"/>
        </w:rPr>
        <w:t xml:space="preserve"> </w:t>
      </w:r>
      <w:proofErr w:type="spellStart"/>
      <w:r>
        <w:rPr>
          <w:i w:val="0"/>
          <w:iCs w:val="0"/>
          <w:color w:val="auto"/>
          <w:lang w:val="en-US"/>
        </w:rPr>
        <w:t>Cytotox</w:t>
      </w:r>
      <w:proofErr w:type="spellEnd"/>
      <w:r>
        <w:rPr>
          <w:i w:val="0"/>
          <w:iCs w:val="0"/>
          <w:color w:val="auto"/>
          <w:lang w:val="en-US"/>
        </w:rPr>
        <w:t xml:space="preserve"> green dye and represents cell death. </w:t>
      </w:r>
      <w:r w:rsidRPr="00D474A8">
        <w:rPr>
          <w:i w:val="0"/>
          <w:iCs w:val="0"/>
          <w:color w:val="auto"/>
          <w:lang w:val="en-US"/>
        </w:rPr>
        <w:t xml:space="preserve">Survival data were normalized to </w:t>
      </w:r>
      <w:r>
        <w:rPr>
          <w:i w:val="0"/>
          <w:iCs w:val="0"/>
          <w:color w:val="auto"/>
          <w:lang w:val="en-US"/>
        </w:rPr>
        <w:t>untreated controls</w:t>
      </w:r>
      <w:r w:rsidRPr="00D474A8">
        <w:rPr>
          <w:i w:val="0"/>
          <w:iCs w:val="0"/>
          <w:color w:val="auto"/>
          <w:lang w:val="en-US"/>
        </w:rPr>
        <w:t xml:space="preserve"> and are represented as mean </w:t>
      </w:r>
      <w:r w:rsidRPr="00D474A8">
        <w:rPr>
          <w:rFonts w:cstheme="minorHAnsi"/>
          <w:i w:val="0"/>
          <w:iCs w:val="0"/>
          <w:color w:val="auto"/>
          <w:lang w:val="en-US"/>
        </w:rPr>
        <w:t>±</w:t>
      </w:r>
      <w:r w:rsidRPr="00D474A8">
        <w:rPr>
          <w:i w:val="0"/>
          <w:iCs w:val="0"/>
          <w:color w:val="auto"/>
          <w:lang w:val="en-US"/>
        </w:rPr>
        <w:t xml:space="preserve"> SEM</w:t>
      </w:r>
      <w:r>
        <w:rPr>
          <w:i w:val="0"/>
          <w:iCs w:val="0"/>
          <w:color w:val="auto"/>
          <w:lang w:val="en-US"/>
        </w:rPr>
        <w:t xml:space="preserve"> (n=3)</w:t>
      </w:r>
      <w:r w:rsidRPr="00792AC3">
        <w:rPr>
          <w:i w:val="0"/>
          <w:iCs w:val="0"/>
          <w:color w:val="auto"/>
          <w:lang w:val="en-US"/>
        </w:rPr>
        <w:t>.</w:t>
      </w:r>
      <w:r>
        <w:rPr>
          <w:i w:val="0"/>
          <w:iCs w:val="0"/>
          <w:color w:val="auto"/>
          <w:lang w:val="en-US"/>
        </w:rPr>
        <w:t xml:space="preserve"> </w:t>
      </w:r>
      <w:r w:rsidRPr="00E70789">
        <w:rPr>
          <w:i w:val="0"/>
          <w:iCs w:val="0"/>
          <w:color w:val="auto"/>
          <w:lang w:val="en-US"/>
        </w:rPr>
        <w:t>Statistical significance was determined using linear mixed models analysis</w:t>
      </w:r>
      <w:r>
        <w:rPr>
          <w:i w:val="0"/>
          <w:iCs w:val="0"/>
          <w:color w:val="auto"/>
          <w:lang w:val="en-US"/>
        </w:rPr>
        <w:t>. * p&lt;0.05, *** p&lt; 0.001.</w:t>
      </w:r>
      <w:r w:rsidRPr="00A3099A">
        <w:rPr>
          <w:i w:val="0"/>
          <w:iCs w:val="0"/>
          <w:color w:val="auto"/>
          <w:lang w:val="en-US"/>
        </w:rPr>
        <w:t xml:space="preserve"> TIS, therapy-induced senescence; </w:t>
      </w:r>
      <w:r>
        <w:rPr>
          <w:i w:val="0"/>
          <w:iCs w:val="0"/>
          <w:color w:val="auto"/>
          <w:lang w:val="en-US"/>
        </w:rPr>
        <w:t xml:space="preserve">SS-TIS, senescence suppressor treated therapy-induced senescence; AMI, Amiloride; NECA, </w:t>
      </w:r>
      <w:r w:rsidRPr="00FD0904">
        <w:rPr>
          <w:i w:val="0"/>
          <w:iCs w:val="0"/>
          <w:color w:val="auto"/>
          <w:lang w:val="en-GB"/>
        </w:rPr>
        <w:t>5’-N-Ethylcarboxamide adenosine</w:t>
      </w:r>
      <w:r>
        <w:rPr>
          <w:i w:val="0"/>
          <w:iCs w:val="0"/>
          <w:color w:val="auto"/>
          <w:lang w:val="en-GB"/>
        </w:rPr>
        <w:t>; SEM, standard error of means</w:t>
      </w:r>
      <w:r>
        <w:rPr>
          <w:i w:val="0"/>
          <w:iCs w:val="0"/>
          <w:color w:val="auto"/>
          <w:lang w:val="en-US"/>
        </w:rPr>
        <w:t>.</w:t>
      </w:r>
    </w:p>
    <w:sectPr w:rsidR="005B4A92" w:rsidRPr="00496753" w:rsidSect="0049675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636972"/>
      <w:docPartObj>
        <w:docPartGallery w:val="Page Numbers (Bottom of Page)"/>
        <w:docPartUnique/>
      </w:docPartObj>
    </w:sdtPr>
    <w:sdtContent>
      <w:p w14:paraId="3D1E7F15" w14:textId="77777777" w:rsidR="00496753" w:rsidRDefault="0049675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5FE0ADD" w14:textId="77777777" w:rsidR="00496753" w:rsidRDefault="00496753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ED28" w14:textId="77777777" w:rsidR="00496753" w:rsidRDefault="00496753">
    <w:pPr>
      <w:pStyle w:val="Kopteks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1D"/>
    <w:rsid w:val="00496753"/>
    <w:rsid w:val="005B4283"/>
    <w:rsid w:val="005B4A92"/>
    <w:rsid w:val="006F011D"/>
    <w:rsid w:val="00984F75"/>
    <w:rsid w:val="00E8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0520"/>
  <w15:chartTrackingRefBased/>
  <w15:docId w15:val="{D1F9EB5F-1337-4027-904A-D14E8CE6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6753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0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0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0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0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0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0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0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0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0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01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01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01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01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01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01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0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F0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0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011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F01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011D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F01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0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01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011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9675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49675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96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6753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96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6753"/>
    <w:rPr>
      <w:kern w:val="0"/>
      <w14:ligatures w14:val="none"/>
    </w:rPr>
  </w:style>
  <w:style w:type="character" w:styleId="Regelnummer">
    <w:name w:val="line number"/>
    <w:basedOn w:val="Standaardalinea-lettertype"/>
    <w:uiPriority w:val="99"/>
    <w:semiHidden/>
    <w:unhideWhenUsed/>
    <w:rsid w:val="00496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1300</Words>
  <Characters>7153</Characters>
  <Application>Microsoft Office Word</Application>
  <DocSecurity>0</DocSecurity>
  <Lines>59</Lines>
  <Paragraphs>16</Paragraphs>
  <ScaleCrop>false</ScaleCrop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Verswyvel</dc:creator>
  <cp:keywords/>
  <dc:description/>
  <cp:lastModifiedBy>Jasper Verswyvel</cp:lastModifiedBy>
  <cp:revision>2</cp:revision>
  <dcterms:created xsi:type="dcterms:W3CDTF">2026-07-31T09:37:00Z</dcterms:created>
  <dcterms:modified xsi:type="dcterms:W3CDTF">2026-07-31T09:40:00Z</dcterms:modified>
</cp:coreProperties>
</file>