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78BCD" w14:textId="0C526A88" w:rsidR="00254E6C" w:rsidRPr="00186A51" w:rsidRDefault="005247A6" w:rsidP="00254E6C">
      <w:pPr>
        <w:spacing w:after="0" w:line="480" w:lineRule="auto"/>
        <w:jc w:val="both"/>
        <w:rPr>
          <w:rFonts w:cs="Times New Roman"/>
          <w:b/>
          <w:bCs/>
        </w:rPr>
      </w:pPr>
      <w:r>
        <w:rPr>
          <w:rFonts w:cs="Times New Roman"/>
          <w:b/>
          <w:bCs/>
        </w:rPr>
        <w:t>Additional</w:t>
      </w:r>
      <w:r w:rsidR="00254E6C" w:rsidRPr="00186A51">
        <w:rPr>
          <w:rFonts w:cs="Times New Roman"/>
          <w:b/>
          <w:bCs/>
        </w:rPr>
        <w:t xml:space="preserve"> file </w:t>
      </w:r>
      <w:r>
        <w:rPr>
          <w:rFonts w:cs="Times New Roman"/>
          <w:b/>
          <w:bCs/>
        </w:rPr>
        <w:t>2</w:t>
      </w:r>
      <w:r w:rsidR="00254E6C" w:rsidRPr="00186A51">
        <w:rPr>
          <w:rFonts w:cs="Times New Roman"/>
          <w:b/>
          <w:bCs/>
        </w:rPr>
        <w:t xml:space="preserve">: Selection of healthy and unhealthy food group indicators </w:t>
      </w:r>
    </w:p>
    <w:p w14:paraId="2C0B19DB" w14:textId="32467222" w:rsidR="00254E6C" w:rsidRPr="00186A51" w:rsidRDefault="00254E6C" w:rsidP="00254E6C">
      <w:pPr>
        <w:spacing w:after="0" w:line="480" w:lineRule="auto"/>
        <w:jc w:val="both"/>
        <w:rPr>
          <w:rFonts w:cs="Times New Roman"/>
        </w:rPr>
      </w:pPr>
      <w:r w:rsidRPr="00186A51">
        <w:rPr>
          <w:rFonts w:cs="Times New Roman"/>
        </w:rPr>
        <w:t xml:space="preserve">The determination of healthy and unhealthy food group indicators was built on </w:t>
      </w:r>
      <w:r>
        <w:rPr>
          <w:rFonts w:cs="Times New Roman"/>
        </w:rPr>
        <w:t xml:space="preserve">established </w:t>
      </w:r>
      <w:r w:rsidRPr="00186A51">
        <w:rPr>
          <w:rFonts w:cs="Times New Roman"/>
        </w:rPr>
        <w:t xml:space="preserve">dietary assessment tools, guidelines and recommendations, including the Minimum Dietary Diversity for Women (FAO, 2021), Diet Quality Questionnaire (DQQ) (Herforth et al., 2020), World Health Organization (WHO) recommendations for healthy diets (WHO, 2018), and Food-Based Dietary Guidelines (FBDGs). </w:t>
      </w:r>
      <w:r w:rsidR="00C6147A">
        <w:rPr>
          <w:rFonts w:cs="Times New Roman"/>
        </w:rPr>
        <w:t>T</w:t>
      </w:r>
      <w:r w:rsidRPr="00186A51">
        <w:rPr>
          <w:rFonts w:cs="Times New Roman"/>
        </w:rPr>
        <w:t xml:space="preserve">his study adopted the food group classification </w:t>
      </w:r>
      <w:r>
        <w:rPr>
          <w:rFonts w:cs="Times New Roman"/>
        </w:rPr>
        <w:t>of</w:t>
      </w:r>
      <w:r w:rsidRPr="00186A51">
        <w:rPr>
          <w:rFonts w:cs="Times New Roman"/>
        </w:rPr>
        <w:t xml:space="preserve"> </w:t>
      </w:r>
      <w:r>
        <w:rPr>
          <w:rFonts w:cs="Times New Roman"/>
        </w:rPr>
        <w:t xml:space="preserve">the </w:t>
      </w:r>
      <w:r w:rsidRPr="00186A51">
        <w:rPr>
          <w:rFonts w:cs="Times New Roman"/>
        </w:rPr>
        <w:t>MDD-W indicator</w:t>
      </w:r>
      <w:r w:rsidR="00E827A7">
        <w:rPr>
          <w:rFonts w:cs="Times New Roman"/>
        </w:rPr>
        <w:t xml:space="preserve">, given that FBDG classifications vary considerably across countries, shaped by sociocultural context, </w:t>
      </w:r>
      <w:r w:rsidR="00DB7267">
        <w:rPr>
          <w:rFonts w:cs="Times New Roman"/>
        </w:rPr>
        <w:t>particularly</w:t>
      </w:r>
      <w:r w:rsidR="00E827A7">
        <w:rPr>
          <w:rFonts w:cs="Times New Roman"/>
        </w:rPr>
        <w:t xml:space="preserve"> for nuts, legumes, and </w:t>
      </w:r>
      <w:r w:rsidR="00E827A7" w:rsidRPr="00186A51">
        <w:rPr>
          <w:rFonts w:cs="Times New Roman"/>
        </w:rPr>
        <w:t>animal-source foods</w:t>
      </w:r>
      <w:r w:rsidR="00E827A7">
        <w:rPr>
          <w:rFonts w:cs="Times New Roman"/>
        </w:rPr>
        <w:t xml:space="preserve"> </w:t>
      </w:r>
      <w:r w:rsidR="00E827A7" w:rsidRPr="00186A51">
        <w:rPr>
          <w:rFonts w:cs="Times New Roman"/>
        </w:rPr>
        <w:t xml:space="preserve">(Herforth et al., 2019). </w:t>
      </w:r>
    </w:p>
    <w:p w14:paraId="40EBACFE" w14:textId="77777777" w:rsidR="00254E6C" w:rsidRDefault="00254E6C" w:rsidP="00C6147A">
      <w:pPr>
        <w:spacing w:after="0" w:line="480" w:lineRule="auto"/>
        <w:ind w:firstLine="720"/>
        <w:jc w:val="both"/>
        <w:rPr>
          <w:rFonts w:cs="Times New Roman"/>
        </w:rPr>
      </w:pPr>
      <w:r w:rsidRPr="00186A51">
        <w:rPr>
          <w:rFonts w:cs="Times New Roman"/>
        </w:rPr>
        <w:t xml:space="preserve">As purchased </w:t>
      </w:r>
      <w:r>
        <w:rPr>
          <w:rFonts w:cs="Times New Roman"/>
        </w:rPr>
        <w:t xml:space="preserve">foods </w:t>
      </w:r>
      <w:r w:rsidRPr="00186A51">
        <w:rPr>
          <w:rFonts w:cs="Times New Roman"/>
        </w:rPr>
        <w:t>are ultimately consumed,</w:t>
      </w:r>
      <w:r>
        <w:rPr>
          <w:rFonts w:cs="Times New Roman"/>
        </w:rPr>
        <w:t xml:space="preserve"> </w:t>
      </w:r>
      <w:r w:rsidRPr="00186A51">
        <w:rPr>
          <w:rFonts w:cs="Times New Roman"/>
        </w:rPr>
        <w:t xml:space="preserve">food group </w:t>
      </w:r>
      <w:r>
        <w:rPr>
          <w:rFonts w:cs="Times New Roman"/>
        </w:rPr>
        <w:t xml:space="preserve">selection </w:t>
      </w:r>
      <w:r w:rsidRPr="00186A51">
        <w:rPr>
          <w:rFonts w:cs="Times New Roman"/>
        </w:rPr>
        <w:t xml:space="preserve">was designed to identify sources of healthy and unhealthy foods in a way that complements dietary intake data </w:t>
      </w:r>
      <w:r>
        <w:rPr>
          <w:rFonts w:cs="Times New Roman"/>
        </w:rPr>
        <w:t>and</w:t>
      </w:r>
      <w:r w:rsidRPr="00186A51">
        <w:rPr>
          <w:rFonts w:cs="Times New Roman"/>
        </w:rPr>
        <w:t xml:space="preserve"> </w:t>
      </w:r>
      <w:r>
        <w:rPr>
          <w:rFonts w:cs="Times New Roman"/>
        </w:rPr>
        <w:t>avoids</w:t>
      </w:r>
      <w:r w:rsidRPr="00186A51">
        <w:rPr>
          <w:rFonts w:cs="Times New Roman"/>
        </w:rPr>
        <w:t xml:space="preserve"> redundancy. </w:t>
      </w:r>
      <w:r>
        <w:rPr>
          <w:rFonts w:cs="Times New Roman"/>
        </w:rPr>
        <w:t>Accordingly</w:t>
      </w:r>
      <w:r w:rsidRPr="00186A51">
        <w:rPr>
          <w:rFonts w:cs="Times New Roman"/>
        </w:rPr>
        <w:t xml:space="preserve">, some food groups were </w:t>
      </w:r>
      <w:r>
        <w:rPr>
          <w:rFonts w:cs="Times New Roman"/>
        </w:rPr>
        <w:t>aggregated</w:t>
      </w:r>
      <w:r w:rsidRPr="00186A51">
        <w:rPr>
          <w:rFonts w:cs="Times New Roman"/>
        </w:rPr>
        <w:t>, w</w:t>
      </w:r>
      <w:r>
        <w:rPr>
          <w:rFonts w:cs="Times New Roman"/>
        </w:rPr>
        <w:t>hereas</w:t>
      </w:r>
      <w:r w:rsidRPr="00186A51">
        <w:rPr>
          <w:rFonts w:cs="Times New Roman"/>
        </w:rPr>
        <w:t xml:space="preserve"> some were disaggregated into subgroups. </w:t>
      </w:r>
      <w:r>
        <w:rPr>
          <w:rFonts w:cs="Times New Roman"/>
        </w:rPr>
        <w:t>Given the use of</w:t>
      </w:r>
      <w:r w:rsidRPr="00186A51">
        <w:rPr>
          <w:rFonts w:cs="Times New Roman"/>
        </w:rPr>
        <w:t xml:space="preserve"> dichotomous (yes/no) </w:t>
      </w:r>
      <w:r>
        <w:rPr>
          <w:rFonts w:cs="Times New Roman"/>
        </w:rPr>
        <w:t>questions</w:t>
      </w:r>
      <w:r w:rsidRPr="00186A51">
        <w:rPr>
          <w:rFonts w:cs="Times New Roman"/>
        </w:rPr>
        <w:t xml:space="preserve"> without measuring purchase quantity</w:t>
      </w:r>
      <w:r>
        <w:rPr>
          <w:rFonts w:cs="Times New Roman"/>
        </w:rPr>
        <w:t>,</w:t>
      </w:r>
      <w:r w:rsidRPr="00186A51">
        <w:rPr>
          <w:rFonts w:cs="Times New Roman"/>
        </w:rPr>
        <w:t xml:space="preserve"> only </w:t>
      </w:r>
      <w:r>
        <w:rPr>
          <w:rFonts w:cs="Times New Roman"/>
        </w:rPr>
        <w:t>food groups</w:t>
      </w:r>
      <w:r w:rsidRPr="00186A51">
        <w:rPr>
          <w:rFonts w:cs="Times New Roman"/>
        </w:rPr>
        <w:t xml:space="preserve"> with clear and </w:t>
      </w:r>
      <w:r>
        <w:rPr>
          <w:rFonts w:cs="Times New Roman"/>
        </w:rPr>
        <w:t>well-established</w:t>
      </w:r>
      <w:r w:rsidRPr="00186A51">
        <w:rPr>
          <w:rFonts w:cs="Times New Roman"/>
        </w:rPr>
        <w:t xml:space="preserve"> health and</w:t>
      </w:r>
      <w:r>
        <w:rPr>
          <w:rFonts w:cs="Times New Roman"/>
        </w:rPr>
        <w:t xml:space="preserve"> e</w:t>
      </w:r>
      <w:r w:rsidRPr="00186A51">
        <w:rPr>
          <w:rFonts w:cs="Times New Roman"/>
        </w:rPr>
        <w:t>nvironment</w:t>
      </w:r>
      <w:r>
        <w:rPr>
          <w:rFonts w:cs="Times New Roman"/>
        </w:rPr>
        <w:t>al implications</w:t>
      </w:r>
      <w:r w:rsidRPr="00186A51">
        <w:rPr>
          <w:rFonts w:cs="Times New Roman"/>
        </w:rPr>
        <w:t xml:space="preserve"> were selected. Food groups with ambiguous effects or insufficient evidence</w:t>
      </w:r>
      <w:r>
        <w:rPr>
          <w:rFonts w:cs="Times New Roman"/>
        </w:rPr>
        <w:t>, including d</w:t>
      </w:r>
      <w:r w:rsidRPr="007D74B2">
        <w:rPr>
          <w:rFonts w:cs="Times New Roman"/>
        </w:rPr>
        <w:t>airy</w:t>
      </w:r>
      <w:r>
        <w:rPr>
          <w:rFonts w:cs="Times New Roman"/>
        </w:rPr>
        <w:t>, n</w:t>
      </w:r>
      <w:r w:rsidRPr="007D74B2">
        <w:rPr>
          <w:rFonts w:cs="Times New Roman"/>
        </w:rPr>
        <w:t>uts and seeds</w:t>
      </w:r>
      <w:r>
        <w:rPr>
          <w:rFonts w:cs="Times New Roman"/>
        </w:rPr>
        <w:t>, e</w:t>
      </w:r>
      <w:r w:rsidRPr="007D74B2">
        <w:rPr>
          <w:rFonts w:cs="Times New Roman"/>
        </w:rPr>
        <w:t>ggs</w:t>
      </w:r>
      <w:r>
        <w:rPr>
          <w:rFonts w:cs="Times New Roman"/>
        </w:rPr>
        <w:t>,</w:t>
      </w:r>
      <w:r w:rsidRPr="007D74B2">
        <w:rPr>
          <w:rFonts w:cs="Times New Roman"/>
        </w:rPr>
        <w:t xml:space="preserve"> </w:t>
      </w:r>
      <w:r>
        <w:rPr>
          <w:rFonts w:cs="Times New Roman"/>
        </w:rPr>
        <w:t>and a</w:t>
      </w:r>
      <w:r w:rsidRPr="007D74B2">
        <w:rPr>
          <w:rFonts w:cs="Times New Roman"/>
        </w:rPr>
        <w:t>nimal</w:t>
      </w:r>
      <w:r>
        <w:rPr>
          <w:rFonts w:cs="Times New Roman"/>
        </w:rPr>
        <w:t>-</w:t>
      </w:r>
      <w:r w:rsidRPr="007D74B2">
        <w:rPr>
          <w:rFonts w:cs="Times New Roman"/>
        </w:rPr>
        <w:t>source foods (meat, poultry and fish)</w:t>
      </w:r>
      <w:r>
        <w:rPr>
          <w:rFonts w:cs="Times New Roman"/>
        </w:rPr>
        <w:t>,</w:t>
      </w:r>
      <w:r w:rsidRPr="00186A51">
        <w:rPr>
          <w:rFonts w:cs="Times New Roman"/>
        </w:rPr>
        <w:t xml:space="preserve"> were excluded. </w:t>
      </w:r>
    </w:p>
    <w:p w14:paraId="2C585C39" w14:textId="20FCA3B8" w:rsidR="00254E6C" w:rsidRDefault="00254E6C" w:rsidP="00E6374F">
      <w:pPr>
        <w:spacing w:after="0" w:line="480" w:lineRule="auto"/>
        <w:ind w:firstLine="720"/>
        <w:jc w:val="both"/>
        <w:rPr>
          <w:rFonts w:cs="Times New Roman"/>
        </w:rPr>
      </w:pPr>
      <w:r>
        <w:rPr>
          <w:rFonts w:cs="Times New Roman"/>
        </w:rPr>
        <w:t>H</w:t>
      </w:r>
      <w:r w:rsidRPr="00186A51">
        <w:rPr>
          <w:rFonts w:cs="Times New Roman"/>
        </w:rPr>
        <w:t xml:space="preserve">ealthy indicators </w:t>
      </w:r>
      <w:r>
        <w:rPr>
          <w:rFonts w:cs="Times New Roman"/>
        </w:rPr>
        <w:t xml:space="preserve">comprise </w:t>
      </w:r>
      <w:r w:rsidRPr="00186A51">
        <w:rPr>
          <w:rFonts w:cs="Times New Roman"/>
        </w:rPr>
        <w:t>whole grains, pulses/legumes (beans, peas or lentils), fruits</w:t>
      </w:r>
      <w:r>
        <w:rPr>
          <w:rFonts w:cs="Times New Roman"/>
        </w:rPr>
        <w:t>, and</w:t>
      </w:r>
      <w:r w:rsidRPr="00186A51">
        <w:rPr>
          <w:rFonts w:cs="Times New Roman"/>
        </w:rPr>
        <w:t xml:space="preserve"> vegetables, while unhealthy indicators </w:t>
      </w:r>
      <w:r>
        <w:rPr>
          <w:rFonts w:cs="Times New Roman"/>
        </w:rPr>
        <w:t>include</w:t>
      </w:r>
      <w:r w:rsidRPr="00186A51">
        <w:rPr>
          <w:rFonts w:cs="Times New Roman"/>
        </w:rPr>
        <w:t xml:space="preserve"> fried and salty foods (packaged salty snacks and instant noodles), processed meats, sweet foods</w:t>
      </w:r>
      <w:r>
        <w:rPr>
          <w:rFonts w:cs="Times New Roman"/>
        </w:rPr>
        <w:t>,</w:t>
      </w:r>
      <w:r w:rsidRPr="00186A51">
        <w:rPr>
          <w:rFonts w:cs="Times New Roman"/>
        </w:rPr>
        <w:t xml:space="preserve"> and sweet beverages. The rationale for </w:t>
      </w:r>
      <w:r>
        <w:rPr>
          <w:rFonts w:cs="Times New Roman"/>
        </w:rPr>
        <w:t>inclusion</w:t>
      </w:r>
      <w:r w:rsidRPr="00186A51">
        <w:rPr>
          <w:rFonts w:cs="Times New Roman"/>
        </w:rPr>
        <w:t xml:space="preserve"> and </w:t>
      </w:r>
      <w:r>
        <w:rPr>
          <w:rFonts w:cs="Times New Roman"/>
        </w:rPr>
        <w:t>exclusion</w:t>
      </w:r>
      <w:r w:rsidRPr="00186A51">
        <w:rPr>
          <w:rFonts w:cs="Times New Roman"/>
        </w:rPr>
        <w:t xml:space="preserve"> </w:t>
      </w:r>
      <w:r>
        <w:rPr>
          <w:rFonts w:cs="Times New Roman"/>
        </w:rPr>
        <w:t>is</w:t>
      </w:r>
      <w:r w:rsidRPr="00186A51">
        <w:rPr>
          <w:rFonts w:cs="Times New Roman"/>
        </w:rPr>
        <w:t xml:space="preserve"> summarised in </w:t>
      </w:r>
      <w:r>
        <w:rPr>
          <w:rFonts w:cs="Times New Roman"/>
        </w:rPr>
        <w:t xml:space="preserve">Tables </w:t>
      </w:r>
      <w:r w:rsidR="00CC21DF">
        <w:rPr>
          <w:rFonts w:cs="Times New Roman"/>
        </w:rPr>
        <w:t>S</w:t>
      </w:r>
      <w:r>
        <w:rPr>
          <w:rFonts w:cs="Times New Roman"/>
        </w:rPr>
        <w:t xml:space="preserve">1 and </w:t>
      </w:r>
      <w:r w:rsidR="00CC21DF">
        <w:rPr>
          <w:rFonts w:cs="Times New Roman"/>
        </w:rPr>
        <w:t>S</w:t>
      </w:r>
      <w:r>
        <w:rPr>
          <w:rFonts w:cs="Times New Roman"/>
        </w:rPr>
        <w:t>2</w:t>
      </w:r>
      <w:r w:rsidRPr="00186A51">
        <w:rPr>
          <w:rFonts w:cs="Times New Roman"/>
        </w:rPr>
        <w:t xml:space="preserve">. </w:t>
      </w:r>
    </w:p>
    <w:p w14:paraId="54D6C947" w14:textId="77777777" w:rsidR="00254E6C" w:rsidRDefault="00254E6C" w:rsidP="00254E6C">
      <w:pPr>
        <w:spacing w:after="0" w:line="480" w:lineRule="auto"/>
        <w:jc w:val="both"/>
        <w:rPr>
          <w:rFonts w:cs="Times New Roman"/>
        </w:rPr>
      </w:pPr>
    </w:p>
    <w:p w14:paraId="0B6AF486" w14:textId="77777777" w:rsidR="001C63AB" w:rsidRDefault="001C63AB" w:rsidP="00254E6C">
      <w:pPr>
        <w:spacing w:after="0" w:line="480" w:lineRule="auto"/>
        <w:jc w:val="both"/>
        <w:rPr>
          <w:rFonts w:cs="Times New Roman"/>
        </w:rPr>
      </w:pPr>
    </w:p>
    <w:p w14:paraId="4AC3A37B" w14:textId="77777777" w:rsidR="001C63AB" w:rsidRPr="00186A51" w:rsidRDefault="001C63AB" w:rsidP="00254E6C">
      <w:pPr>
        <w:spacing w:after="0" w:line="480" w:lineRule="auto"/>
        <w:jc w:val="both"/>
        <w:rPr>
          <w:rFonts w:cs="Times New Roman"/>
        </w:rPr>
      </w:pPr>
    </w:p>
    <w:p w14:paraId="4EF48913" w14:textId="37D31AB3" w:rsidR="00254E6C" w:rsidRPr="00CC21DF" w:rsidRDefault="00254E6C" w:rsidP="00254E6C">
      <w:pPr>
        <w:spacing w:after="0" w:line="276" w:lineRule="auto"/>
        <w:jc w:val="both"/>
        <w:rPr>
          <w:rFonts w:cs="Times New Roman"/>
          <w:b/>
          <w:bCs/>
          <w:sz w:val="22"/>
          <w:szCs w:val="22"/>
        </w:rPr>
      </w:pPr>
      <w:r w:rsidRPr="00CC21DF">
        <w:rPr>
          <w:rFonts w:cs="Times New Roman"/>
          <w:b/>
          <w:bCs/>
          <w:sz w:val="22"/>
          <w:szCs w:val="22"/>
        </w:rPr>
        <w:lastRenderedPageBreak/>
        <w:t xml:space="preserve">Table </w:t>
      </w:r>
      <w:r w:rsidR="00CC21DF" w:rsidRPr="00CC21DF">
        <w:rPr>
          <w:rFonts w:cs="Times New Roman"/>
          <w:b/>
          <w:bCs/>
          <w:sz w:val="22"/>
          <w:szCs w:val="22"/>
        </w:rPr>
        <w:t>S</w:t>
      </w:r>
      <w:r w:rsidR="005247A6">
        <w:rPr>
          <w:rFonts w:cs="Times New Roman"/>
          <w:b/>
          <w:bCs/>
          <w:sz w:val="22"/>
          <w:szCs w:val="22"/>
        </w:rPr>
        <w:t>1</w:t>
      </w:r>
      <w:r w:rsidRPr="00CC21DF">
        <w:rPr>
          <w:rFonts w:cs="Times New Roman"/>
          <w:b/>
          <w:bCs/>
          <w:sz w:val="22"/>
          <w:szCs w:val="22"/>
        </w:rPr>
        <w:t xml:space="preserve"> </w:t>
      </w:r>
      <w:r w:rsidRPr="00CC21DF">
        <w:rPr>
          <w:rFonts w:cs="Times New Roman"/>
          <w:sz w:val="22"/>
          <w:szCs w:val="22"/>
        </w:rPr>
        <w:t>Rationale for the inclusion of selected food groups as healthy and unhealthy indicators</w:t>
      </w:r>
      <w:r w:rsidRPr="00CC21DF">
        <w:rPr>
          <w:rFonts w:cs="Times New Roman"/>
          <w:b/>
          <w:bCs/>
          <w:sz w:val="22"/>
          <w:szCs w:val="22"/>
        </w:rPr>
        <w:t xml:space="preserve"> </w:t>
      </w:r>
    </w:p>
    <w:tbl>
      <w:tblPr>
        <w:tblW w:w="0" w:type="auto"/>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Caption w:val=""/>
        <w:tblDescription w:val=""/>
      </w:tblPr>
      <w:tblGrid>
        <w:gridCol w:w="1951"/>
        <w:gridCol w:w="1583"/>
        <w:gridCol w:w="5472"/>
      </w:tblGrid>
      <w:tr w:rsidR="00254E6C" w:rsidRPr="00CC21DF" w14:paraId="05CA7CB1" w14:textId="77777777" w:rsidTr="00F83EFB">
        <w:trPr>
          <w:trHeight w:val="189"/>
        </w:trPr>
        <w:tc>
          <w:tcPr>
            <w:tcW w:w="1951" w:type="dxa"/>
            <w:tcMar>
              <w:top w:w="80" w:type="dxa"/>
              <w:left w:w="80" w:type="dxa"/>
              <w:bottom w:w="80" w:type="dxa"/>
              <w:right w:w="80" w:type="dxa"/>
            </w:tcMar>
            <w:hideMark/>
          </w:tcPr>
          <w:p w14:paraId="163B8767" w14:textId="77777777" w:rsidR="00254E6C" w:rsidRPr="00CC21DF" w:rsidRDefault="00254E6C" w:rsidP="00CC21DF">
            <w:pPr>
              <w:spacing w:after="0" w:line="276" w:lineRule="auto"/>
              <w:rPr>
                <w:rFonts w:cs="Times New Roman"/>
                <w:b/>
                <w:bCs/>
                <w:sz w:val="20"/>
                <w:szCs w:val="20"/>
                <w:lang w:val="en-GB"/>
              </w:rPr>
            </w:pPr>
            <w:r w:rsidRPr="00CC21DF">
              <w:rPr>
                <w:rFonts w:cs="Times New Roman"/>
                <w:b/>
                <w:bCs/>
                <w:sz w:val="20"/>
                <w:szCs w:val="20"/>
                <w:lang w:val="en-GB"/>
              </w:rPr>
              <w:t>Food group</w:t>
            </w:r>
          </w:p>
        </w:tc>
        <w:tc>
          <w:tcPr>
            <w:tcW w:w="1583" w:type="dxa"/>
            <w:tcMar>
              <w:top w:w="80" w:type="dxa"/>
              <w:left w:w="80" w:type="dxa"/>
              <w:bottom w:w="80" w:type="dxa"/>
              <w:right w:w="80" w:type="dxa"/>
            </w:tcMar>
            <w:hideMark/>
          </w:tcPr>
          <w:p w14:paraId="04C64AAC" w14:textId="77777777" w:rsidR="00254E6C" w:rsidRPr="00CC21DF" w:rsidRDefault="00254E6C" w:rsidP="00CC21DF">
            <w:pPr>
              <w:spacing w:after="0" w:line="276" w:lineRule="auto"/>
              <w:rPr>
                <w:rFonts w:cs="Times New Roman"/>
                <w:b/>
                <w:bCs/>
                <w:sz w:val="20"/>
                <w:szCs w:val="20"/>
                <w:lang w:val="en-GB"/>
              </w:rPr>
            </w:pPr>
            <w:r w:rsidRPr="00CC21DF">
              <w:rPr>
                <w:rFonts w:cs="Times New Roman"/>
                <w:b/>
                <w:bCs/>
                <w:sz w:val="20"/>
                <w:szCs w:val="20"/>
                <w:lang w:val="en-GB"/>
              </w:rPr>
              <w:t>Indicator</w:t>
            </w:r>
          </w:p>
        </w:tc>
        <w:tc>
          <w:tcPr>
            <w:tcW w:w="5472" w:type="dxa"/>
            <w:tcMar>
              <w:top w:w="80" w:type="dxa"/>
              <w:left w:w="80" w:type="dxa"/>
              <w:bottom w:w="80" w:type="dxa"/>
              <w:right w:w="80" w:type="dxa"/>
            </w:tcMar>
            <w:hideMark/>
          </w:tcPr>
          <w:p w14:paraId="462B4A34" w14:textId="77777777" w:rsidR="00254E6C" w:rsidRPr="00CC21DF" w:rsidRDefault="00254E6C" w:rsidP="00CC21DF">
            <w:pPr>
              <w:spacing w:after="0" w:line="276" w:lineRule="auto"/>
              <w:rPr>
                <w:rFonts w:cs="Times New Roman"/>
                <w:b/>
                <w:bCs/>
                <w:sz w:val="20"/>
                <w:szCs w:val="20"/>
                <w:lang w:val="en-GB"/>
              </w:rPr>
            </w:pPr>
            <w:r w:rsidRPr="00CC21DF">
              <w:rPr>
                <w:rFonts w:cs="Times New Roman"/>
                <w:b/>
                <w:bCs/>
                <w:sz w:val="20"/>
                <w:szCs w:val="20"/>
                <w:lang w:val="en-GB"/>
              </w:rPr>
              <w:t>Rationale for Inclusion</w:t>
            </w:r>
          </w:p>
        </w:tc>
      </w:tr>
      <w:tr w:rsidR="00254E6C" w:rsidRPr="00CC21DF" w14:paraId="1D5EFEAA" w14:textId="77777777" w:rsidTr="00F83EFB">
        <w:tc>
          <w:tcPr>
            <w:tcW w:w="1951" w:type="dxa"/>
            <w:tcMar>
              <w:top w:w="80" w:type="dxa"/>
              <w:left w:w="80" w:type="dxa"/>
              <w:bottom w:w="80" w:type="dxa"/>
              <w:right w:w="80" w:type="dxa"/>
            </w:tcMar>
            <w:hideMark/>
          </w:tcPr>
          <w:p w14:paraId="441E56EF" w14:textId="77777777" w:rsidR="00254E6C" w:rsidRPr="00CC21DF" w:rsidRDefault="00254E6C" w:rsidP="00CC21DF">
            <w:pPr>
              <w:spacing w:after="0" w:line="276" w:lineRule="auto"/>
              <w:rPr>
                <w:rFonts w:cs="Times New Roman"/>
                <w:sz w:val="20"/>
                <w:szCs w:val="20"/>
                <w:lang w:val="en-GB"/>
              </w:rPr>
            </w:pPr>
            <w:r w:rsidRPr="00CC21DF">
              <w:rPr>
                <w:rFonts w:cs="Times New Roman"/>
                <w:sz w:val="20"/>
                <w:szCs w:val="20"/>
                <w:lang w:val="en-GB"/>
              </w:rPr>
              <w:t>Whole grains</w:t>
            </w:r>
            <w:r w:rsidRPr="00CC21DF">
              <w:rPr>
                <w:rFonts w:cs="Times New Roman"/>
                <w:sz w:val="20"/>
                <w:szCs w:val="20"/>
                <w:vertAlign w:val="superscript"/>
                <w:lang w:val="en-GB"/>
              </w:rPr>
              <w:t>1</w:t>
            </w:r>
            <w:r w:rsidRPr="00CC21DF">
              <w:rPr>
                <w:rFonts w:cs="Times New Roman"/>
                <w:sz w:val="20"/>
                <w:szCs w:val="20"/>
                <w:lang w:val="en-GB"/>
              </w:rPr>
              <w:t xml:space="preserve"> </w:t>
            </w:r>
          </w:p>
        </w:tc>
        <w:tc>
          <w:tcPr>
            <w:tcW w:w="1583" w:type="dxa"/>
            <w:tcMar>
              <w:top w:w="80" w:type="dxa"/>
              <w:left w:w="80" w:type="dxa"/>
              <w:bottom w:w="80" w:type="dxa"/>
              <w:right w:w="80" w:type="dxa"/>
            </w:tcMar>
            <w:hideMark/>
          </w:tcPr>
          <w:p w14:paraId="5AF9F759" w14:textId="77777777" w:rsidR="00254E6C" w:rsidRPr="00CC21DF" w:rsidRDefault="00254E6C" w:rsidP="00CC21DF">
            <w:pPr>
              <w:spacing w:after="0" w:line="276" w:lineRule="auto"/>
              <w:rPr>
                <w:rFonts w:cs="Times New Roman"/>
                <w:sz w:val="20"/>
                <w:szCs w:val="20"/>
                <w:lang w:val="en-GB"/>
              </w:rPr>
            </w:pPr>
            <w:r w:rsidRPr="00CC21DF">
              <w:rPr>
                <w:rFonts w:cs="Times New Roman"/>
                <w:sz w:val="20"/>
                <w:szCs w:val="20"/>
                <w:lang w:val="en-GB"/>
              </w:rPr>
              <w:t xml:space="preserve">Healthy </w:t>
            </w:r>
          </w:p>
        </w:tc>
        <w:tc>
          <w:tcPr>
            <w:tcW w:w="5472" w:type="dxa"/>
            <w:tcMar>
              <w:top w:w="80" w:type="dxa"/>
              <w:left w:w="80" w:type="dxa"/>
              <w:bottom w:w="80" w:type="dxa"/>
              <w:right w:w="80" w:type="dxa"/>
            </w:tcMar>
            <w:hideMark/>
          </w:tcPr>
          <w:p w14:paraId="4292FA15" w14:textId="77777777" w:rsidR="00254E6C" w:rsidRPr="00CC21DF" w:rsidRDefault="00254E6C" w:rsidP="00CC21DF">
            <w:pPr>
              <w:numPr>
                <w:ilvl w:val="1"/>
                <w:numId w:val="1"/>
              </w:numPr>
              <w:tabs>
                <w:tab w:val="clear" w:pos="1440"/>
              </w:tabs>
              <w:spacing w:after="0" w:line="276" w:lineRule="auto"/>
              <w:ind w:left="356" w:hanging="291"/>
              <w:rPr>
                <w:rFonts w:cs="Times New Roman"/>
                <w:sz w:val="20"/>
                <w:szCs w:val="20"/>
              </w:rPr>
            </w:pPr>
            <w:r w:rsidRPr="00CC21DF">
              <w:rPr>
                <w:rFonts w:cs="Times New Roman"/>
                <w:sz w:val="20"/>
                <w:szCs w:val="20"/>
              </w:rPr>
              <w:t>A diet low in whole grains has been identified as the most critical dietary risk factor for deaths and disability-adjusted life-years (DALYs) in many countries (GBD 2017 Diet Collaborators, 2019).</w:t>
            </w:r>
          </w:p>
          <w:p w14:paraId="1B90CEEC" w14:textId="77777777" w:rsidR="00254E6C" w:rsidRPr="00CC21DF" w:rsidRDefault="00254E6C" w:rsidP="00CC21DF">
            <w:pPr>
              <w:numPr>
                <w:ilvl w:val="1"/>
                <w:numId w:val="1"/>
              </w:numPr>
              <w:tabs>
                <w:tab w:val="clear" w:pos="1440"/>
              </w:tabs>
              <w:spacing w:after="0" w:line="276" w:lineRule="auto"/>
              <w:ind w:left="356" w:hanging="291"/>
              <w:rPr>
                <w:rFonts w:cs="Times New Roman"/>
                <w:sz w:val="20"/>
                <w:szCs w:val="20"/>
              </w:rPr>
            </w:pPr>
            <w:r w:rsidRPr="00CC21DF">
              <w:rPr>
                <w:rFonts w:cs="Times New Roman"/>
                <w:sz w:val="20"/>
                <w:szCs w:val="20"/>
              </w:rPr>
              <w:t>WHO listed whole grains in its top-line general recommendation, emphasising their vital role in promoting a healthy diet (WHO, 2018)</w:t>
            </w:r>
          </w:p>
        </w:tc>
      </w:tr>
      <w:tr w:rsidR="00254E6C" w:rsidRPr="00CC21DF" w14:paraId="21BF77B7" w14:textId="77777777" w:rsidTr="00F83EFB">
        <w:tc>
          <w:tcPr>
            <w:tcW w:w="1951" w:type="dxa"/>
            <w:tcMar>
              <w:top w:w="80" w:type="dxa"/>
              <w:left w:w="80" w:type="dxa"/>
              <w:bottom w:w="80" w:type="dxa"/>
              <w:right w:w="80" w:type="dxa"/>
            </w:tcMar>
            <w:hideMark/>
          </w:tcPr>
          <w:p w14:paraId="605C8BCF" w14:textId="77777777" w:rsidR="00254E6C" w:rsidRPr="00CC21DF" w:rsidRDefault="00254E6C" w:rsidP="00CC21DF">
            <w:pPr>
              <w:spacing w:after="0" w:line="276" w:lineRule="auto"/>
              <w:rPr>
                <w:rFonts w:cs="Times New Roman"/>
                <w:sz w:val="20"/>
                <w:szCs w:val="20"/>
                <w:lang w:val="en-GB"/>
              </w:rPr>
            </w:pPr>
            <w:r w:rsidRPr="00CC21DF">
              <w:rPr>
                <w:rFonts w:cs="Times New Roman"/>
                <w:sz w:val="20"/>
                <w:szCs w:val="20"/>
              </w:rPr>
              <w:t>Pulses/ legume (beans, peas or lentils)</w:t>
            </w:r>
          </w:p>
        </w:tc>
        <w:tc>
          <w:tcPr>
            <w:tcW w:w="1583" w:type="dxa"/>
            <w:tcMar>
              <w:top w:w="80" w:type="dxa"/>
              <w:left w:w="80" w:type="dxa"/>
              <w:bottom w:w="80" w:type="dxa"/>
              <w:right w:w="80" w:type="dxa"/>
            </w:tcMar>
            <w:hideMark/>
          </w:tcPr>
          <w:p w14:paraId="596C6C0C" w14:textId="77777777" w:rsidR="00254E6C" w:rsidRPr="00CC21DF" w:rsidRDefault="00254E6C" w:rsidP="00CC21DF">
            <w:pPr>
              <w:spacing w:after="0" w:line="276" w:lineRule="auto"/>
              <w:rPr>
                <w:rFonts w:cs="Times New Roman"/>
                <w:sz w:val="20"/>
                <w:szCs w:val="20"/>
                <w:lang w:val="en-GB"/>
              </w:rPr>
            </w:pPr>
            <w:r w:rsidRPr="00CC21DF">
              <w:rPr>
                <w:rFonts w:cs="Times New Roman"/>
                <w:sz w:val="20"/>
                <w:szCs w:val="20"/>
                <w:lang w:val="en-GB"/>
              </w:rPr>
              <w:t xml:space="preserve">Healthy </w:t>
            </w:r>
          </w:p>
        </w:tc>
        <w:tc>
          <w:tcPr>
            <w:tcW w:w="5472" w:type="dxa"/>
            <w:tcMar>
              <w:top w:w="80" w:type="dxa"/>
              <w:left w:w="80" w:type="dxa"/>
              <w:bottom w:w="80" w:type="dxa"/>
              <w:right w:w="80" w:type="dxa"/>
            </w:tcMar>
            <w:hideMark/>
          </w:tcPr>
          <w:p w14:paraId="2F79FF1F" w14:textId="77777777" w:rsidR="00254E6C" w:rsidRPr="00CC21DF" w:rsidRDefault="00254E6C" w:rsidP="00CC21DF">
            <w:pPr>
              <w:numPr>
                <w:ilvl w:val="1"/>
                <w:numId w:val="2"/>
              </w:numPr>
              <w:tabs>
                <w:tab w:val="clear" w:pos="1440"/>
              </w:tabs>
              <w:spacing w:after="0" w:line="276" w:lineRule="auto"/>
              <w:ind w:left="356" w:hanging="291"/>
              <w:rPr>
                <w:rFonts w:cs="Times New Roman"/>
                <w:sz w:val="20"/>
                <w:szCs w:val="20"/>
              </w:rPr>
            </w:pPr>
            <w:r w:rsidRPr="00CC21DF">
              <w:rPr>
                <w:rFonts w:cs="Times New Roman"/>
                <w:sz w:val="20"/>
                <w:szCs w:val="20"/>
              </w:rPr>
              <w:t>WHO includes legumes in its top-line general recommendation (WHO, 2018)</w:t>
            </w:r>
          </w:p>
          <w:p w14:paraId="763D1E47" w14:textId="77777777" w:rsidR="00254E6C" w:rsidRPr="00CC21DF" w:rsidRDefault="00254E6C" w:rsidP="00CC21DF">
            <w:pPr>
              <w:numPr>
                <w:ilvl w:val="1"/>
                <w:numId w:val="2"/>
              </w:numPr>
              <w:tabs>
                <w:tab w:val="clear" w:pos="1440"/>
              </w:tabs>
              <w:spacing w:after="0" w:line="276" w:lineRule="auto"/>
              <w:ind w:left="356" w:hanging="291"/>
              <w:rPr>
                <w:rFonts w:cs="Times New Roman"/>
                <w:sz w:val="20"/>
                <w:szCs w:val="20"/>
              </w:rPr>
            </w:pPr>
            <w:r w:rsidRPr="00CC21DF">
              <w:rPr>
                <w:rFonts w:cs="Times New Roman"/>
                <w:sz w:val="20"/>
                <w:szCs w:val="20"/>
              </w:rPr>
              <w:t>Legumes/pulses are a vital source of protein in plant-based diets and are particularly important among low-income populations where animal-source foods are largely unaffordable (FAO, 2021)</w:t>
            </w:r>
          </w:p>
        </w:tc>
      </w:tr>
      <w:tr w:rsidR="00254E6C" w:rsidRPr="00CC21DF" w14:paraId="75C0CF5D" w14:textId="77777777" w:rsidTr="00F83EFB">
        <w:tc>
          <w:tcPr>
            <w:tcW w:w="1951" w:type="dxa"/>
            <w:tcMar>
              <w:top w:w="80" w:type="dxa"/>
              <w:left w:w="80" w:type="dxa"/>
              <w:bottom w:w="80" w:type="dxa"/>
              <w:right w:w="80" w:type="dxa"/>
            </w:tcMar>
            <w:hideMark/>
          </w:tcPr>
          <w:p w14:paraId="49606CF0" w14:textId="77777777" w:rsidR="00254E6C" w:rsidRPr="00CC21DF" w:rsidRDefault="00254E6C" w:rsidP="00CC21DF">
            <w:pPr>
              <w:spacing w:after="0" w:line="276" w:lineRule="auto"/>
              <w:rPr>
                <w:rFonts w:cs="Times New Roman"/>
                <w:sz w:val="20"/>
                <w:szCs w:val="20"/>
                <w:lang w:val="en-GB"/>
              </w:rPr>
            </w:pPr>
            <w:r w:rsidRPr="00CC21DF">
              <w:rPr>
                <w:rFonts w:cs="Times New Roman"/>
                <w:sz w:val="20"/>
                <w:szCs w:val="20"/>
                <w:lang w:val="en-GB"/>
              </w:rPr>
              <w:t>Fruits</w:t>
            </w:r>
            <w:r w:rsidRPr="00CC21DF">
              <w:rPr>
                <w:rFonts w:cs="Times New Roman"/>
                <w:sz w:val="20"/>
                <w:szCs w:val="20"/>
                <w:vertAlign w:val="superscript"/>
                <w:lang w:val="en-GB"/>
              </w:rPr>
              <w:t>2</w:t>
            </w:r>
          </w:p>
        </w:tc>
        <w:tc>
          <w:tcPr>
            <w:tcW w:w="1583" w:type="dxa"/>
            <w:tcMar>
              <w:top w:w="80" w:type="dxa"/>
              <w:left w:w="80" w:type="dxa"/>
              <w:bottom w:w="80" w:type="dxa"/>
              <w:right w:w="80" w:type="dxa"/>
            </w:tcMar>
            <w:hideMark/>
          </w:tcPr>
          <w:p w14:paraId="13401BA4" w14:textId="77777777" w:rsidR="00254E6C" w:rsidRPr="00CC21DF" w:rsidRDefault="00254E6C" w:rsidP="00CC21DF">
            <w:pPr>
              <w:spacing w:after="0" w:line="276" w:lineRule="auto"/>
              <w:rPr>
                <w:rFonts w:cs="Times New Roman"/>
                <w:sz w:val="20"/>
                <w:szCs w:val="20"/>
                <w:lang w:val="en-GB"/>
              </w:rPr>
            </w:pPr>
            <w:r w:rsidRPr="00CC21DF">
              <w:rPr>
                <w:rFonts w:cs="Times New Roman"/>
                <w:sz w:val="20"/>
                <w:szCs w:val="20"/>
                <w:lang w:val="en-GB"/>
              </w:rPr>
              <w:t xml:space="preserve">Healthy </w:t>
            </w:r>
          </w:p>
        </w:tc>
        <w:tc>
          <w:tcPr>
            <w:tcW w:w="5472" w:type="dxa"/>
            <w:tcMar>
              <w:top w:w="80" w:type="dxa"/>
              <w:left w:w="80" w:type="dxa"/>
              <w:bottom w:w="80" w:type="dxa"/>
              <w:right w:w="80" w:type="dxa"/>
            </w:tcMar>
            <w:hideMark/>
          </w:tcPr>
          <w:p w14:paraId="1D711E00" w14:textId="77777777" w:rsidR="00254E6C" w:rsidRPr="00CC21DF" w:rsidRDefault="00254E6C" w:rsidP="00CC21DF">
            <w:pPr>
              <w:numPr>
                <w:ilvl w:val="1"/>
                <w:numId w:val="3"/>
              </w:numPr>
              <w:tabs>
                <w:tab w:val="clear" w:pos="1440"/>
              </w:tabs>
              <w:spacing w:after="0" w:line="276" w:lineRule="auto"/>
              <w:ind w:left="356" w:hanging="284"/>
              <w:rPr>
                <w:rFonts w:cs="Times New Roman"/>
                <w:sz w:val="20"/>
                <w:szCs w:val="20"/>
              </w:rPr>
            </w:pPr>
            <w:r w:rsidRPr="00CC21DF">
              <w:rPr>
                <w:rFonts w:cs="Times New Roman"/>
                <w:sz w:val="20"/>
                <w:szCs w:val="20"/>
              </w:rPr>
              <w:t xml:space="preserve">Fruits are a non-substitutable food group (Herforth et al., 2016) and are included in the WHO dietary recommendations (WHO, 2018), underscoring their crucial role in healthy diets. </w:t>
            </w:r>
          </w:p>
          <w:p w14:paraId="17989B0D" w14:textId="77777777" w:rsidR="00254E6C" w:rsidRPr="00CC21DF" w:rsidRDefault="00254E6C" w:rsidP="00CC21DF">
            <w:pPr>
              <w:numPr>
                <w:ilvl w:val="1"/>
                <w:numId w:val="3"/>
              </w:numPr>
              <w:tabs>
                <w:tab w:val="clear" w:pos="1440"/>
              </w:tabs>
              <w:spacing w:after="0" w:line="276" w:lineRule="auto"/>
              <w:ind w:left="356" w:hanging="284"/>
              <w:rPr>
                <w:rFonts w:cs="Times New Roman"/>
                <w:sz w:val="20"/>
                <w:szCs w:val="20"/>
              </w:rPr>
            </w:pPr>
            <w:r w:rsidRPr="00CC21DF">
              <w:rPr>
                <w:rFonts w:cs="Times New Roman"/>
                <w:sz w:val="20"/>
                <w:szCs w:val="20"/>
              </w:rPr>
              <w:t>Universally recommended as part of a healthy diet, included in 100% of FBDGs (Herforth et al., 2019)</w:t>
            </w:r>
          </w:p>
          <w:p w14:paraId="54810C46" w14:textId="77777777" w:rsidR="00254E6C" w:rsidRPr="00CC21DF" w:rsidRDefault="00254E6C" w:rsidP="00CC21DF">
            <w:pPr>
              <w:numPr>
                <w:ilvl w:val="1"/>
                <w:numId w:val="3"/>
              </w:numPr>
              <w:tabs>
                <w:tab w:val="clear" w:pos="1440"/>
              </w:tabs>
              <w:spacing w:after="0" w:line="276" w:lineRule="auto"/>
              <w:ind w:left="356" w:hanging="284"/>
              <w:rPr>
                <w:rFonts w:cs="Times New Roman"/>
                <w:sz w:val="20"/>
                <w:szCs w:val="20"/>
              </w:rPr>
            </w:pPr>
            <w:r w:rsidRPr="00CC21DF">
              <w:rPr>
                <w:rFonts w:cs="Times New Roman"/>
                <w:sz w:val="20"/>
                <w:szCs w:val="20"/>
              </w:rPr>
              <w:t>Inadequate fruit intake was one of the leading dietary risk factors for deaths and DALYs globally (Herforth et al., 2016; Collaborators, 2019)</w:t>
            </w:r>
          </w:p>
        </w:tc>
      </w:tr>
      <w:tr w:rsidR="00254E6C" w:rsidRPr="00CC21DF" w14:paraId="21EBF148" w14:textId="77777777" w:rsidTr="00F83EFB">
        <w:tc>
          <w:tcPr>
            <w:tcW w:w="1951" w:type="dxa"/>
            <w:tcMar>
              <w:top w:w="80" w:type="dxa"/>
              <w:left w:w="80" w:type="dxa"/>
              <w:bottom w:w="80" w:type="dxa"/>
              <w:right w:w="80" w:type="dxa"/>
            </w:tcMar>
            <w:hideMark/>
          </w:tcPr>
          <w:p w14:paraId="00E01F3F" w14:textId="77777777" w:rsidR="00254E6C" w:rsidRPr="00CC21DF" w:rsidRDefault="00254E6C" w:rsidP="00CC21DF">
            <w:pPr>
              <w:spacing w:after="0" w:line="276" w:lineRule="auto"/>
              <w:rPr>
                <w:rFonts w:cs="Times New Roman"/>
                <w:sz w:val="20"/>
                <w:szCs w:val="20"/>
                <w:lang w:val="en-GB"/>
              </w:rPr>
            </w:pPr>
            <w:r w:rsidRPr="00CC21DF">
              <w:rPr>
                <w:rFonts w:cs="Times New Roman"/>
                <w:sz w:val="20"/>
                <w:szCs w:val="20"/>
                <w:lang w:val="en-GB"/>
              </w:rPr>
              <w:t>Vegetables</w:t>
            </w:r>
            <w:r w:rsidRPr="00CC21DF">
              <w:rPr>
                <w:rFonts w:cs="Times New Roman"/>
                <w:sz w:val="20"/>
                <w:szCs w:val="20"/>
                <w:vertAlign w:val="superscript"/>
              </w:rPr>
              <w:t>3</w:t>
            </w:r>
          </w:p>
        </w:tc>
        <w:tc>
          <w:tcPr>
            <w:tcW w:w="1583" w:type="dxa"/>
            <w:tcMar>
              <w:top w:w="80" w:type="dxa"/>
              <w:left w:w="80" w:type="dxa"/>
              <w:bottom w:w="80" w:type="dxa"/>
              <w:right w:w="80" w:type="dxa"/>
            </w:tcMar>
            <w:hideMark/>
          </w:tcPr>
          <w:p w14:paraId="311B5C20" w14:textId="77777777" w:rsidR="00254E6C" w:rsidRPr="00CC21DF" w:rsidRDefault="00254E6C" w:rsidP="00CC21DF">
            <w:pPr>
              <w:spacing w:after="0" w:line="276" w:lineRule="auto"/>
              <w:rPr>
                <w:rFonts w:cs="Times New Roman"/>
                <w:sz w:val="20"/>
                <w:szCs w:val="20"/>
                <w:lang w:val="en-GB"/>
              </w:rPr>
            </w:pPr>
            <w:r w:rsidRPr="00CC21DF">
              <w:rPr>
                <w:rFonts w:cs="Times New Roman"/>
                <w:sz w:val="20"/>
                <w:szCs w:val="20"/>
                <w:lang w:val="en-GB"/>
              </w:rPr>
              <w:t xml:space="preserve">Healthy </w:t>
            </w:r>
          </w:p>
        </w:tc>
        <w:tc>
          <w:tcPr>
            <w:tcW w:w="5472" w:type="dxa"/>
            <w:tcMar>
              <w:top w:w="80" w:type="dxa"/>
              <w:left w:w="80" w:type="dxa"/>
              <w:bottom w:w="80" w:type="dxa"/>
              <w:right w:w="80" w:type="dxa"/>
            </w:tcMar>
            <w:hideMark/>
          </w:tcPr>
          <w:p w14:paraId="01A9FFDC" w14:textId="77777777" w:rsidR="00254E6C" w:rsidRPr="00CC21DF" w:rsidRDefault="00254E6C" w:rsidP="00CC21DF">
            <w:pPr>
              <w:numPr>
                <w:ilvl w:val="1"/>
                <w:numId w:val="4"/>
              </w:numPr>
              <w:tabs>
                <w:tab w:val="clear" w:pos="1440"/>
              </w:tabs>
              <w:spacing w:after="0" w:line="276" w:lineRule="auto"/>
              <w:ind w:left="356" w:hanging="284"/>
              <w:rPr>
                <w:rFonts w:cs="Times New Roman"/>
                <w:sz w:val="20"/>
                <w:szCs w:val="20"/>
              </w:rPr>
            </w:pPr>
            <w:r w:rsidRPr="00CC21DF">
              <w:rPr>
                <w:rFonts w:cs="Times New Roman"/>
                <w:sz w:val="20"/>
                <w:szCs w:val="20"/>
              </w:rPr>
              <w:t>Vegetables are a non-substitutable food group (Herforth et al., 2016)</w:t>
            </w:r>
          </w:p>
          <w:p w14:paraId="71C95DCB" w14:textId="77777777" w:rsidR="00254E6C" w:rsidRPr="00CC21DF" w:rsidRDefault="00254E6C" w:rsidP="00CC21DF">
            <w:pPr>
              <w:numPr>
                <w:ilvl w:val="1"/>
                <w:numId w:val="4"/>
              </w:numPr>
              <w:tabs>
                <w:tab w:val="clear" w:pos="1440"/>
              </w:tabs>
              <w:spacing w:after="0" w:line="276" w:lineRule="auto"/>
              <w:ind w:left="356" w:hanging="284"/>
              <w:rPr>
                <w:rFonts w:cs="Times New Roman"/>
                <w:sz w:val="20"/>
                <w:szCs w:val="20"/>
              </w:rPr>
            </w:pPr>
            <w:r w:rsidRPr="00CC21DF">
              <w:rPr>
                <w:rFonts w:cs="Times New Roman"/>
                <w:sz w:val="20"/>
                <w:szCs w:val="20"/>
              </w:rPr>
              <w:t xml:space="preserve">WHO includes vegetables in its top-line general recommendation for healthy diets (WHO, 2018) </w:t>
            </w:r>
          </w:p>
          <w:p w14:paraId="55202626" w14:textId="77777777" w:rsidR="00254E6C" w:rsidRPr="00CC21DF" w:rsidRDefault="00254E6C" w:rsidP="00CC21DF">
            <w:pPr>
              <w:numPr>
                <w:ilvl w:val="1"/>
                <w:numId w:val="4"/>
              </w:numPr>
              <w:tabs>
                <w:tab w:val="clear" w:pos="1440"/>
              </w:tabs>
              <w:spacing w:after="0" w:line="276" w:lineRule="auto"/>
              <w:ind w:left="356" w:hanging="284"/>
              <w:rPr>
                <w:rFonts w:cs="Times New Roman"/>
                <w:sz w:val="20"/>
                <w:szCs w:val="20"/>
              </w:rPr>
            </w:pPr>
            <w:r w:rsidRPr="00CC21DF">
              <w:rPr>
                <w:rFonts w:cs="Times New Roman"/>
                <w:sz w:val="20"/>
                <w:szCs w:val="20"/>
              </w:rPr>
              <w:t>Universally recommended as part of a healthy diet, included in 100% of FBDGs (Herforth et al., 2019)</w:t>
            </w:r>
          </w:p>
          <w:p w14:paraId="4D647511" w14:textId="77777777" w:rsidR="00254E6C" w:rsidRPr="00CC21DF" w:rsidRDefault="00254E6C" w:rsidP="00CC21DF">
            <w:pPr>
              <w:numPr>
                <w:ilvl w:val="1"/>
                <w:numId w:val="4"/>
              </w:numPr>
              <w:tabs>
                <w:tab w:val="clear" w:pos="1440"/>
              </w:tabs>
              <w:spacing w:after="0" w:line="276" w:lineRule="auto"/>
              <w:ind w:left="356" w:hanging="284"/>
              <w:rPr>
                <w:rFonts w:cs="Times New Roman"/>
                <w:sz w:val="20"/>
                <w:szCs w:val="20"/>
              </w:rPr>
            </w:pPr>
            <w:r w:rsidRPr="00CC21DF">
              <w:rPr>
                <w:rFonts w:cs="Times New Roman"/>
                <w:sz w:val="20"/>
                <w:szCs w:val="20"/>
              </w:rPr>
              <w:t>A diet low in vegetable intake was ranked as one of the leading dietary risk factors for deaths and DALYs in all regions (Herforth et al., 2016)</w:t>
            </w:r>
          </w:p>
        </w:tc>
      </w:tr>
      <w:tr w:rsidR="00254E6C" w:rsidRPr="00CC21DF" w14:paraId="0A6E6F13" w14:textId="77777777" w:rsidTr="00F83EFB">
        <w:tc>
          <w:tcPr>
            <w:tcW w:w="1951" w:type="dxa"/>
            <w:tcMar>
              <w:top w:w="80" w:type="dxa"/>
              <w:left w:w="80" w:type="dxa"/>
              <w:bottom w:w="80" w:type="dxa"/>
              <w:right w:w="80" w:type="dxa"/>
            </w:tcMar>
            <w:hideMark/>
          </w:tcPr>
          <w:p w14:paraId="73942468" w14:textId="77777777" w:rsidR="00254E6C" w:rsidRPr="00CC21DF" w:rsidRDefault="00254E6C" w:rsidP="00CC21DF">
            <w:pPr>
              <w:spacing w:after="0" w:line="276" w:lineRule="auto"/>
              <w:rPr>
                <w:rFonts w:cs="Times New Roman"/>
                <w:sz w:val="20"/>
                <w:szCs w:val="20"/>
              </w:rPr>
            </w:pPr>
            <w:r w:rsidRPr="00CC21DF">
              <w:rPr>
                <w:rFonts w:cs="Times New Roman"/>
                <w:sz w:val="20"/>
                <w:szCs w:val="20"/>
              </w:rPr>
              <w:t>Fried and salty foods</w:t>
            </w:r>
            <w:r w:rsidRPr="00CC21DF">
              <w:rPr>
                <w:rFonts w:cs="Times New Roman"/>
                <w:sz w:val="20"/>
                <w:szCs w:val="20"/>
                <w:vertAlign w:val="superscript"/>
              </w:rPr>
              <w:t>4</w:t>
            </w:r>
            <w:r w:rsidRPr="00CC21DF">
              <w:rPr>
                <w:rFonts w:cs="Times New Roman"/>
                <w:sz w:val="20"/>
                <w:szCs w:val="20"/>
              </w:rPr>
              <w:t xml:space="preserve"> </w:t>
            </w:r>
          </w:p>
          <w:p w14:paraId="15458E0A" w14:textId="77777777" w:rsidR="00254E6C" w:rsidRPr="00CC21DF" w:rsidRDefault="00254E6C" w:rsidP="00CC21DF">
            <w:pPr>
              <w:pStyle w:val="ListParagraph"/>
              <w:numPr>
                <w:ilvl w:val="0"/>
                <w:numId w:val="13"/>
              </w:numPr>
              <w:spacing w:after="0" w:line="276" w:lineRule="auto"/>
              <w:ind w:left="613" w:right="176" w:hanging="425"/>
              <w:rPr>
                <w:rFonts w:cs="Times New Roman"/>
                <w:sz w:val="20"/>
                <w:szCs w:val="20"/>
                <w:lang w:val="en-GB"/>
              </w:rPr>
            </w:pPr>
            <w:r w:rsidRPr="00CC21DF">
              <w:rPr>
                <w:rFonts w:cs="Times New Roman"/>
                <w:sz w:val="20"/>
                <w:szCs w:val="20"/>
                <w:lang w:val="en-GB"/>
              </w:rPr>
              <w:t>Packaged salty snacks</w:t>
            </w:r>
          </w:p>
          <w:p w14:paraId="2866CA9C" w14:textId="77777777" w:rsidR="00254E6C" w:rsidRPr="00CC21DF" w:rsidRDefault="00254E6C" w:rsidP="00CC21DF">
            <w:pPr>
              <w:pStyle w:val="ListParagraph"/>
              <w:numPr>
                <w:ilvl w:val="0"/>
                <w:numId w:val="13"/>
              </w:numPr>
              <w:spacing w:after="0" w:line="276" w:lineRule="auto"/>
              <w:ind w:left="613" w:right="176" w:hanging="425"/>
              <w:rPr>
                <w:rFonts w:cs="Times New Roman"/>
                <w:sz w:val="20"/>
                <w:szCs w:val="20"/>
                <w:lang w:val="en-GB"/>
              </w:rPr>
            </w:pPr>
            <w:r w:rsidRPr="00CC21DF">
              <w:rPr>
                <w:rFonts w:cs="Times New Roman"/>
                <w:sz w:val="20"/>
                <w:szCs w:val="20"/>
                <w:lang w:val="en-GB"/>
              </w:rPr>
              <w:t>Instant noodles</w:t>
            </w:r>
          </w:p>
        </w:tc>
        <w:tc>
          <w:tcPr>
            <w:tcW w:w="1583" w:type="dxa"/>
            <w:tcMar>
              <w:top w:w="80" w:type="dxa"/>
              <w:left w:w="80" w:type="dxa"/>
              <w:bottom w:w="80" w:type="dxa"/>
              <w:right w:w="80" w:type="dxa"/>
            </w:tcMar>
            <w:hideMark/>
          </w:tcPr>
          <w:p w14:paraId="0A778643" w14:textId="77777777" w:rsidR="00254E6C" w:rsidRPr="00CC21DF" w:rsidRDefault="00254E6C" w:rsidP="00CC21DF">
            <w:pPr>
              <w:spacing w:after="0" w:line="276" w:lineRule="auto"/>
              <w:rPr>
                <w:rFonts w:cs="Times New Roman"/>
                <w:sz w:val="20"/>
                <w:szCs w:val="20"/>
                <w:lang w:val="en-GB"/>
              </w:rPr>
            </w:pPr>
            <w:r w:rsidRPr="00CC21DF">
              <w:rPr>
                <w:rFonts w:cs="Times New Roman"/>
                <w:sz w:val="20"/>
                <w:szCs w:val="20"/>
                <w:lang w:val="en-GB"/>
              </w:rPr>
              <w:t xml:space="preserve">Unhealthy </w:t>
            </w:r>
          </w:p>
        </w:tc>
        <w:tc>
          <w:tcPr>
            <w:tcW w:w="5472" w:type="dxa"/>
            <w:vMerge w:val="restart"/>
            <w:tcMar>
              <w:top w:w="80" w:type="dxa"/>
              <w:left w:w="80" w:type="dxa"/>
              <w:bottom w:w="80" w:type="dxa"/>
              <w:right w:w="80" w:type="dxa"/>
            </w:tcMar>
          </w:tcPr>
          <w:p w14:paraId="266665AC" w14:textId="77777777" w:rsidR="00254E6C" w:rsidRPr="00CC21DF" w:rsidRDefault="00254E6C" w:rsidP="00CC21DF">
            <w:pPr>
              <w:numPr>
                <w:ilvl w:val="1"/>
                <w:numId w:val="5"/>
              </w:numPr>
              <w:tabs>
                <w:tab w:val="clear" w:pos="1440"/>
              </w:tabs>
              <w:spacing w:after="0" w:line="276" w:lineRule="auto"/>
              <w:ind w:left="356" w:hanging="284"/>
              <w:rPr>
                <w:rFonts w:cs="Times New Roman"/>
                <w:sz w:val="20"/>
                <w:szCs w:val="20"/>
              </w:rPr>
            </w:pPr>
            <w:r w:rsidRPr="00CC21DF">
              <w:rPr>
                <w:rFonts w:cs="Times New Roman"/>
                <w:sz w:val="20"/>
                <w:szCs w:val="20"/>
              </w:rPr>
              <w:t xml:space="preserve">Consumption of UPFs is associated with an increased risk of NCDs (WHO, 2018). </w:t>
            </w:r>
          </w:p>
          <w:p w14:paraId="41574D34" w14:textId="77777777" w:rsidR="00254E6C" w:rsidRPr="00CC21DF" w:rsidRDefault="00254E6C" w:rsidP="00CC21DF">
            <w:pPr>
              <w:numPr>
                <w:ilvl w:val="1"/>
                <w:numId w:val="5"/>
              </w:numPr>
              <w:tabs>
                <w:tab w:val="clear" w:pos="1440"/>
              </w:tabs>
              <w:spacing w:after="0" w:line="276" w:lineRule="auto"/>
              <w:ind w:left="356" w:hanging="284"/>
              <w:rPr>
                <w:rFonts w:cs="Times New Roman"/>
                <w:sz w:val="20"/>
                <w:szCs w:val="20"/>
              </w:rPr>
            </w:pPr>
            <w:r w:rsidRPr="00CC21DF">
              <w:rPr>
                <w:rFonts w:cs="Times New Roman"/>
                <w:sz w:val="20"/>
                <w:szCs w:val="20"/>
              </w:rPr>
              <w:t>Increased consumption of UPFs is associated with detrimental impacts on both health and the environment (Herforth et al., 2016)</w:t>
            </w:r>
          </w:p>
          <w:p w14:paraId="4D3995F0" w14:textId="77777777" w:rsidR="00254E6C" w:rsidRPr="00CC21DF" w:rsidRDefault="00254E6C" w:rsidP="00CC21DF">
            <w:pPr>
              <w:numPr>
                <w:ilvl w:val="1"/>
                <w:numId w:val="5"/>
              </w:numPr>
              <w:tabs>
                <w:tab w:val="clear" w:pos="1440"/>
              </w:tabs>
              <w:spacing w:after="0" w:line="276" w:lineRule="auto"/>
              <w:ind w:left="356" w:hanging="284"/>
              <w:rPr>
                <w:rFonts w:cs="Times New Roman"/>
                <w:sz w:val="20"/>
                <w:szCs w:val="20"/>
              </w:rPr>
            </w:pPr>
            <w:r w:rsidRPr="00CC21DF">
              <w:rPr>
                <w:rFonts w:cs="Times New Roman"/>
                <w:sz w:val="20"/>
                <w:szCs w:val="20"/>
              </w:rPr>
              <w:t>Proxy for fat, free sugar and salt intake – align with WHO dietary recommendations to limit the intake of sugar, saturated fats, trans fats and sodium (Herforth et al., 2020)</w:t>
            </w:r>
          </w:p>
          <w:p w14:paraId="3539EE0E" w14:textId="77777777" w:rsidR="00254E6C" w:rsidRPr="00CC21DF" w:rsidRDefault="00254E6C" w:rsidP="00CC21DF">
            <w:pPr>
              <w:numPr>
                <w:ilvl w:val="1"/>
                <w:numId w:val="5"/>
              </w:numPr>
              <w:tabs>
                <w:tab w:val="clear" w:pos="1440"/>
              </w:tabs>
              <w:spacing w:after="0" w:line="276" w:lineRule="auto"/>
              <w:ind w:left="356" w:hanging="284"/>
              <w:rPr>
                <w:rFonts w:cs="Times New Roman"/>
                <w:sz w:val="20"/>
                <w:szCs w:val="20"/>
              </w:rPr>
            </w:pPr>
            <w:r w:rsidRPr="00CC21DF">
              <w:rPr>
                <w:rFonts w:cs="Times New Roman"/>
                <w:sz w:val="20"/>
                <w:szCs w:val="20"/>
              </w:rPr>
              <w:t xml:space="preserve">According to FBDGs, 90% of countries have a key message about limiting salt; 89% have a key message </w:t>
            </w:r>
            <w:r w:rsidRPr="00CC21DF">
              <w:rPr>
                <w:rFonts w:cs="Times New Roman"/>
                <w:sz w:val="20"/>
                <w:szCs w:val="20"/>
              </w:rPr>
              <w:lastRenderedPageBreak/>
              <w:t>about limiting fat of some kind; and 84% have a message about limiting sugar; 70% of countries have a message about all 3 (Herforth et al., 2019).</w:t>
            </w:r>
          </w:p>
        </w:tc>
      </w:tr>
      <w:tr w:rsidR="00254E6C" w:rsidRPr="00CC21DF" w14:paraId="7C544F71" w14:textId="77777777" w:rsidTr="00F83EFB">
        <w:tc>
          <w:tcPr>
            <w:tcW w:w="1951" w:type="dxa"/>
            <w:tcMar>
              <w:top w:w="80" w:type="dxa"/>
              <w:left w:w="80" w:type="dxa"/>
              <w:bottom w:w="80" w:type="dxa"/>
              <w:right w:w="80" w:type="dxa"/>
            </w:tcMar>
            <w:hideMark/>
          </w:tcPr>
          <w:p w14:paraId="49A7D32A" w14:textId="77777777" w:rsidR="00254E6C" w:rsidRPr="00CC21DF" w:rsidRDefault="00254E6C" w:rsidP="00F83EFB">
            <w:pPr>
              <w:spacing w:after="0" w:line="480" w:lineRule="auto"/>
              <w:rPr>
                <w:rFonts w:cs="Times New Roman"/>
                <w:sz w:val="20"/>
                <w:szCs w:val="20"/>
              </w:rPr>
            </w:pPr>
            <w:r w:rsidRPr="00CC21DF">
              <w:rPr>
                <w:rFonts w:cs="Times New Roman"/>
                <w:sz w:val="20"/>
                <w:szCs w:val="20"/>
              </w:rPr>
              <w:t>Processed meats</w:t>
            </w:r>
            <w:r w:rsidRPr="00CC21DF">
              <w:rPr>
                <w:rFonts w:cs="Times New Roman"/>
                <w:sz w:val="20"/>
                <w:szCs w:val="20"/>
                <w:vertAlign w:val="superscript"/>
              </w:rPr>
              <w:t>5</w:t>
            </w:r>
          </w:p>
        </w:tc>
        <w:tc>
          <w:tcPr>
            <w:tcW w:w="1583" w:type="dxa"/>
            <w:tcMar>
              <w:top w:w="80" w:type="dxa"/>
              <w:left w:w="80" w:type="dxa"/>
              <w:bottom w:w="80" w:type="dxa"/>
              <w:right w:w="80" w:type="dxa"/>
            </w:tcMar>
            <w:hideMark/>
          </w:tcPr>
          <w:p w14:paraId="465CD2FD" w14:textId="77777777" w:rsidR="00254E6C" w:rsidRPr="00CC21DF" w:rsidRDefault="00254E6C" w:rsidP="00F83EFB">
            <w:pPr>
              <w:spacing w:after="0" w:line="480" w:lineRule="auto"/>
              <w:rPr>
                <w:rFonts w:cs="Times New Roman"/>
                <w:sz w:val="20"/>
                <w:szCs w:val="20"/>
                <w:lang w:val="en-GB"/>
              </w:rPr>
            </w:pPr>
            <w:r w:rsidRPr="00CC21DF">
              <w:rPr>
                <w:rFonts w:cs="Times New Roman"/>
                <w:sz w:val="20"/>
                <w:szCs w:val="20"/>
                <w:lang w:val="en-GB"/>
              </w:rPr>
              <w:t xml:space="preserve">Unhealthy </w:t>
            </w:r>
          </w:p>
        </w:tc>
        <w:tc>
          <w:tcPr>
            <w:tcW w:w="5472" w:type="dxa"/>
            <w:vMerge/>
            <w:tcMar>
              <w:top w:w="80" w:type="dxa"/>
              <w:left w:w="80" w:type="dxa"/>
              <w:bottom w:w="80" w:type="dxa"/>
              <w:right w:w="80" w:type="dxa"/>
            </w:tcMar>
          </w:tcPr>
          <w:p w14:paraId="721720DA" w14:textId="77777777" w:rsidR="00254E6C" w:rsidRPr="00CC21DF" w:rsidRDefault="00254E6C" w:rsidP="00F83EFB">
            <w:pPr>
              <w:numPr>
                <w:ilvl w:val="1"/>
                <w:numId w:val="6"/>
              </w:numPr>
              <w:tabs>
                <w:tab w:val="clear" w:pos="1440"/>
              </w:tabs>
              <w:spacing w:after="0" w:line="480" w:lineRule="auto"/>
              <w:ind w:left="356" w:hanging="284"/>
              <w:rPr>
                <w:rFonts w:cs="Times New Roman"/>
                <w:sz w:val="20"/>
                <w:szCs w:val="20"/>
              </w:rPr>
            </w:pPr>
          </w:p>
        </w:tc>
      </w:tr>
      <w:tr w:rsidR="00254E6C" w:rsidRPr="00CC21DF" w14:paraId="12BC0EFE" w14:textId="77777777" w:rsidTr="00F83EFB">
        <w:tc>
          <w:tcPr>
            <w:tcW w:w="1951" w:type="dxa"/>
            <w:tcMar>
              <w:top w:w="80" w:type="dxa"/>
              <w:left w:w="80" w:type="dxa"/>
              <w:bottom w:w="80" w:type="dxa"/>
              <w:right w:w="80" w:type="dxa"/>
            </w:tcMar>
            <w:hideMark/>
          </w:tcPr>
          <w:p w14:paraId="497892D1" w14:textId="77777777" w:rsidR="00254E6C" w:rsidRPr="00CC21DF" w:rsidRDefault="00254E6C" w:rsidP="00F83EFB">
            <w:pPr>
              <w:spacing w:after="0" w:line="480" w:lineRule="auto"/>
              <w:rPr>
                <w:rFonts w:cs="Times New Roman"/>
                <w:sz w:val="20"/>
                <w:szCs w:val="20"/>
              </w:rPr>
            </w:pPr>
            <w:r w:rsidRPr="00CC21DF">
              <w:rPr>
                <w:rFonts w:cs="Times New Roman"/>
                <w:sz w:val="20"/>
                <w:szCs w:val="20"/>
              </w:rPr>
              <w:t>Sweet foods</w:t>
            </w:r>
          </w:p>
        </w:tc>
        <w:tc>
          <w:tcPr>
            <w:tcW w:w="1583" w:type="dxa"/>
            <w:tcMar>
              <w:top w:w="80" w:type="dxa"/>
              <w:left w:w="80" w:type="dxa"/>
              <w:bottom w:w="80" w:type="dxa"/>
              <w:right w:w="80" w:type="dxa"/>
            </w:tcMar>
            <w:hideMark/>
          </w:tcPr>
          <w:p w14:paraId="31A54401" w14:textId="77777777" w:rsidR="00254E6C" w:rsidRPr="00CC21DF" w:rsidRDefault="00254E6C" w:rsidP="00F83EFB">
            <w:pPr>
              <w:spacing w:after="0" w:line="480" w:lineRule="auto"/>
              <w:rPr>
                <w:rFonts w:cs="Times New Roman"/>
                <w:sz w:val="20"/>
                <w:szCs w:val="20"/>
                <w:lang w:val="en-GB"/>
              </w:rPr>
            </w:pPr>
            <w:r w:rsidRPr="00CC21DF">
              <w:rPr>
                <w:rFonts w:cs="Times New Roman"/>
                <w:sz w:val="20"/>
                <w:szCs w:val="20"/>
                <w:lang w:val="en-GB"/>
              </w:rPr>
              <w:t xml:space="preserve">Unhealthy </w:t>
            </w:r>
          </w:p>
        </w:tc>
        <w:tc>
          <w:tcPr>
            <w:tcW w:w="5472" w:type="dxa"/>
            <w:vMerge/>
            <w:tcMar>
              <w:top w:w="80" w:type="dxa"/>
              <w:left w:w="80" w:type="dxa"/>
              <w:bottom w:w="80" w:type="dxa"/>
              <w:right w:w="80" w:type="dxa"/>
            </w:tcMar>
          </w:tcPr>
          <w:p w14:paraId="2C2E994E" w14:textId="77777777" w:rsidR="00254E6C" w:rsidRPr="00CC21DF" w:rsidRDefault="00254E6C" w:rsidP="00F83EFB">
            <w:pPr>
              <w:numPr>
                <w:ilvl w:val="1"/>
                <w:numId w:val="7"/>
              </w:numPr>
              <w:tabs>
                <w:tab w:val="clear" w:pos="1440"/>
              </w:tabs>
              <w:spacing w:after="0" w:line="480" w:lineRule="auto"/>
              <w:ind w:left="356" w:hanging="284"/>
              <w:rPr>
                <w:rFonts w:cs="Times New Roman"/>
                <w:sz w:val="20"/>
                <w:szCs w:val="20"/>
              </w:rPr>
            </w:pPr>
          </w:p>
        </w:tc>
      </w:tr>
      <w:tr w:rsidR="00254E6C" w:rsidRPr="00CC21DF" w14:paraId="38DF25BC" w14:textId="77777777" w:rsidTr="00F83EFB">
        <w:tc>
          <w:tcPr>
            <w:tcW w:w="1951" w:type="dxa"/>
            <w:tcMar>
              <w:top w:w="80" w:type="dxa"/>
              <w:left w:w="80" w:type="dxa"/>
              <w:bottom w:w="80" w:type="dxa"/>
              <w:right w:w="80" w:type="dxa"/>
            </w:tcMar>
            <w:hideMark/>
          </w:tcPr>
          <w:p w14:paraId="5397EEF4" w14:textId="77777777" w:rsidR="00254E6C" w:rsidRPr="00CC21DF" w:rsidRDefault="00254E6C" w:rsidP="00F83EFB">
            <w:pPr>
              <w:spacing w:after="0" w:line="480" w:lineRule="auto"/>
              <w:rPr>
                <w:rFonts w:cs="Times New Roman"/>
                <w:sz w:val="20"/>
                <w:szCs w:val="20"/>
              </w:rPr>
            </w:pPr>
            <w:r w:rsidRPr="00CC21DF">
              <w:rPr>
                <w:rFonts w:cs="Times New Roman"/>
                <w:sz w:val="20"/>
                <w:szCs w:val="20"/>
              </w:rPr>
              <w:lastRenderedPageBreak/>
              <w:t>Sweet beverages</w:t>
            </w:r>
          </w:p>
        </w:tc>
        <w:tc>
          <w:tcPr>
            <w:tcW w:w="1583" w:type="dxa"/>
            <w:tcMar>
              <w:top w:w="80" w:type="dxa"/>
              <w:left w:w="80" w:type="dxa"/>
              <w:bottom w:w="80" w:type="dxa"/>
              <w:right w:w="80" w:type="dxa"/>
            </w:tcMar>
            <w:hideMark/>
          </w:tcPr>
          <w:p w14:paraId="06B6E7D4" w14:textId="77777777" w:rsidR="00254E6C" w:rsidRPr="00CC21DF" w:rsidRDefault="00254E6C" w:rsidP="00F83EFB">
            <w:pPr>
              <w:spacing w:after="0" w:line="480" w:lineRule="auto"/>
              <w:rPr>
                <w:rFonts w:cs="Times New Roman"/>
                <w:sz w:val="20"/>
                <w:szCs w:val="20"/>
                <w:lang w:val="en-GB"/>
              </w:rPr>
            </w:pPr>
            <w:r w:rsidRPr="00CC21DF">
              <w:rPr>
                <w:rFonts w:cs="Times New Roman"/>
                <w:sz w:val="20"/>
                <w:szCs w:val="20"/>
                <w:lang w:val="en-GB"/>
              </w:rPr>
              <w:t xml:space="preserve">Unhealthy </w:t>
            </w:r>
          </w:p>
        </w:tc>
        <w:tc>
          <w:tcPr>
            <w:tcW w:w="5472" w:type="dxa"/>
            <w:vMerge/>
            <w:tcMar>
              <w:top w:w="80" w:type="dxa"/>
              <w:left w:w="80" w:type="dxa"/>
              <w:bottom w:w="80" w:type="dxa"/>
              <w:right w:w="80" w:type="dxa"/>
            </w:tcMar>
          </w:tcPr>
          <w:p w14:paraId="31E853AF" w14:textId="77777777" w:rsidR="00254E6C" w:rsidRPr="00CC21DF" w:rsidRDefault="00254E6C" w:rsidP="00F83EFB">
            <w:pPr>
              <w:numPr>
                <w:ilvl w:val="1"/>
                <w:numId w:val="8"/>
              </w:numPr>
              <w:tabs>
                <w:tab w:val="clear" w:pos="1440"/>
              </w:tabs>
              <w:spacing w:after="0" w:line="480" w:lineRule="auto"/>
              <w:ind w:left="356" w:hanging="284"/>
              <w:rPr>
                <w:rFonts w:cs="Times New Roman"/>
                <w:sz w:val="20"/>
                <w:szCs w:val="20"/>
              </w:rPr>
            </w:pPr>
          </w:p>
        </w:tc>
      </w:tr>
    </w:tbl>
    <w:p w14:paraId="63B769DF" w14:textId="77777777" w:rsidR="00254E6C" w:rsidRPr="00CC21DF" w:rsidRDefault="00254E6C" w:rsidP="00254E6C">
      <w:pPr>
        <w:spacing w:after="0" w:line="276" w:lineRule="auto"/>
        <w:rPr>
          <w:rFonts w:cs="Times New Roman"/>
          <w:sz w:val="20"/>
          <w:szCs w:val="20"/>
        </w:rPr>
      </w:pPr>
      <w:r w:rsidRPr="00CC21DF">
        <w:rPr>
          <w:rFonts w:cs="Times New Roman"/>
          <w:sz w:val="20"/>
          <w:szCs w:val="20"/>
          <w:vertAlign w:val="superscript"/>
        </w:rPr>
        <w:t>1</w:t>
      </w:r>
      <w:r w:rsidRPr="00CC21DF">
        <w:rPr>
          <w:rFonts w:cs="Times New Roman"/>
          <w:sz w:val="20"/>
          <w:szCs w:val="20"/>
        </w:rPr>
        <w:t xml:space="preserve">A specific subdivision was made for whole grains to distinguish them from refined grains, given their well-documented health benefits in reducing the risk of NCDs such as type 2 diabetes, cancers and cardiovascular diseases (Tieri et al., 2020; FAO, 2018). </w:t>
      </w:r>
    </w:p>
    <w:p w14:paraId="0E658248" w14:textId="77777777" w:rsidR="00254E6C" w:rsidRPr="00CC21DF" w:rsidRDefault="00254E6C" w:rsidP="00254E6C">
      <w:pPr>
        <w:spacing w:after="0" w:line="276" w:lineRule="auto"/>
        <w:rPr>
          <w:rFonts w:cs="Times New Roman"/>
          <w:sz w:val="20"/>
          <w:szCs w:val="20"/>
        </w:rPr>
      </w:pPr>
      <w:r w:rsidRPr="00CC21DF">
        <w:rPr>
          <w:rFonts w:cs="Times New Roman"/>
          <w:sz w:val="20"/>
          <w:szCs w:val="20"/>
          <w:vertAlign w:val="superscript"/>
        </w:rPr>
        <w:t>2</w:t>
      </w:r>
      <w:r w:rsidRPr="00CC21DF">
        <w:rPr>
          <w:rFonts w:cs="Times New Roman"/>
          <w:sz w:val="20"/>
          <w:szCs w:val="20"/>
        </w:rPr>
        <w:t>Food groups 8 (vitamin A-rich fruits and vegetables) and 10 (other fruits) were combined into a single group, referred to as “fruits”.</w:t>
      </w:r>
    </w:p>
    <w:p w14:paraId="6743B7B4" w14:textId="77777777" w:rsidR="00254E6C" w:rsidRPr="00CC21DF" w:rsidRDefault="00254E6C" w:rsidP="00254E6C">
      <w:pPr>
        <w:spacing w:after="0" w:line="276" w:lineRule="auto"/>
        <w:rPr>
          <w:rFonts w:cs="Times New Roman"/>
          <w:sz w:val="20"/>
          <w:szCs w:val="20"/>
        </w:rPr>
      </w:pPr>
      <w:r w:rsidRPr="00CC21DF">
        <w:rPr>
          <w:rFonts w:cs="Times New Roman"/>
          <w:sz w:val="20"/>
          <w:szCs w:val="20"/>
          <w:vertAlign w:val="superscript"/>
          <w:lang w:val="en-GB"/>
        </w:rPr>
        <w:t>3</w:t>
      </w:r>
      <w:r w:rsidRPr="00CC21DF">
        <w:rPr>
          <w:rFonts w:cs="Times New Roman"/>
          <w:sz w:val="20"/>
          <w:szCs w:val="20"/>
        </w:rPr>
        <w:t>Food groups 7 (dark green leafy vegetables), 8 (vitamin A-rich fruits and vegetables), and 9 (other vegetables) were combined into a single group, referred to as “vegetables”.</w:t>
      </w:r>
    </w:p>
    <w:p w14:paraId="2BEB7365" w14:textId="77777777" w:rsidR="00254E6C" w:rsidRPr="00CC21DF" w:rsidRDefault="00254E6C" w:rsidP="00254E6C">
      <w:pPr>
        <w:spacing w:after="0" w:line="276" w:lineRule="auto"/>
        <w:rPr>
          <w:rFonts w:cs="Times New Roman"/>
          <w:sz w:val="20"/>
          <w:szCs w:val="20"/>
        </w:rPr>
      </w:pPr>
      <w:r w:rsidRPr="00CC21DF">
        <w:rPr>
          <w:rFonts w:cs="Times New Roman"/>
          <w:sz w:val="20"/>
          <w:szCs w:val="20"/>
          <w:vertAlign w:val="superscript"/>
        </w:rPr>
        <w:t>4</w:t>
      </w:r>
      <w:r w:rsidRPr="00CC21DF">
        <w:rPr>
          <w:rFonts w:cs="Times New Roman"/>
          <w:sz w:val="20"/>
          <w:szCs w:val="20"/>
        </w:rPr>
        <w:t>Fried and salty foods group was further subdivided into packaged salty snacks and instant noodles to better capture the range of commonly consumed items (Herforth et al., 2024).</w:t>
      </w:r>
    </w:p>
    <w:p w14:paraId="02B6BEF7" w14:textId="77777777" w:rsidR="00254E6C" w:rsidRPr="00CC21DF" w:rsidRDefault="00254E6C" w:rsidP="00254E6C">
      <w:pPr>
        <w:spacing w:after="0" w:line="276" w:lineRule="auto"/>
        <w:rPr>
          <w:rFonts w:cs="Times New Roman"/>
          <w:sz w:val="20"/>
          <w:szCs w:val="20"/>
        </w:rPr>
      </w:pPr>
      <w:r w:rsidRPr="00CC21DF">
        <w:rPr>
          <w:rFonts w:cs="Times New Roman"/>
          <w:sz w:val="20"/>
          <w:szCs w:val="20"/>
          <w:vertAlign w:val="superscript"/>
        </w:rPr>
        <w:t>5</w:t>
      </w:r>
      <w:r w:rsidRPr="00CC21DF">
        <w:rPr>
          <w:rFonts w:cs="Times New Roman"/>
          <w:sz w:val="20"/>
          <w:szCs w:val="20"/>
        </w:rPr>
        <w:t>Processed meat was specifically disaggregated from the unprocessed animal-sourced food group, due to their distinct differences in health and environmental impacts (Herforth et al., 2024)</w:t>
      </w:r>
    </w:p>
    <w:p w14:paraId="37C8B1F8" w14:textId="77777777" w:rsidR="00254E6C" w:rsidRPr="00186A51" w:rsidRDefault="00254E6C" w:rsidP="00254E6C">
      <w:pPr>
        <w:spacing w:after="0" w:line="276" w:lineRule="auto"/>
        <w:rPr>
          <w:rFonts w:cs="Times New Roman"/>
        </w:rPr>
      </w:pPr>
    </w:p>
    <w:p w14:paraId="29603F54" w14:textId="38B42649" w:rsidR="00254E6C" w:rsidRPr="005247A6" w:rsidRDefault="00254E6C" w:rsidP="005247A6">
      <w:pPr>
        <w:spacing w:after="0" w:line="276" w:lineRule="auto"/>
        <w:rPr>
          <w:rFonts w:cs="Times New Roman"/>
          <w:b/>
          <w:bCs/>
          <w:sz w:val="20"/>
          <w:szCs w:val="20"/>
        </w:rPr>
      </w:pPr>
      <w:r w:rsidRPr="005247A6">
        <w:rPr>
          <w:rFonts w:cs="Times New Roman"/>
          <w:b/>
          <w:bCs/>
          <w:sz w:val="20"/>
          <w:szCs w:val="20"/>
        </w:rPr>
        <w:t xml:space="preserve">Table </w:t>
      </w:r>
      <w:r w:rsidR="005247A6" w:rsidRPr="005247A6">
        <w:rPr>
          <w:rFonts w:cs="Times New Roman"/>
          <w:b/>
          <w:bCs/>
          <w:sz w:val="20"/>
          <w:szCs w:val="20"/>
        </w:rPr>
        <w:t>S</w:t>
      </w:r>
      <w:r w:rsidRPr="005247A6">
        <w:rPr>
          <w:rFonts w:cs="Times New Roman"/>
          <w:b/>
          <w:bCs/>
          <w:sz w:val="20"/>
          <w:szCs w:val="20"/>
        </w:rPr>
        <w:t>2: Rationale for the exclusion of food groups as indicators</w:t>
      </w:r>
    </w:p>
    <w:tbl>
      <w:tblPr>
        <w:tblW w:w="9062" w:type="dxa"/>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Caption w:val=""/>
        <w:tblDescription w:val=""/>
      </w:tblPr>
      <w:tblGrid>
        <w:gridCol w:w="1560"/>
        <w:gridCol w:w="7502"/>
      </w:tblGrid>
      <w:tr w:rsidR="00254E6C" w:rsidRPr="00186A51" w14:paraId="04A9E521" w14:textId="77777777" w:rsidTr="001C63AB">
        <w:tc>
          <w:tcPr>
            <w:tcW w:w="1560" w:type="dxa"/>
            <w:tcMar>
              <w:top w:w="80" w:type="dxa"/>
              <w:left w:w="80" w:type="dxa"/>
              <w:bottom w:w="80" w:type="dxa"/>
              <w:right w:w="80" w:type="dxa"/>
            </w:tcMar>
            <w:hideMark/>
          </w:tcPr>
          <w:p w14:paraId="6C6A47E3" w14:textId="77777777" w:rsidR="00254E6C" w:rsidRPr="001C63AB" w:rsidRDefault="00254E6C" w:rsidP="001C63AB">
            <w:pPr>
              <w:spacing w:after="0" w:line="360" w:lineRule="auto"/>
              <w:rPr>
                <w:rFonts w:cs="Times New Roman"/>
                <w:b/>
                <w:bCs/>
                <w:sz w:val="20"/>
                <w:szCs w:val="20"/>
                <w:lang w:val="en-GB"/>
              </w:rPr>
            </w:pPr>
            <w:r w:rsidRPr="001C63AB">
              <w:rPr>
                <w:rFonts w:cs="Times New Roman"/>
                <w:b/>
                <w:bCs/>
                <w:sz w:val="20"/>
                <w:szCs w:val="20"/>
                <w:lang w:val="en-GB"/>
              </w:rPr>
              <w:t xml:space="preserve">Food Group </w:t>
            </w:r>
          </w:p>
        </w:tc>
        <w:tc>
          <w:tcPr>
            <w:tcW w:w="7502" w:type="dxa"/>
            <w:tcMar>
              <w:top w:w="80" w:type="dxa"/>
              <w:left w:w="80" w:type="dxa"/>
              <w:bottom w:w="80" w:type="dxa"/>
              <w:right w:w="80" w:type="dxa"/>
            </w:tcMar>
            <w:hideMark/>
          </w:tcPr>
          <w:p w14:paraId="4454CF84" w14:textId="77777777" w:rsidR="00254E6C" w:rsidRPr="001C63AB" w:rsidRDefault="00254E6C" w:rsidP="001C63AB">
            <w:pPr>
              <w:spacing w:after="0" w:line="360" w:lineRule="auto"/>
              <w:rPr>
                <w:rFonts w:cs="Times New Roman"/>
                <w:b/>
                <w:bCs/>
                <w:sz w:val="20"/>
                <w:szCs w:val="20"/>
                <w:lang w:val="en-GB"/>
              </w:rPr>
            </w:pPr>
            <w:r w:rsidRPr="001C63AB">
              <w:rPr>
                <w:rFonts w:cs="Times New Roman"/>
                <w:b/>
                <w:bCs/>
                <w:sz w:val="20"/>
                <w:szCs w:val="20"/>
                <w:lang w:val="en-GB"/>
              </w:rPr>
              <w:t>Rationale for Exclusion</w:t>
            </w:r>
          </w:p>
        </w:tc>
      </w:tr>
      <w:tr w:rsidR="00254E6C" w:rsidRPr="00186A51" w14:paraId="77139004" w14:textId="77777777" w:rsidTr="001C63AB">
        <w:tc>
          <w:tcPr>
            <w:tcW w:w="1560" w:type="dxa"/>
            <w:tcMar>
              <w:top w:w="80" w:type="dxa"/>
              <w:left w:w="80" w:type="dxa"/>
              <w:bottom w:w="80" w:type="dxa"/>
              <w:right w:w="80" w:type="dxa"/>
            </w:tcMar>
            <w:hideMark/>
          </w:tcPr>
          <w:p w14:paraId="04C7E53B" w14:textId="77777777" w:rsidR="00254E6C" w:rsidRPr="001C63AB" w:rsidRDefault="00254E6C" w:rsidP="001C63AB">
            <w:pPr>
              <w:spacing w:after="0" w:line="360" w:lineRule="auto"/>
              <w:rPr>
                <w:rFonts w:cs="Times New Roman"/>
                <w:sz w:val="20"/>
                <w:szCs w:val="20"/>
                <w:lang w:val="en-GB"/>
              </w:rPr>
            </w:pPr>
            <w:r w:rsidRPr="001C63AB">
              <w:rPr>
                <w:rFonts w:cs="Times New Roman"/>
                <w:sz w:val="20"/>
                <w:szCs w:val="20"/>
                <w:lang w:val="en-GB"/>
              </w:rPr>
              <w:t xml:space="preserve">Dairy </w:t>
            </w:r>
          </w:p>
        </w:tc>
        <w:tc>
          <w:tcPr>
            <w:tcW w:w="7502" w:type="dxa"/>
            <w:tcMar>
              <w:top w:w="80" w:type="dxa"/>
              <w:left w:w="80" w:type="dxa"/>
              <w:bottom w:w="80" w:type="dxa"/>
              <w:right w:w="80" w:type="dxa"/>
            </w:tcMar>
            <w:hideMark/>
          </w:tcPr>
          <w:p w14:paraId="03B1AB6E" w14:textId="77777777" w:rsidR="00254E6C" w:rsidRPr="001C63AB" w:rsidRDefault="00254E6C" w:rsidP="001C63AB">
            <w:pPr>
              <w:numPr>
                <w:ilvl w:val="1"/>
                <w:numId w:val="9"/>
              </w:numPr>
              <w:tabs>
                <w:tab w:val="clear" w:pos="1440"/>
              </w:tabs>
              <w:spacing w:after="0" w:line="360" w:lineRule="auto"/>
              <w:ind w:left="331" w:hanging="284"/>
              <w:rPr>
                <w:rFonts w:cs="Times New Roman"/>
                <w:sz w:val="20"/>
                <w:szCs w:val="20"/>
              </w:rPr>
            </w:pPr>
            <w:r w:rsidRPr="001C63AB">
              <w:rPr>
                <w:rFonts w:cs="Times New Roman"/>
                <w:sz w:val="20"/>
                <w:szCs w:val="20"/>
              </w:rPr>
              <w:t xml:space="preserve">WHO has not provided a recommendation on the dairy intake, suggesting the lack of clear evidence and global consensus (Herforth et al., 2016; WHO, 2018). </w:t>
            </w:r>
          </w:p>
          <w:p w14:paraId="520A47C4" w14:textId="77777777" w:rsidR="00254E6C" w:rsidRPr="001C63AB" w:rsidRDefault="00254E6C" w:rsidP="001C63AB">
            <w:pPr>
              <w:numPr>
                <w:ilvl w:val="1"/>
                <w:numId w:val="9"/>
              </w:numPr>
              <w:tabs>
                <w:tab w:val="clear" w:pos="1440"/>
              </w:tabs>
              <w:spacing w:after="0" w:line="360" w:lineRule="auto"/>
              <w:ind w:left="331" w:hanging="284"/>
              <w:rPr>
                <w:rFonts w:cs="Times New Roman"/>
                <w:sz w:val="20"/>
                <w:szCs w:val="20"/>
              </w:rPr>
            </w:pPr>
            <w:r w:rsidRPr="001C63AB">
              <w:rPr>
                <w:rFonts w:cs="Times New Roman"/>
                <w:sz w:val="20"/>
                <w:szCs w:val="20"/>
              </w:rPr>
              <w:t xml:space="preserve">Although the Global Burden OF Disease (GBD) study identifies low milk intake as one of the dietary risk factors, it ranks as the least important among the 14 dietary risk factors (Herforth et al., 2016; GBD 2017 Diet Collaborators, 2019). </w:t>
            </w:r>
          </w:p>
          <w:p w14:paraId="6F701BDE" w14:textId="77777777" w:rsidR="00254E6C" w:rsidRPr="001C63AB" w:rsidRDefault="00254E6C" w:rsidP="001C63AB">
            <w:pPr>
              <w:numPr>
                <w:ilvl w:val="1"/>
                <w:numId w:val="9"/>
              </w:numPr>
              <w:tabs>
                <w:tab w:val="clear" w:pos="1440"/>
              </w:tabs>
              <w:spacing w:after="0" w:line="360" w:lineRule="auto"/>
              <w:ind w:left="331" w:hanging="284"/>
              <w:rPr>
                <w:rFonts w:cs="Times New Roman"/>
                <w:sz w:val="20"/>
                <w:szCs w:val="20"/>
              </w:rPr>
            </w:pPr>
            <w:r w:rsidRPr="001C63AB">
              <w:rPr>
                <w:rFonts w:cs="Times New Roman"/>
                <w:sz w:val="20"/>
                <w:szCs w:val="20"/>
              </w:rPr>
              <w:t>A notable number of countries do not include dairy as a separate group, often grouping it under general protein sources instead. This raises the question of whether national authorities view dairy as a daily requirement for all adults, including in regions where lactose intolerance is prevalent (Herforth et al., 2019).</w:t>
            </w:r>
          </w:p>
          <w:p w14:paraId="3AEA028B" w14:textId="77777777" w:rsidR="00254E6C" w:rsidRPr="001C63AB" w:rsidRDefault="00254E6C" w:rsidP="001C63AB">
            <w:pPr>
              <w:numPr>
                <w:ilvl w:val="1"/>
                <w:numId w:val="9"/>
              </w:numPr>
              <w:tabs>
                <w:tab w:val="clear" w:pos="1440"/>
              </w:tabs>
              <w:spacing w:after="0" w:line="360" w:lineRule="auto"/>
              <w:ind w:left="331" w:hanging="284"/>
              <w:rPr>
                <w:rFonts w:cs="Times New Roman"/>
                <w:sz w:val="20"/>
                <w:szCs w:val="20"/>
              </w:rPr>
            </w:pPr>
            <w:r w:rsidRPr="001C63AB">
              <w:rPr>
                <w:rFonts w:cs="Times New Roman"/>
                <w:sz w:val="20"/>
                <w:szCs w:val="20"/>
              </w:rPr>
              <w:t xml:space="preserve">To avoid the risk of misclassifying less healthy products that are </w:t>
            </w:r>
            <w:proofErr w:type="gramStart"/>
            <w:r w:rsidRPr="001C63AB">
              <w:rPr>
                <w:rFonts w:cs="Times New Roman"/>
                <w:sz w:val="20"/>
                <w:szCs w:val="20"/>
              </w:rPr>
              <w:t>similar to</w:t>
            </w:r>
            <w:proofErr w:type="gramEnd"/>
            <w:r w:rsidRPr="001C63AB">
              <w:rPr>
                <w:rFonts w:cs="Times New Roman"/>
                <w:sz w:val="20"/>
                <w:szCs w:val="20"/>
              </w:rPr>
              <w:t xml:space="preserve"> dairy but contain low or no dairy content (FAO, 2019). </w:t>
            </w:r>
          </w:p>
          <w:p w14:paraId="3E7061BE" w14:textId="77777777" w:rsidR="00254E6C" w:rsidRPr="001C63AB" w:rsidRDefault="00254E6C" w:rsidP="001C63AB">
            <w:pPr>
              <w:numPr>
                <w:ilvl w:val="0"/>
                <w:numId w:val="9"/>
              </w:numPr>
              <w:spacing w:after="0" w:line="360" w:lineRule="auto"/>
              <w:rPr>
                <w:rFonts w:cs="Times New Roman"/>
                <w:sz w:val="20"/>
                <w:szCs w:val="20"/>
              </w:rPr>
            </w:pPr>
            <w:r w:rsidRPr="001C63AB">
              <w:rPr>
                <w:rFonts w:cs="Times New Roman"/>
                <w:sz w:val="20"/>
                <w:szCs w:val="20"/>
              </w:rPr>
              <w:t xml:space="preserve">For instance, ice cream and sweetened condensed milk are often perceived as dairy products, but should </w:t>
            </w:r>
            <w:proofErr w:type="gramStart"/>
            <w:r w:rsidRPr="001C63AB">
              <w:rPr>
                <w:rFonts w:cs="Times New Roman"/>
                <w:sz w:val="20"/>
                <w:szCs w:val="20"/>
              </w:rPr>
              <w:t>actually be</w:t>
            </w:r>
            <w:proofErr w:type="gramEnd"/>
            <w:r w:rsidRPr="001C63AB">
              <w:rPr>
                <w:rFonts w:cs="Times New Roman"/>
                <w:sz w:val="20"/>
                <w:szCs w:val="20"/>
              </w:rPr>
              <w:t xml:space="preserve"> classified under the “Sweets” group (FAO, 2019)</w:t>
            </w:r>
          </w:p>
          <w:p w14:paraId="7862884B" w14:textId="77777777" w:rsidR="00254E6C" w:rsidRPr="001C63AB" w:rsidRDefault="00254E6C" w:rsidP="001C63AB">
            <w:pPr>
              <w:numPr>
                <w:ilvl w:val="0"/>
                <w:numId w:val="9"/>
              </w:numPr>
              <w:spacing w:after="0" w:line="360" w:lineRule="auto"/>
              <w:rPr>
                <w:rFonts w:cs="Times New Roman"/>
                <w:sz w:val="20"/>
                <w:szCs w:val="20"/>
              </w:rPr>
            </w:pPr>
            <w:r w:rsidRPr="001C63AB">
              <w:rPr>
                <w:rFonts w:cs="Times New Roman"/>
                <w:sz w:val="20"/>
                <w:szCs w:val="20"/>
              </w:rPr>
              <w:t>A large share of dairy products available in the market is sweetened with added sugars. Flavoured milk and yoghurts are highly prevalent in the food supply chain and consist of significantly higher levels of total and added sugars than their unflavoured counterparts (Coyle et al., 2019). This suggests that many of these dairy products fall into unhealthy food groups, such as sweet foods or sugar-sweetened beverages, rather than being classified as nutrient-dense dairy products.</w:t>
            </w:r>
          </w:p>
        </w:tc>
      </w:tr>
      <w:tr w:rsidR="00254E6C" w:rsidRPr="00186A51" w14:paraId="29C30EBA" w14:textId="77777777" w:rsidTr="001C63AB">
        <w:tc>
          <w:tcPr>
            <w:tcW w:w="1560" w:type="dxa"/>
            <w:tcMar>
              <w:top w:w="80" w:type="dxa"/>
              <w:left w:w="80" w:type="dxa"/>
              <w:bottom w:w="80" w:type="dxa"/>
              <w:right w:w="80" w:type="dxa"/>
            </w:tcMar>
            <w:hideMark/>
          </w:tcPr>
          <w:p w14:paraId="4488E383" w14:textId="77777777" w:rsidR="00254E6C" w:rsidRPr="001C63AB" w:rsidRDefault="00254E6C" w:rsidP="001C63AB">
            <w:pPr>
              <w:spacing w:after="0" w:line="360" w:lineRule="auto"/>
              <w:rPr>
                <w:rFonts w:cs="Times New Roman"/>
                <w:sz w:val="20"/>
                <w:szCs w:val="20"/>
                <w:lang w:val="en-GB"/>
              </w:rPr>
            </w:pPr>
            <w:r w:rsidRPr="001C63AB">
              <w:rPr>
                <w:rFonts w:cs="Times New Roman"/>
                <w:sz w:val="20"/>
                <w:szCs w:val="20"/>
                <w:lang w:val="en-GB"/>
              </w:rPr>
              <w:lastRenderedPageBreak/>
              <w:t>Nuts and seeds</w:t>
            </w:r>
          </w:p>
        </w:tc>
        <w:tc>
          <w:tcPr>
            <w:tcW w:w="7502" w:type="dxa"/>
            <w:tcMar>
              <w:top w:w="80" w:type="dxa"/>
              <w:left w:w="80" w:type="dxa"/>
              <w:bottom w:w="80" w:type="dxa"/>
              <w:right w:w="80" w:type="dxa"/>
            </w:tcMar>
            <w:hideMark/>
          </w:tcPr>
          <w:p w14:paraId="528CEE62" w14:textId="77777777" w:rsidR="00254E6C" w:rsidRPr="001C63AB" w:rsidRDefault="00254E6C" w:rsidP="001C63AB">
            <w:pPr>
              <w:numPr>
                <w:ilvl w:val="1"/>
                <w:numId w:val="10"/>
              </w:numPr>
              <w:tabs>
                <w:tab w:val="clear" w:pos="1440"/>
              </w:tabs>
              <w:spacing w:after="0" w:line="360" w:lineRule="auto"/>
              <w:ind w:left="331" w:hanging="284"/>
              <w:rPr>
                <w:rFonts w:cs="Times New Roman"/>
                <w:sz w:val="20"/>
                <w:szCs w:val="20"/>
              </w:rPr>
            </w:pPr>
            <w:r w:rsidRPr="001C63AB">
              <w:rPr>
                <w:rFonts w:cs="Times New Roman"/>
                <w:sz w:val="20"/>
                <w:szCs w:val="20"/>
              </w:rPr>
              <w:t>The consumption of nuts and seeds was not promoted in many countries despite the WHO recommendations (Camara et al., 2021)</w:t>
            </w:r>
          </w:p>
          <w:p w14:paraId="03A1FE9F" w14:textId="77777777" w:rsidR="00254E6C" w:rsidRPr="001C63AB" w:rsidRDefault="00254E6C" w:rsidP="001C63AB">
            <w:pPr>
              <w:numPr>
                <w:ilvl w:val="1"/>
                <w:numId w:val="10"/>
              </w:numPr>
              <w:tabs>
                <w:tab w:val="clear" w:pos="1440"/>
              </w:tabs>
              <w:spacing w:after="0" w:line="360" w:lineRule="auto"/>
              <w:ind w:left="331" w:hanging="284"/>
              <w:rPr>
                <w:rFonts w:cs="Times New Roman"/>
                <w:sz w:val="20"/>
                <w:szCs w:val="20"/>
              </w:rPr>
            </w:pPr>
            <w:r w:rsidRPr="001C63AB">
              <w:rPr>
                <w:rFonts w:cs="Times New Roman"/>
                <w:sz w:val="20"/>
                <w:szCs w:val="20"/>
              </w:rPr>
              <w:t xml:space="preserve">Globally, guidance on nuts is inconsistent. Some countries discourage their intake by grouping them with fats and oils, while others encourage their consumption (Herforth et al., 2016) </w:t>
            </w:r>
          </w:p>
          <w:p w14:paraId="78B1C524" w14:textId="77777777" w:rsidR="00254E6C" w:rsidRPr="001C63AB" w:rsidRDefault="00254E6C" w:rsidP="001C63AB">
            <w:pPr>
              <w:numPr>
                <w:ilvl w:val="0"/>
                <w:numId w:val="10"/>
              </w:numPr>
              <w:spacing w:after="0" w:line="360" w:lineRule="auto"/>
              <w:rPr>
                <w:rFonts w:cs="Times New Roman"/>
                <w:sz w:val="20"/>
                <w:szCs w:val="20"/>
              </w:rPr>
            </w:pPr>
            <w:r w:rsidRPr="001C63AB">
              <w:rPr>
                <w:rFonts w:cs="Times New Roman"/>
                <w:sz w:val="20"/>
                <w:szCs w:val="20"/>
              </w:rPr>
              <w:t>23% of countries grouped them with fats/oils, whereas 36% of countries grouped them as a protein food group (Herforth et al., 2019)</w:t>
            </w:r>
          </w:p>
          <w:p w14:paraId="56E4FCCC" w14:textId="77777777" w:rsidR="00254E6C" w:rsidRPr="001C63AB" w:rsidRDefault="00254E6C" w:rsidP="001C63AB">
            <w:pPr>
              <w:numPr>
                <w:ilvl w:val="2"/>
                <w:numId w:val="10"/>
              </w:numPr>
              <w:spacing w:after="0" w:line="360" w:lineRule="auto"/>
              <w:ind w:left="331" w:hanging="284"/>
              <w:rPr>
                <w:rFonts w:cs="Times New Roman"/>
                <w:sz w:val="20"/>
                <w:szCs w:val="20"/>
              </w:rPr>
            </w:pPr>
            <w:r w:rsidRPr="001C63AB">
              <w:rPr>
                <w:rFonts w:cs="Times New Roman"/>
                <w:sz w:val="20"/>
                <w:szCs w:val="20"/>
              </w:rPr>
              <w:t>Countries are much more likely to include key messages about legumes (56%) than about nuts and seeds (19%) in FBDG (Herforth et al., 2019)</w:t>
            </w:r>
          </w:p>
        </w:tc>
      </w:tr>
      <w:tr w:rsidR="00254E6C" w:rsidRPr="00186A51" w14:paraId="4735DDEE" w14:textId="77777777" w:rsidTr="001C63AB">
        <w:tc>
          <w:tcPr>
            <w:tcW w:w="1560" w:type="dxa"/>
            <w:tcMar>
              <w:top w:w="80" w:type="dxa"/>
              <w:left w:w="80" w:type="dxa"/>
              <w:bottom w:w="80" w:type="dxa"/>
              <w:right w:w="80" w:type="dxa"/>
            </w:tcMar>
            <w:hideMark/>
          </w:tcPr>
          <w:p w14:paraId="3B18CFA2" w14:textId="77777777" w:rsidR="00254E6C" w:rsidRPr="001C63AB" w:rsidRDefault="00254E6C" w:rsidP="001C63AB">
            <w:pPr>
              <w:spacing w:after="0" w:line="360" w:lineRule="auto"/>
              <w:rPr>
                <w:rFonts w:cs="Times New Roman"/>
                <w:sz w:val="20"/>
                <w:szCs w:val="20"/>
                <w:lang w:val="en-GB"/>
              </w:rPr>
            </w:pPr>
            <w:r w:rsidRPr="001C63AB">
              <w:rPr>
                <w:rFonts w:cs="Times New Roman"/>
                <w:sz w:val="20"/>
                <w:szCs w:val="20"/>
                <w:lang w:val="en-GB"/>
              </w:rPr>
              <w:t xml:space="preserve">Eggs </w:t>
            </w:r>
          </w:p>
        </w:tc>
        <w:tc>
          <w:tcPr>
            <w:tcW w:w="7502" w:type="dxa"/>
            <w:tcMar>
              <w:top w:w="80" w:type="dxa"/>
              <w:left w:w="80" w:type="dxa"/>
              <w:bottom w:w="80" w:type="dxa"/>
              <w:right w:w="80" w:type="dxa"/>
            </w:tcMar>
            <w:hideMark/>
          </w:tcPr>
          <w:p w14:paraId="41E2606E" w14:textId="77777777" w:rsidR="00254E6C" w:rsidRPr="001C63AB" w:rsidRDefault="00254E6C" w:rsidP="001C63AB">
            <w:pPr>
              <w:numPr>
                <w:ilvl w:val="1"/>
                <w:numId w:val="11"/>
              </w:numPr>
              <w:tabs>
                <w:tab w:val="clear" w:pos="1440"/>
              </w:tabs>
              <w:spacing w:after="0" w:line="360" w:lineRule="auto"/>
              <w:ind w:left="346" w:hanging="284"/>
              <w:rPr>
                <w:rFonts w:cs="Times New Roman"/>
                <w:sz w:val="20"/>
                <w:szCs w:val="20"/>
              </w:rPr>
            </w:pPr>
            <w:r w:rsidRPr="001C63AB">
              <w:rPr>
                <w:rFonts w:cs="Times New Roman"/>
                <w:sz w:val="20"/>
                <w:szCs w:val="20"/>
              </w:rPr>
              <w:t>The health impacts of egg consumption remain controversial due to its high cholesterol content and potential association with increased cardiovascular disease risk (Zhang, 2020).</w:t>
            </w:r>
          </w:p>
          <w:p w14:paraId="249A28FD" w14:textId="77777777" w:rsidR="00254E6C" w:rsidRPr="001C63AB" w:rsidRDefault="00254E6C" w:rsidP="001C63AB">
            <w:pPr>
              <w:numPr>
                <w:ilvl w:val="1"/>
                <w:numId w:val="11"/>
              </w:numPr>
              <w:tabs>
                <w:tab w:val="clear" w:pos="1440"/>
              </w:tabs>
              <w:spacing w:after="0" w:line="360" w:lineRule="auto"/>
              <w:ind w:left="346" w:hanging="284"/>
              <w:rPr>
                <w:rFonts w:cs="Times New Roman"/>
                <w:sz w:val="20"/>
                <w:szCs w:val="20"/>
              </w:rPr>
            </w:pPr>
            <w:r w:rsidRPr="001C63AB">
              <w:rPr>
                <w:rFonts w:cs="Times New Roman"/>
                <w:sz w:val="20"/>
                <w:szCs w:val="20"/>
              </w:rPr>
              <w:t>WHO has not provided dietary recommendations on egg intake, indicating insufficient evidence and a lack of global consensus</w:t>
            </w:r>
          </w:p>
          <w:p w14:paraId="49234142" w14:textId="77777777" w:rsidR="00254E6C" w:rsidRPr="001C63AB" w:rsidRDefault="00254E6C" w:rsidP="001C63AB">
            <w:pPr>
              <w:numPr>
                <w:ilvl w:val="0"/>
                <w:numId w:val="11"/>
              </w:numPr>
              <w:tabs>
                <w:tab w:val="clear" w:pos="720"/>
              </w:tabs>
              <w:spacing w:after="0" w:line="360" w:lineRule="auto"/>
              <w:ind w:left="346" w:hanging="284"/>
              <w:textAlignment w:val="center"/>
              <w:rPr>
                <w:rFonts w:eastAsia="Times New Roman" w:cs="Times New Roman"/>
                <w:kern w:val="0"/>
                <w:sz w:val="20"/>
                <w:szCs w:val="20"/>
                <w:lang w:eastAsia="en-MY"/>
                <w14:ligatures w14:val="none"/>
              </w:rPr>
            </w:pPr>
            <w:r w:rsidRPr="001C63AB">
              <w:rPr>
                <w:rFonts w:eastAsia="Times New Roman" w:cs="Times New Roman"/>
                <w:kern w:val="0"/>
                <w:sz w:val="20"/>
                <w:szCs w:val="20"/>
                <w:lang w:eastAsia="en-MY"/>
                <w14:ligatures w14:val="none"/>
              </w:rPr>
              <w:t xml:space="preserve">Recent research suggests that moderate consumption of </w:t>
            </w:r>
            <w:proofErr w:type="gramStart"/>
            <w:r w:rsidRPr="001C63AB">
              <w:rPr>
                <w:rFonts w:eastAsia="Times New Roman" w:cs="Times New Roman"/>
                <w:kern w:val="0"/>
                <w:sz w:val="20"/>
                <w:szCs w:val="20"/>
                <w:lang w:eastAsia="en-MY"/>
                <w14:ligatures w14:val="none"/>
              </w:rPr>
              <w:t>eggs  -</w:t>
            </w:r>
            <w:proofErr w:type="gramEnd"/>
            <w:r w:rsidRPr="001C63AB">
              <w:rPr>
                <w:rFonts w:eastAsia="Times New Roman" w:cs="Times New Roman"/>
                <w:kern w:val="0"/>
                <w:sz w:val="20"/>
                <w:szCs w:val="20"/>
                <w:lang w:eastAsia="en-MY"/>
                <w14:ligatures w14:val="none"/>
              </w:rPr>
              <w:t xml:space="preserve"> up to one per day- does not increase the risk of heart disease. However, the health impacts of high consumption remain inconclusive (</w:t>
            </w:r>
            <w:r w:rsidRPr="001C63AB">
              <w:rPr>
                <w:rFonts w:cs="Times New Roman"/>
                <w:sz w:val="20"/>
                <w:szCs w:val="20"/>
              </w:rPr>
              <w:t>Zhang, 2020</w:t>
            </w:r>
            <w:r w:rsidRPr="001C63AB">
              <w:rPr>
                <w:rFonts w:eastAsia="Times New Roman" w:cs="Times New Roman"/>
                <w:kern w:val="0"/>
                <w:sz w:val="20"/>
                <w:szCs w:val="20"/>
                <w:lang w:eastAsia="en-MY"/>
                <w14:ligatures w14:val="none"/>
              </w:rPr>
              <w:t>)</w:t>
            </w:r>
          </w:p>
          <w:p w14:paraId="688B6886" w14:textId="77777777" w:rsidR="00254E6C" w:rsidRPr="001C63AB" w:rsidRDefault="00254E6C" w:rsidP="001C63AB">
            <w:pPr>
              <w:numPr>
                <w:ilvl w:val="0"/>
                <w:numId w:val="11"/>
              </w:numPr>
              <w:tabs>
                <w:tab w:val="clear" w:pos="720"/>
              </w:tabs>
              <w:spacing w:after="0" w:line="360" w:lineRule="auto"/>
              <w:ind w:left="346" w:hanging="284"/>
              <w:textAlignment w:val="center"/>
              <w:rPr>
                <w:rFonts w:eastAsia="Times New Roman" w:cs="Times New Roman"/>
                <w:kern w:val="0"/>
                <w:sz w:val="20"/>
                <w:szCs w:val="20"/>
                <w:lang w:eastAsia="en-MY"/>
                <w14:ligatures w14:val="none"/>
              </w:rPr>
            </w:pPr>
            <w:r w:rsidRPr="001C63AB">
              <w:rPr>
                <w:rFonts w:eastAsia="Times New Roman" w:cs="Times New Roman"/>
                <w:kern w:val="0"/>
                <w:sz w:val="20"/>
                <w:szCs w:val="20"/>
                <w:lang w:eastAsia="en-MY"/>
                <w14:ligatures w14:val="none"/>
              </w:rPr>
              <w:t>Eggs are substitutable with other nutrient-dense foods (</w:t>
            </w:r>
            <w:r w:rsidRPr="001C63AB">
              <w:rPr>
                <w:rFonts w:cs="Times New Roman"/>
                <w:sz w:val="20"/>
                <w:szCs w:val="20"/>
              </w:rPr>
              <w:t>Herforth et al., 2016)</w:t>
            </w:r>
          </w:p>
        </w:tc>
      </w:tr>
      <w:tr w:rsidR="00254E6C" w:rsidRPr="00186A51" w14:paraId="3FE97CD0" w14:textId="77777777" w:rsidTr="001C63AB">
        <w:tc>
          <w:tcPr>
            <w:tcW w:w="1560" w:type="dxa"/>
            <w:tcMar>
              <w:top w:w="80" w:type="dxa"/>
              <w:left w:w="80" w:type="dxa"/>
              <w:bottom w:w="80" w:type="dxa"/>
              <w:right w:w="80" w:type="dxa"/>
            </w:tcMar>
          </w:tcPr>
          <w:p w14:paraId="788FD9F6" w14:textId="77777777" w:rsidR="00254E6C" w:rsidRPr="001C63AB" w:rsidRDefault="00254E6C" w:rsidP="001C63AB">
            <w:pPr>
              <w:spacing w:after="0" w:line="360" w:lineRule="auto"/>
              <w:rPr>
                <w:rFonts w:cs="Times New Roman"/>
                <w:sz w:val="20"/>
                <w:szCs w:val="20"/>
                <w:lang w:val="en-GB"/>
              </w:rPr>
            </w:pPr>
            <w:r w:rsidRPr="001C63AB">
              <w:rPr>
                <w:rFonts w:cs="Times New Roman"/>
                <w:sz w:val="20"/>
                <w:szCs w:val="20"/>
                <w:lang w:val="en-GB"/>
              </w:rPr>
              <w:t xml:space="preserve">Animal-source foods (meat, poultry and fish) </w:t>
            </w:r>
          </w:p>
        </w:tc>
        <w:tc>
          <w:tcPr>
            <w:tcW w:w="7502" w:type="dxa"/>
            <w:tcMar>
              <w:top w:w="80" w:type="dxa"/>
              <w:left w:w="80" w:type="dxa"/>
              <w:bottom w:w="80" w:type="dxa"/>
              <w:right w:w="80" w:type="dxa"/>
            </w:tcMar>
          </w:tcPr>
          <w:p w14:paraId="41A99ECA" w14:textId="77777777" w:rsidR="00254E6C" w:rsidRPr="001C63AB" w:rsidRDefault="00254E6C" w:rsidP="001C63AB">
            <w:pPr>
              <w:numPr>
                <w:ilvl w:val="0"/>
                <w:numId w:val="11"/>
              </w:numPr>
              <w:tabs>
                <w:tab w:val="clear" w:pos="720"/>
              </w:tabs>
              <w:spacing w:after="0" w:line="360" w:lineRule="auto"/>
              <w:ind w:left="346" w:hanging="283"/>
              <w:rPr>
                <w:rFonts w:cs="Times New Roman"/>
                <w:sz w:val="20"/>
                <w:szCs w:val="20"/>
              </w:rPr>
            </w:pPr>
            <w:r w:rsidRPr="001C63AB">
              <w:rPr>
                <w:rFonts w:cs="Times New Roman"/>
                <w:sz w:val="20"/>
                <w:szCs w:val="20"/>
                <w:lang w:val="en-GB"/>
              </w:rPr>
              <w:t>T</w:t>
            </w:r>
            <w:r w:rsidRPr="001C63AB">
              <w:rPr>
                <w:rFonts w:cs="Times New Roman"/>
                <w:sz w:val="20"/>
                <w:szCs w:val="20"/>
              </w:rPr>
              <w:t>he health and environmental impacts remain equivocal (Herforth et al., 2016)</w:t>
            </w:r>
          </w:p>
          <w:p w14:paraId="233D7EEE" w14:textId="77777777" w:rsidR="00254E6C" w:rsidRPr="001C63AB" w:rsidRDefault="00254E6C" w:rsidP="001C63AB">
            <w:pPr>
              <w:numPr>
                <w:ilvl w:val="0"/>
                <w:numId w:val="11"/>
              </w:numPr>
              <w:tabs>
                <w:tab w:val="clear" w:pos="720"/>
              </w:tabs>
              <w:spacing w:after="0" w:line="360" w:lineRule="auto"/>
              <w:ind w:left="346" w:hanging="283"/>
              <w:rPr>
                <w:rFonts w:cs="Times New Roman"/>
                <w:sz w:val="20"/>
                <w:szCs w:val="20"/>
              </w:rPr>
            </w:pPr>
            <w:r w:rsidRPr="001C63AB">
              <w:rPr>
                <w:rFonts w:cs="Times New Roman"/>
                <w:sz w:val="20"/>
                <w:szCs w:val="20"/>
              </w:rPr>
              <w:t>The nutritional and environmental impacts of animal source foods vary by type and intake quantity, and national dietary guidelines are typically shaped by the usual consumption levels within their population (Herforth et al., 2019)</w:t>
            </w:r>
          </w:p>
          <w:p w14:paraId="093B383F" w14:textId="77777777" w:rsidR="00254E6C" w:rsidRPr="001C63AB" w:rsidRDefault="00254E6C" w:rsidP="001C63AB">
            <w:pPr>
              <w:numPr>
                <w:ilvl w:val="0"/>
                <w:numId w:val="11"/>
              </w:numPr>
              <w:tabs>
                <w:tab w:val="clear" w:pos="720"/>
              </w:tabs>
              <w:spacing w:after="0" w:line="360" w:lineRule="auto"/>
              <w:ind w:left="346" w:hanging="283"/>
              <w:rPr>
                <w:rFonts w:cs="Times New Roman"/>
                <w:sz w:val="20"/>
                <w:szCs w:val="20"/>
              </w:rPr>
            </w:pPr>
            <w:r w:rsidRPr="001C63AB">
              <w:rPr>
                <w:rFonts w:cs="Times New Roman"/>
                <w:sz w:val="20"/>
                <w:szCs w:val="20"/>
              </w:rPr>
              <w:t xml:space="preserve">Equity and economic consideration are also important, as animal-source foods may be financially inaccessible to low-income households, whereas plant-based proteins often offer more affordable substitutes (Herforth et al., 2019). </w:t>
            </w:r>
          </w:p>
        </w:tc>
      </w:tr>
    </w:tbl>
    <w:p w14:paraId="0306124D" w14:textId="77777777" w:rsidR="000F0CD0" w:rsidRDefault="000F0CD0"/>
    <w:sectPr w:rsidR="000F0C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1747A"/>
    <w:multiLevelType w:val="multilevel"/>
    <w:tmpl w:val="A0926D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83316A"/>
    <w:multiLevelType w:val="multilevel"/>
    <w:tmpl w:val="BE5C4E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B21B7A"/>
    <w:multiLevelType w:val="multilevel"/>
    <w:tmpl w:val="B9C8A2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0B77AE"/>
    <w:multiLevelType w:val="multilevel"/>
    <w:tmpl w:val="4B8EF3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F52B4A"/>
    <w:multiLevelType w:val="multilevel"/>
    <w:tmpl w:val="CFFA5B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E56388"/>
    <w:multiLevelType w:val="multilevel"/>
    <w:tmpl w:val="61FC77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EE098D"/>
    <w:multiLevelType w:val="multilevel"/>
    <w:tmpl w:val="AAC60B46"/>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004EBC"/>
    <w:multiLevelType w:val="hybridMultilevel"/>
    <w:tmpl w:val="1A56DFC0"/>
    <w:lvl w:ilvl="0" w:tplc="C2B67C40">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3EA86293"/>
    <w:multiLevelType w:val="multilevel"/>
    <w:tmpl w:val="BA6EB2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6A29C4"/>
    <w:multiLevelType w:val="multilevel"/>
    <w:tmpl w:val="FFFAAB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E10074"/>
    <w:multiLevelType w:val="multilevel"/>
    <w:tmpl w:val="32D6AA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964009"/>
    <w:multiLevelType w:val="multilevel"/>
    <w:tmpl w:val="0BDC4206"/>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F96893"/>
    <w:multiLevelType w:val="multilevel"/>
    <w:tmpl w:val="244492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8572214">
    <w:abstractNumId w:val="2"/>
  </w:num>
  <w:num w:numId="2" w16cid:durableId="1806967720">
    <w:abstractNumId w:val="12"/>
  </w:num>
  <w:num w:numId="3" w16cid:durableId="1800948397">
    <w:abstractNumId w:val="1"/>
  </w:num>
  <w:num w:numId="4" w16cid:durableId="86968854">
    <w:abstractNumId w:val="0"/>
  </w:num>
  <w:num w:numId="5" w16cid:durableId="1148135989">
    <w:abstractNumId w:val="4"/>
  </w:num>
  <w:num w:numId="6" w16cid:durableId="2109034493">
    <w:abstractNumId w:val="3"/>
  </w:num>
  <w:num w:numId="7" w16cid:durableId="204954796">
    <w:abstractNumId w:val="10"/>
  </w:num>
  <w:num w:numId="8" w16cid:durableId="1947226309">
    <w:abstractNumId w:val="9"/>
  </w:num>
  <w:num w:numId="9" w16cid:durableId="2077120438">
    <w:abstractNumId w:val="11"/>
  </w:num>
  <w:num w:numId="10" w16cid:durableId="1356998950">
    <w:abstractNumId w:val="6"/>
  </w:num>
  <w:num w:numId="11" w16cid:durableId="1093474476">
    <w:abstractNumId w:val="8"/>
  </w:num>
  <w:num w:numId="12" w16cid:durableId="962423480">
    <w:abstractNumId w:val="5"/>
  </w:num>
  <w:num w:numId="13" w16cid:durableId="18919158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5E7"/>
    <w:rsid w:val="000164A5"/>
    <w:rsid w:val="000F0CD0"/>
    <w:rsid w:val="001C63AB"/>
    <w:rsid w:val="002469EF"/>
    <w:rsid w:val="00254E6C"/>
    <w:rsid w:val="002F4318"/>
    <w:rsid w:val="003D4700"/>
    <w:rsid w:val="003F757F"/>
    <w:rsid w:val="0043046F"/>
    <w:rsid w:val="004E171F"/>
    <w:rsid w:val="005247A6"/>
    <w:rsid w:val="007910C7"/>
    <w:rsid w:val="007A322A"/>
    <w:rsid w:val="007D0E16"/>
    <w:rsid w:val="0080102E"/>
    <w:rsid w:val="008463DA"/>
    <w:rsid w:val="009200BE"/>
    <w:rsid w:val="009C42D0"/>
    <w:rsid w:val="00A90556"/>
    <w:rsid w:val="00B944C5"/>
    <w:rsid w:val="00BF7C0D"/>
    <w:rsid w:val="00C6147A"/>
    <w:rsid w:val="00CC21DF"/>
    <w:rsid w:val="00DB7267"/>
    <w:rsid w:val="00E573A0"/>
    <w:rsid w:val="00E6374F"/>
    <w:rsid w:val="00E827A7"/>
    <w:rsid w:val="00F60A8C"/>
    <w:rsid w:val="00F855E7"/>
    <w:rsid w:val="00FB5AD8"/>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103CC"/>
  <w15:chartTrackingRefBased/>
  <w15:docId w15:val="{AEA2E8CF-447A-4A07-9587-57006CC02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Y"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E6C"/>
  </w:style>
  <w:style w:type="paragraph" w:styleId="Heading1">
    <w:name w:val="heading 1"/>
    <w:basedOn w:val="Normal"/>
    <w:next w:val="Normal"/>
    <w:link w:val="Heading1Char"/>
    <w:uiPriority w:val="9"/>
    <w:qFormat/>
    <w:rsid w:val="00F855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55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55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55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55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55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55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55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55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5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55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55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55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55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55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55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55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55E7"/>
    <w:rPr>
      <w:rFonts w:eastAsiaTheme="majorEastAsia" w:cstheme="majorBidi"/>
      <w:color w:val="272727" w:themeColor="text1" w:themeTint="D8"/>
    </w:rPr>
  </w:style>
  <w:style w:type="paragraph" w:styleId="Title">
    <w:name w:val="Title"/>
    <w:basedOn w:val="Normal"/>
    <w:next w:val="Normal"/>
    <w:link w:val="TitleChar"/>
    <w:uiPriority w:val="10"/>
    <w:qFormat/>
    <w:rsid w:val="00F855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55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55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55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55E7"/>
    <w:pPr>
      <w:spacing w:before="160"/>
      <w:jc w:val="center"/>
    </w:pPr>
    <w:rPr>
      <w:i/>
      <w:iCs/>
      <w:color w:val="404040" w:themeColor="text1" w:themeTint="BF"/>
    </w:rPr>
  </w:style>
  <w:style w:type="character" w:customStyle="1" w:styleId="QuoteChar">
    <w:name w:val="Quote Char"/>
    <w:basedOn w:val="DefaultParagraphFont"/>
    <w:link w:val="Quote"/>
    <w:uiPriority w:val="29"/>
    <w:rsid w:val="00F855E7"/>
    <w:rPr>
      <w:i/>
      <w:iCs/>
      <w:color w:val="404040" w:themeColor="text1" w:themeTint="BF"/>
    </w:rPr>
  </w:style>
  <w:style w:type="paragraph" w:styleId="ListParagraph">
    <w:name w:val="List Paragraph"/>
    <w:basedOn w:val="Normal"/>
    <w:uiPriority w:val="34"/>
    <w:qFormat/>
    <w:rsid w:val="00F855E7"/>
    <w:pPr>
      <w:ind w:left="720"/>
      <w:contextualSpacing/>
    </w:pPr>
  </w:style>
  <w:style w:type="character" w:styleId="IntenseEmphasis">
    <w:name w:val="Intense Emphasis"/>
    <w:basedOn w:val="DefaultParagraphFont"/>
    <w:uiPriority w:val="21"/>
    <w:qFormat/>
    <w:rsid w:val="00F855E7"/>
    <w:rPr>
      <w:i/>
      <w:iCs/>
      <w:color w:val="0F4761" w:themeColor="accent1" w:themeShade="BF"/>
    </w:rPr>
  </w:style>
  <w:style w:type="paragraph" w:styleId="IntenseQuote">
    <w:name w:val="Intense Quote"/>
    <w:basedOn w:val="Normal"/>
    <w:next w:val="Normal"/>
    <w:link w:val="IntenseQuoteChar"/>
    <w:uiPriority w:val="30"/>
    <w:qFormat/>
    <w:rsid w:val="00F855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55E7"/>
    <w:rPr>
      <w:i/>
      <w:iCs/>
      <w:color w:val="0F4761" w:themeColor="accent1" w:themeShade="BF"/>
    </w:rPr>
  </w:style>
  <w:style w:type="character" w:styleId="IntenseReference">
    <w:name w:val="Intense Reference"/>
    <w:basedOn w:val="DefaultParagraphFont"/>
    <w:uiPriority w:val="32"/>
    <w:qFormat/>
    <w:rsid w:val="00F855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1270</Words>
  <Characters>7244</Characters>
  <Application>Microsoft Office Word</Application>
  <DocSecurity>0</DocSecurity>
  <Lines>60</Lines>
  <Paragraphs>16</Paragraphs>
  <ScaleCrop>false</ScaleCrop>
  <Company/>
  <LinksUpToDate>false</LinksUpToDate>
  <CharactersWithSpaces>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Koh Su Yuan</dc:creator>
  <cp:keywords/>
  <dc:description/>
  <cp:lastModifiedBy>Koh Su Yuan</cp:lastModifiedBy>
  <cp:revision>11</cp:revision>
  <dcterms:created xsi:type="dcterms:W3CDTF">2026-07-02T04:49:00Z</dcterms:created>
  <dcterms:modified xsi:type="dcterms:W3CDTF">2026-07-02T05:34:00Z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a7c68bad-95b5-4faf-b07c-26cfda6cc656</vt:lpwstr>
  </property>
</Properties>
</file>