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8533" w14:textId="79633590" w:rsidR="00D339DB" w:rsidRDefault="00D339DB" w:rsidP="00F85C35">
      <w:pPr>
        <w:pStyle w:val="Header"/>
        <w:rPr>
          <w:sz w:val="28"/>
        </w:rPr>
      </w:pPr>
      <w:r>
        <w:rPr>
          <w:noProof/>
        </w:rPr>
        <w:drawing>
          <wp:anchor distT="0" distB="0" distL="114300" distR="114300" simplePos="0" relativeHeight="251660288" behindDoc="1" locked="0" layoutInCell="1" allowOverlap="1" wp14:anchorId="4B8012D3" wp14:editId="6D1E0CE2">
            <wp:simplePos x="0" y="0"/>
            <wp:positionH relativeFrom="column">
              <wp:posOffset>-38100</wp:posOffset>
            </wp:positionH>
            <wp:positionV relativeFrom="paragraph">
              <wp:posOffset>-5080</wp:posOffset>
            </wp:positionV>
            <wp:extent cx="5467350" cy="476250"/>
            <wp:effectExtent l="0" t="0" r="0" b="0"/>
            <wp:wrapNone/>
            <wp:docPr id="902143079" name="Picture 2" descr="esupp ne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upp new graph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ACBA0" w14:textId="77777777" w:rsidR="00D339DB" w:rsidRPr="00B82850" w:rsidRDefault="00D339DB" w:rsidP="00F85C35">
      <w:pPr>
        <w:pStyle w:val="Header"/>
      </w:pPr>
      <w:r>
        <w:rPr>
          <w:rFonts w:ascii="Arial" w:hAnsi="Arial"/>
          <w:sz w:val="28"/>
        </w:rPr>
        <w:t xml:space="preserve">           </w:t>
      </w:r>
      <w:r w:rsidRPr="00B82850">
        <w:t>SUPPORTING INFORMATION FOR:</w:t>
      </w:r>
    </w:p>
    <w:p w14:paraId="66326149" w14:textId="77777777" w:rsidR="00D339DB" w:rsidRDefault="00D339DB" w:rsidP="00F85C35">
      <w:pPr>
        <w:pStyle w:val="Header"/>
      </w:pPr>
    </w:p>
    <w:p w14:paraId="35CB1525" w14:textId="77777777" w:rsidR="00D339DB" w:rsidRPr="008929D7" w:rsidRDefault="00D339DB" w:rsidP="00F85C35">
      <w:pPr>
        <w:pStyle w:val="Header"/>
        <w:rPr>
          <w:b/>
        </w:rPr>
      </w:pPr>
      <w:r>
        <w:t xml:space="preserve">Belfiore, R., </w:t>
      </w:r>
      <w:r w:rsidRPr="00E61ABA">
        <w:t>Hoekstra</w:t>
      </w:r>
      <w:r>
        <w:t>, R., Tonini, D., &amp; Tukker, A.</w:t>
      </w:r>
      <w:r w:rsidRPr="00281931">
        <w:t xml:space="preserve"> </w:t>
      </w:r>
      <w:r w:rsidRPr="00E61ABA">
        <w:t>A dynamic Material Flow Analysis of furniture in the EU27 to support future circular strategies</w:t>
      </w:r>
      <w:r>
        <w:t xml:space="preserve">. </w:t>
      </w:r>
      <w:r w:rsidRPr="0067182A">
        <w:rPr>
          <w:i/>
        </w:rPr>
        <w:t>Journal of Industrial Ecology.</w:t>
      </w:r>
    </w:p>
    <w:p w14:paraId="60E7135C" w14:textId="2F8157F9" w:rsidR="00E325CF" w:rsidRPr="00E325CF" w:rsidRDefault="00D339DB" w:rsidP="00E325CF">
      <w:pPr>
        <w:rPr>
          <w:rFonts w:ascii="Arial" w:eastAsia="SimSun" w:hAnsi="Arial"/>
          <w:kern w:val="0"/>
          <w:szCs w:val="20"/>
          <w14:ligatures w14:val="none"/>
        </w:rPr>
      </w:pPr>
      <w:r>
        <w:rPr>
          <w:noProof/>
        </w:rPr>
        <w:object w:dxaOrig="4320" w:dyaOrig="4320" w14:anchorId="0B5F1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6pt;margin-top:11.45pt;width:259.5pt;height:20.25pt;z-index:251659264;mso-wrap-edited:f" o:allowincell="f">
            <v:imagedata r:id="rId9" o:title=""/>
            <w10:wrap type="topAndBottom"/>
          </v:shape>
          <o:OLEObject Type="Embed" ProgID="PBrush" ShapeID="_x0000_s2050" DrawAspect="Content" ObjectID="_1846844152" r:id="rId10"/>
        </w:object>
      </w:r>
      <w:r w:rsidR="00E325CF" w:rsidRPr="00E325CF">
        <w:rPr>
          <w:rFonts w:ascii="Arial" w:eastAsia="SimSun" w:hAnsi="Arial"/>
          <w:kern w:val="0"/>
          <w:szCs w:val="20"/>
          <w14:ligatures w14:val="none"/>
        </w:rPr>
        <w:t>This supporting information provides</w:t>
      </w:r>
      <w:r w:rsidR="00E325CF" w:rsidRPr="00E325CF">
        <w:rPr>
          <w:rFonts w:eastAsia="SimSun"/>
          <w:kern w:val="0"/>
          <w:sz w:val="24"/>
          <w:szCs w:val="20"/>
          <w14:ligatures w14:val="none"/>
        </w:rPr>
        <w:t xml:space="preserve"> </w:t>
      </w:r>
      <w:r w:rsidR="00E325CF" w:rsidRPr="00E325CF">
        <w:rPr>
          <w:rFonts w:ascii="Arial" w:eastAsia="SimSun" w:hAnsi="Arial"/>
          <w:kern w:val="0"/>
          <w:szCs w:val="20"/>
          <w14:ligatures w14:val="none"/>
        </w:rPr>
        <w:t>additional details on the methodolog</w:t>
      </w:r>
      <w:r w:rsidR="005D2789">
        <w:rPr>
          <w:rFonts w:ascii="Arial" w:eastAsia="SimSun" w:hAnsi="Arial"/>
          <w:kern w:val="0"/>
          <w:szCs w:val="20"/>
          <w14:ligatures w14:val="none"/>
        </w:rPr>
        <w:t>How to cu</w:t>
      </w:r>
      <w:r w:rsidR="00E325CF" w:rsidRPr="00E325CF">
        <w:rPr>
          <w:rFonts w:ascii="Arial" w:eastAsia="SimSun" w:hAnsi="Arial"/>
          <w:kern w:val="0"/>
          <w:szCs w:val="20"/>
          <w14:ligatures w14:val="none"/>
        </w:rPr>
        <w:t>y used, including: a full list of the products under scope and the code conventions used, a detailed mathematical explanation of the data cleaning steps, the way uncertainty was handled, and the calculations of the final consumption and stock. The second section provides detailed results across multiple graphs including country- and product-level time series for production, trade, consumption, and stock, as well as comprehensive results on stock composition, waste generation, material composition, and waste treatment across EU27 countries.</w:t>
      </w:r>
    </w:p>
    <w:p w14:paraId="4091E5B5" w14:textId="1BDEADB4" w:rsidR="00D339DB" w:rsidRDefault="00D339DB" w:rsidP="00E325CF">
      <w:pPr>
        <w:pStyle w:val="Header"/>
      </w:pPr>
      <w:r w:rsidRPr="00127752">
        <w:rPr>
          <w:noProof/>
        </w:rPr>
        <w:drawing>
          <wp:inline distT="0" distB="0" distL="0" distR="0" wp14:anchorId="59A14E68" wp14:editId="252923E6">
            <wp:extent cx="3073400" cy="146050"/>
            <wp:effectExtent l="0" t="0" r="0" b="6350"/>
            <wp:docPr id="96300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3400" cy="146050"/>
                    </a:xfrm>
                    <a:prstGeom prst="rect">
                      <a:avLst/>
                    </a:prstGeom>
                    <a:noFill/>
                    <a:ln>
                      <a:noFill/>
                    </a:ln>
                  </pic:spPr>
                </pic:pic>
              </a:graphicData>
            </a:graphic>
          </wp:inline>
        </w:drawing>
      </w:r>
    </w:p>
    <w:p w14:paraId="382620B5" w14:textId="77777777" w:rsidR="00D339DB" w:rsidRDefault="00D339DB" w:rsidP="00F85C35">
      <w:pPr>
        <w:pStyle w:val="Header"/>
      </w:pPr>
      <w:r>
        <w:t xml:space="preserve"> </w:t>
      </w:r>
    </w:p>
    <w:sdt>
      <w:sdtPr>
        <w:id w:val="1468625340"/>
        <w:docPartObj>
          <w:docPartGallery w:val="Table of Contents"/>
          <w:docPartUnique/>
        </w:docPartObj>
      </w:sdtPr>
      <w:sdtEndPr>
        <w:rPr>
          <w:rFonts w:ascii="Times New Roman" w:eastAsiaTheme="minorHAnsi" w:hAnsi="Times New Roman" w:cs="Times New Roman"/>
          <w:noProof/>
          <w:color w:val="auto"/>
          <w:kern w:val="2"/>
          <w:sz w:val="22"/>
          <w14:ligatures w14:val="standardContextual"/>
        </w:rPr>
      </w:sdtEndPr>
      <w:sdtContent>
        <w:p w14:paraId="71107DB5" w14:textId="76CCD99A" w:rsidR="00DC0527" w:rsidRDefault="00DC0527" w:rsidP="00DC0527">
          <w:pPr>
            <w:pStyle w:val="TOCHeading"/>
          </w:pPr>
          <w:r>
            <w:t>Contents</w:t>
          </w:r>
        </w:p>
        <w:p w14:paraId="49321F98" w14:textId="3D4887D8" w:rsidR="00DC0527" w:rsidRDefault="00DC0527">
          <w:pPr>
            <w:pStyle w:val="TOC1"/>
            <w:tabs>
              <w:tab w:val="right" w:leader="dot" w:pos="9016"/>
            </w:tabs>
            <w:rPr>
              <w:rFonts w:asciiTheme="minorHAnsi" w:eastAsiaTheme="minorEastAsia" w:hAnsiTheme="minorHAnsi" w:cstheme="minorBidi"/>
              <w:noProof/>
              <w:sz w:val="24"/>
              <w:lang/>
            </w:rPr>
          </w:pPr>
          <w:r>
            <w:fldChar w:fldCharType="begin"/>
          </w:r>
          <w:r>
            <w:instrText xml:space="preserve"> TOC \o "1-3" \h \z \u </w:instrText>
          </w:r>
          <w:r>
            <w:fldChar w:fldCharType="separate"/>
          </w:r>
          <w:hyperlink w:anchor="_Toc236230877" w:history="1">
            <w:r w:rsidRPr="001D6C44">
              <w:rPr>
                <w:rStyle w:val="Hyperlink"/>
                <w:noProof/>
              </w:rPr>
              <w:t>1. Methodology</w:t>
            </w:r>
            <w:r>
              <w:rPr>
                <w:noProof/>
                <w:webHidden/>
              </w:rPr>
              <w:tab/>
            </w:r>
            <w:r>
              <w:rPr>
                <w:noProof/>
                <w:webHidden/>
              </w:rPr>
              <w:fldChar w:fldCharType="begin"/>
            </w:r>
            <w:r>
              <w:rPr>
                <w:noProof/>
                <w:webHidden/>
              </w:rPr>
              <w:instrText xml:space="preserve"> PAGEREF _Toc236230877 \h </w:instrText>
            </w:r>
            <w:r>
              <w:rPr>
                <w:noProof/>
                <w:webHidden/>
              </w:rPr>
            </w:r>
            <w:r>
              <w:rPr>
                <w:noProof/>
                <w:webHidden/>
              </w:rPr>
              <w:fldChar w:fldCharType="separate"/>
            </w:r>
            <w:r>
              <w:rPr>
                <w:noProof/>
                <w:webHidden/>
              </w:rPr>
              <w:t>2</w:t>
            </w:r>
            <w:r>
              <w:rPr>
                <w:noProof/>
                <w:webHidden/>
              </w:rPr>
              <w:fldChar w:fldCharType="end"/>
            </w:r>
          </w:hyperlink>
        </w:p>
        <w:p w14:paraId="22F2E123" w14:textId="11CC7263" w:rsidR="00DC0527" w:rsidRDefault="00DC0527">
          <w:pPr>
            <w:pStyle w:val="TOC2"/>
            <w:tabs>
              <w:tab w:val="right" w:leader="dot" w:pos="9016"/>
            </w:tabs>
            <w:rPr>
              <w:rFonts w:asciiTheme="minorHAnsi" w:eastAsiaTheme="minorEastAsia" w:hAnsiTheme="minorHAnsi" w:cstheme="minorBidi"/>
              <w:noProof/>
              <w:sz w:val="24"/>
              <w:lang/>
            </w:rPr>
          </w:pPr>
          <w:hyperlink w:anchor="_Toc236230878" w:history="1">
            <w:r w:rsidRPr="001D6C44">
              <w:rPr>
                <w:rStyle w:val="Hyperlink"/>
                <w:noProof/>
              </w:rPr>
              <w:t>1.1 Products under scope</w:t>
            </w:r>
            <w:r>
              <w:rPr>
                <w:noProof/>
                <w:webHidden/>
              </w:rPr>
              <w:tab/>
            </w:r>
            <w:r>
              <w:rPr>
                <w:noProof/>
                <w:webHidden/>
              </w:rPr>
              <w:fldChar w:fldCharType="begin"/>
            </w:r>
            <w:r>
              <w:rPr>
                <w:noProof/>
                <w:webHidden/>
              </w:rPr>
              <w:instrText xml:space="preserve"> PAGEREF _Toc236230878 \h </w:instrText>
            </w:r>
            <w:r>
              <w:rPr>
                <w:noProof/>
                <w:webHidden/>
              </w:rPr>
            </w:r>
            <w:r>
              <w:rPr>
                <w:noProof/>
                <w:webHidden/>
              </w:rPr>
              <w:fldChar w:fldCharType="separate"/>
            </w:r>
            <w:r>
              <w:rPr>
                <w:noProof/>
                <w:webHidden/>
              </w:rPr>
              <w:t>2</w:t>
            </w:r>
            <w:r>
              <w:rPr>
                <w:noProof/>
                <w:webHidden/>
              </w:rPr>
              <w:fldChar w:fldCharType="end"/>
            </w:r>
          </w:hyperlink>
        </w:p>
        <w:p w14:paraId="5AB3CA2A" w14:textId="00DF3657" w:rsidR="00DC0527" w:rsidRDefault="00DC0527">
          <w:pPr>
            <w:pStyle w:val="TOC2"/>
            <w:tabs>
              <w:tab w:val="right" w:leader="dot" w:pos="9016"/>
            </w:tabs>
            <w:rPr>
              <w:rFonts w:asciiTheme="minorHAnsi" w:eastAsiaTheme="minorEastAsia" w:hAnsiTheme="minorHAnsi" w:cstheme="minorBidi"/>
              <w:noProof/>
              <w:sz w:val="24"/>
              <w:lang/>
            </w:rPr>
          </w:pPr>
          <w:hyperlink w:anchor="_Toc236230879" w:history="1">
            <w:r w:rsidRPr="001D6C44">
              <w:rPr>
                <w:rStyle w:val="Hyperlink"/>
                <w:noProof/>
              </w:rPr>
              <w:t>1.2 Starting data</w:t>
            </w:r>
            <w:r>
              <w:rPr>
                <w:noProof/>
                <w:webHidden/>
              </w:rPr>
              <w:tab/>
            </w:r>
            <w:r>
              <w:rPr>
                <w:noProof/>
                <w:webHidden/>
              </w:rPr>
              <w:fldChar w:fldCharType="begin"/>
            </w:r>
            <w:r>
              <w:rPr>
                <w:noProof/>
                <w:webHidden/>
              </w:rPr>
              <w:instrText xml:space="preserve"> PAGEREF _Toc236230879 \h </w:instrText>
            </w:r>
            <w:r>
              <w:rPr>
                <w:noProof/>
                <w:webHidden/>
              </w:rPr>
            </w:r>
            <w:r>
              <w:rPr>
                <w:noProof/>
                <w:webHidden/>
              </w:rPr>
              <w:fldChar w:fldCharType="separate"/>
            </w:r>
            <w:r>
              <w:rPr>
                <w:noProof/>
                <w:webHidden/>
              </w:rPr>
              <w:t>8</w:t>
            </w:r>
            <w:r>
              <w:rPr>
                <w:noProof/>
                <w:webHidden/>
              </w:rPr>
              <w:fldChar w:fldCharType="end"/>
            </w:r>
          </w:hyperlink>
        </w:p>
        <w:p w14:paraId="3E5F8DEA" w14:textId="0A54BDC5" w:rsidR="00DC0527" w:rsidRDefault="00DC0527">
          <w:pPr>
            <w:pStyle w:val="TOC2"/>
            <w:tabs>
              <w:tab w:val="right" w:leader="dot" w:pos="9016"/>
            </w:tabs>
            <w:rPr>
              <w:rFonts w:asciiTheme="minorHAnsi" w:eastAsiaTheme="minorEastAsia" w:hAnsiTheme="minorHAnsi" w:cstheme="minorBidi"/>
              <w:noProof/>
              <w:sz w:val="24"/>
              <w:lang/>
            </w:rPr>
          </w:pPr>
          <w:hyperlink w:anchor="_Toc236230880" w:history="1">
            <w:r w:rsidRPr="001D6C44">
              <w:rPr>
                <w:rStyle w:val="Hyperlink"/>
                <w:noProof/>
              </w:rPr>
              <w:t>1.3 PRODCOM data cleaning</w:t>
            </w:r>
            <w:r>
              <w:rPr>
                <w:noProof/>
                <w:webHidden/>
              </w:rPr>
              <w:tab/>
            </w:r>
            <w:r>
              <w:rPr>
                <w:noProof/>
                <w:webHidden/>
              </w:rPr>
              <w:fldChar w:fldCharType="begin"/>
            </w:r>
            <w:r>
              <w:rPr>
                <w:noProof/>
                <w:webHidden/>
              </w:rPr>
              <w:instrText xml:space="preserve"> PAGEREF _Toc236230880 \h </w:instrText>
            </w:r>
            <w:r>
              <w:rPr>
                <w:noProof/>
                <w:webHidden/>
              </w:rPr>
            </w:r>
            <w:r>
              <w:rPr>
                <w:noProof/>
                <w:webHidden/>
              </w:rPr>
              <w:fldChar w:fldCharType="separate"/>
            </w:r>
            <w:r>
              <w:rPr>
                <w:noProof/>
                <w:webHidden/>
              </w:rPr>
              <w:t>8</w:t>
            </w:r>
            <w:r>
              <w:rPr>
                <w:noProof/>
                <w:webHidden/>
              </w:rPr>
              <w:fldChar w:fldCharType="end"/>
            </w:r>
          </w:hyperlink>
        </w:p>
        <w:p w14:paraId="72D42FFC" w14:textId="6E10548A" w:rsidR="00DC0527" w:rsidRDefault="00DC0527">
          <w:pPr>
            <w:pStyle w:val="TOC2"/>
            <w:tabs>
              <w:tab w:val="right" w:leader="dot" w:pos="9016"/>
            </w:tabs>
            <w:rPr>
              <w:rFonts w:asciiTheme="minorHAnsi" w:eastAsiaTheme="minorEastAsia" w:hAnsiTheme="minorHAnsi" w:cstheme="minorBidi"/>
              <w:noProof/>
              <w:sz w:val="24"/>
              <w:lang/>
            </w:rPr>
          </w:pPr>
          <w:hyperlink w:anchor="_Toc236230881" w:history="1">
            <w:r w:rsidRPr="001D6C44">
              <w:rPr>
                <w:rStyle w:val="Hyperlink"/>
                <w:noProof/>
              </w:rPr>
              <w:t>1.4 Consumption and stock</w:t>
            </w:r>
            <w:r>
              <w:rPr>
                <w:noProof/>
                <w:webHidden/>
              </w:rPr>
              <w:tab/>
            </w:r>
            <w:r>
              <w:rPr>
                <w:noProof/>
                <w:webHidden/>
              </w:rPr>
              <w:fldChar w:fldCharType="begin"/>
            </w:r>
            <w:r>
              <w:rPr>
                <w:noProof/>
                <w:webHidden/>
              </w:rPr>
              <w:instrText xml:space="preserve"> PAGEREF _Toc236230881 \h </w:instrText>
            </w:r>
            <w:r>
              <w:rPr>
                <w:noProof/>
                <w:webHidden/>
              </w:rPr>
            </w:r>
            <w:r>
              <w:rPr>
                <w:noProof/>
                <w:webHidden/>
              </w:rPr>
              <w:fldChar w:fldCharType="separate"/>
            </w:r>
            <w:r>
              <w:rPr>
                <w:noProof/>
                <w:webHidden/>
              </w:rPr>
              <w:t>13</w:t>
            </w:r>
            <w:r>
              <w:rPr>
                <w:noProof/>
                <w:webHidden/>
              </w:rPr>
              <w:fldChar w:fldCharType="end"/>
            </w:r>
          </w:hyperlink>
        </w:p>
        <w:p w14:paraId="5141B88D" w14:textId="189E7A69" w:rsidR="00DC0527" w:rsidRDefault="00DC0527">
          <w:pPr>
            <w:pStyle w:val="TOC1"/>
            <w:tabs>
              <w:tab w:val="right" w:leader="dot" w:pos="9016"/>
            </w:tabs>
            <w:rPr>
              <w:rFonts w:asciiTheme="minorHAnsi" w:eastAsiaTheme="minorEastAsia" w:hAnsiTheme="minorHAnsi" w:cstheme="minorBidi"/>
              <w:noProof/>
              <w:sz w:val="24"/>
              <w:lang/>
            </w:rPr>
          </w:pPr>
          <w:hyperlink w:anchor="_Toc236230882" w:history="1">
            <w:r w:rsidRPr="001D6C44">
              <w:rPr>
                <w:rStyle w:val="Hyperlink"/>
                <w:noProof/>
              </w:rPr>
              <w:t>2. Extensive results</w:t>
            </w:r>
            <w:r>
              <w:rPr>
                <w:noProof/>
                <w:webHidden/>
              </w:rPr>
              <w:tab/>
            </w:r>
            <w:r>
              <w:rPr>
                <w:noProof/>
                <w:webHidden/>
              </w:rPr>
              <w:fldChar w:fldCharType="begin"/>
            </w:r>
            <w:r>
              <w:rPr>
                <w:noProof/>
                <w:webHidden/>
              </w:rPr>
              <w:instrText xml:space="preserve"> PAGEREF _Toc236230882 \h </w:instrText>
            </w:r>
            <w:r>
              <w:rPr>
                <w:noProof/>
                <w:webHidden/>
              </w:rPr>
            </w:r>
            <w:r>
              <w:rPr>
                <w:noProof/>
                <w:webHidden/>
              </w:rPr>
              <w:fldChar w:fldCharType="separate"/>
            </w:r>
            <w:r>
              <w:rPr>
                <w:noProof/>
                <w:webHidden/>
              </w:rPr>
              <w:t>16</w:t>
            </w:r>
            <w:r>
              <w:rPr>
                <w:noProof/>
                <w:webHidden/>
              </w:rPr>
              <w:fldChar w:fldCharType="end"/>
            </w:r>
          </w:hyperlink>
        </w:p>
        <w:p w14:paraId="6151E98A" w14:textId="071F6630" w:rsidR="00DC0527" w:rsidRDefault="00DC0527">
          <w:pPr>
            <w:pStyle w:val="TOC2"/>
            <w:tabs>
              <w:tab w:val="right" w:leader="dot" w:pos="9016"/>
            </w:tabs>
            <w:rPr>
              <w:rFonts w:asciiTheme="minorHAnsi" w:eastAsiaTheme="minorEastAsia" w:hAnsiTheme="minorHAnsi" w:cstheme="minorBidi"/>
              <w:noProof/>
              <w:sz w:val="24"/>
              <w:lang/>
            </w:rPr>
          </w:pPr>
          <w:hyperlink w:anchor="_Toc236230883" w:history="1">
            <w:r w:rsidRPr="001D6C44">
              <w:rPr>
                <w:rStyle w:val="Hyperlink"/>
                <w:noProof/>
              </w:rPr>
              <w:t>2.1 Countries’ time series</w:t>
            </w:r>
            <w:r>
              <w:rPr>
                <w:noProof/>
                <w:webHidden/>
              </w:rPr>
              <w:tab/>
            </w:r>
            <w:r>
              <w:rPr>
                <w:noProof/>
                <w:webHidden/>
              </w:rPr>
              <w:fldChar w:fldCharType="begin"/>
            </w:r>
            <w:r>
              <w:rPr>
                <w:noProof/>
                <w:webHidden/>
              </w:rPr>
              <w:instrText xml:space="preserve"> PAGEREF _Toc236230883 \h </w:instrText>
            </w:r>
            <w:r>
              <w:rPr>
                <w:noProof/>
                <w:webHidden/>
              </w:rPr>
            </w:r>
            <w:r>
              <w:rPr>
                <w:noProof/>
                <w:webHidden/>
              </w:rPr>
              <w:fldChar w:fldCharType="separate"/>
            </w:r>
            <w:r>
              <w:rPr>
                <w:noProof/>
                <w:webHidden/>
              </w:rPr>
              <w:t>16</w:t>
            </w:r>
            <w:r>
              <w:rPr>
                <w:noProof/>
                <w:webHidden/>
              </w:rPr>
              <w:fldChar w:fldCharType="end"/>
            </w:r>
          </w:hyperlink>
        </w:p>
        <w:p w14:paraId="1E7937B0" w14:textId="45CF25D3" w:rsidR="00DC0527" w:rsidRDefault="00DC0527">
          <w:pPr>
            <w:pStyle w:val="TOC2"/>
            <w:tabs>
              <w:tab w:val="right" w:leader="dot" w:pos="9016"/>
            </w:tabs>
            <w:rPr>
              <w:rFonts w:asciiTheme="minorHAnsi" w:eastAsiaTheme="minorEastAsia" w:hAnsiTheme="minorHAnsi" w:cstheme="minorBidi"/>
              <w:noProof/>
              <w:sz w:val="24"/>
              <w:lang/>
            </w:rPr>
          </w:pPr>
          <w:hyperlink w:anchor="_Toc236230884" w:history="1">
            <w:r w:rsidRPr="001D6C44">
              <w:rPr>
                <w:rStyle w:val="Hyperlink"/>
                <w:noProof/>
              </w:rPr>
              <w:t>2.2 Products’ time series</w:t>
            </w:r>
            <w:r>
              <w:rPr>
                <w:noProof/>
                <w:webHidden/>
              </w:rPr>
              <w:tab/>
            </w:r>
            <w:r>
              <w:rPr>
                <w:noProof/>
                <w:webHidden/>
              </w:rPr>
              <w:fldChar w:fldCharType="begin"/>
            </w:r>
            <w:r>
              <w:rPr>
                <w:noProof/>
                <w:webHidden/>
              </w:rPr>
              <w:instrText xml:space="preserve"> PAGEREF _Toc236230884 \h </w:instrText>
            </w:r>
            <w:r>
              <w:rPr>
                <w:noProof/>
                <w:webHidden/>
              </w:rPr>
            </w:r>
            <w:r>
              <w:rPr>
                <w:noProof/>
                <w:webHidden/>
              </w:rPr>
              <w:fldChar w:fldCharType="separate"/>
            </w:r>
            <w:r>
              <w:rPr>
                <w:noProof/>
                <w:webHidden/>
              </w:rPr>
              <w:t>19</w:t>
            </w:r>
            <w:r>
              <w:rPr>
                <w:noProof/>
                <w:webHidden/>
              </w:rPr>
              <w:fldChar w:fldCharType="end"/>
            </w:r>
          </w:hyperlink>
        </w:p>
        <w:p w14:paraId="2B5A2BA3" w14:textId="6EBE64EA" w:rsidR="00DC0527" w:rsidRDefault="00DC0527">
          <w:pPr>
            <w:pStyle w:val="TOC2"/>
            <w:tabs>
              <w:tab w:val="right" w:leader="dot" w:pos="9016"/>
            </w:tabs>
            <w:rPr>
              <w:rFonts w:asciiTheme="minorHAnsi" w:eastAsiaTheme="minorEastAsia" w:hAnsiTheme="minorHAnsi" w:cstheme="minorBidi"/>
              <w:noProof/>
              <w:sz w:val="24"/>
              <w:lang/>
            </w:rPr>
          </w:pPr>
          <w:hyperlink w:anchor="_Toc236230885" w:history="1">
            <w:r w:rsidRPr="001D6C44">
              <w:rPr>
                <w:rStyle w:val="Hyperlink"/>
                <w:noProof/>
              </w:rPr>
              <w:t>2.3 Detailed stock</w:t>
            </w:r>
            <w:r>
              <w:rPr>
                <w:noProof/>
                <w:webHidden/>
              </w:rPr>
              <w:tab/>
            </w:r>
            <w:r>
              <w:rPr>
                <w:noProof/>
                <w:webHidden/>
              </w:rPr>
              <w:fldChar w:fldCharType="begin"/>
            </w:r>
            <w:r>
              <w:rPr>
                <w:noProof/>
                <w:webHidden/>
              </w:rPr>
              <w:instrText xml:space="preserve"> PAGEREF _Toc236230885 \h </w:instrText>
            </w:r>
            <w:r>
              <w:rPr>
                <w:noProof/>
                <w:webHidden/>
              </w:rPr>
            </w:r>
            <w:r>
              <w:rPr>
                <w:noProof/>
                <w:webHidden/>
              </w:rPr>
              <w:fldChar w:fldCharType="separate"/>
            </w:r>
            <w:r>
              <w:rPr>
                <w:noProof/>
                <w:webHidden/>
              </w:rPr>
              <w:t>22</w:t>
            </w:r>
            <w:r>
              <w:rPr>
                <w:noProof/>
                <w:webHidden/>
              </w:rPr>
              <w:fldChar w:fldCharType="end"/>
            </w:r>
          </w:hyperlink>
        </w:p>
        <w:p w14:paraId="3D48D7BE" w14:textId="3C0B89AE" w:rsidR="00DC0527" w:rsidRDefault="00DC0527">
          <w:pPr>
            <w:pStyle w:val="TOC2"/>
            <w:tabs>
              <w:tab w:val="right" w:leader="dot" w:pos="9016"/>
            </w:tabs>
            <w:rPr>
              <w:rFonts w:asciiTheme="minorHAnsi" w:eastAsiaTheme="minorEastAsia" w:hAnsiTheme="minorHAnsi" w:cstheme="minorBidi"/>
              <w:noProof/>
              <w:sz w:val="24"/>
              <w:lang/>
            </w:rPr>
          </w:pPr>
          <w:hyperlink w:anchor="_Toc236230886" w:history="1">
            <w:r w:rsidRPr="001D6C44">
              <w:rPr>
                <w:rStyle w:val="Hyperlink"/>
                <w:noProof/>
              </w:rPr>
              <w:t>2.4 Waste</w:t>
            </w:r>
            <w:r>
              <w:rPr>
                <w:noProof/>
                <w:webHidden/>
              </w:rPr>
              <w:tab/>
            </w:r>
            <w:r>
              <w:rPr>
                <w:noProof/>
                <w:webHidden/>
              </w:rPr>
              <w:fldChar w:fldCharType="begin"/>
            </w:r>
            <w:r>
              <w:rPr>
                <w:noProof/>
                <w:webHidden/>
              </w:rPr>
              <w:instrText xml:space="preserve"> PAGEREF _Toc236230886 \h </w:instrText>
            </w:r>
            <w:r>
              <w:rPr>
                <w:noProof/>
                <w:webHidden/>
              </w:rPr>
            </w:r>
            <w:r>
              <w:rPr>
                <w:noProof/>
                <w:webHidden/>
              </w:rPr>
              <w:fldChar w:fldCharType="separate"/>
            </w:r>
            <w:r>
              <w:rPr>
                <w:noProof/>
                <w:webHidden/>
              </w:rPr>
              <w:t>26</w:t>
            </w:r>
            <w:r>
              <w:rPr>
                <w:noProof/>
                <w:webHidden/>
              </w:rPr>
              <w:fldChar w:fldCharType="end"/>
            </w:r>
          </w:hyperlink>
        </w:p>
        <w:p w14:paraId="2E897176" w14:textId="1E441D87" w:rsidR="00DC0527" w:rsidRDefault="00DC0527">
          <w:pPr>
            <w:pStyle w:val="TOC3"/>
            <w:tabs>
              <w:tab w:val="right" w:leader="dot" w:pos="9016"/>
            </w:tabs>
            <w:rPr>
              <w:rFonts w:asciiTheme="minorHAnsi" w:eastAsiaTheme="minorEastAsia" w:hAnsiTheme="minorHAnsi" w:cstheme="minorBidi"/>
              <w:noProof/>
              <w:sz w:val="24"/>
              <w:lang/>
            </w:rPr>
          </w:pPr>
          <w:hyperlink w:anchor="_Toc236230887" w:history="1">
            <w:r w:rsidRPr="001D6C44">
              <w:rPr>
                <w:rStyle w:val="Hyperlink"/>
                <w:noProof/>
              </w:rPr>
              <w:t>2.4.1 Detailed material composition at the EU level</w:t>
            </w:r>
            <w:r>
              <w:rPr>
                <w:noProof/>
                <w:webHidden/>
              </w:rPr>
              <w:tab/>
            </w:r>
            <w:r>
              <w:rPr>
                <w:noProof/>
                <w:webHidden/>
              </w:rPr>
              <w:fldChar w:fldCharType="begin"/>
            </w:r>
            <w:r>
              <w:rPr>
                <w:noProof/>
                <w:webHidden/>
              </w:rPr>
              <w:instrText xml:space="preserve"> PAGEREF _Toc236230887 \h </w:instrText>
            </w:r>
            <w:r>
              <w:rPr>
                <w:noProof/>
                <w:webHidden/>
              </w:rPr>
            </w:r>
            <w:r>
              <w:rPr>
                <w:noProof/>
                <w:webHidden/>
              </w:rPr>
              <w:fldChar w:fldCharType="separate"/>
            </w:r>
            <w:r>
              <w:rPr>
                <w:noProof/>
                <w:webHidden/>
              </w:rPr>
              <w:t>26</w:t>
            </w:r>
            <w:r>
              <w:rPr>
                <w:noProof/>
                <w:webHidden/>
              </w:rPr>
              <w:fldChar w:fldCharType="end"/>
            </w:r>
          </w:hyperlink>
        </w:p>
        <w:p w14:paraId="69D282BF" w14:textId="0C823622" w:rsidR="00DC0527" w:rsidRDefault="00DC0527">
          <w:pPr>
            <w:pStyle w:val="TOC3"/>
            <w:tabs>
              <w:tab w:val="right" w:leader="dot" w:pos="9016"/>
            </w:tabs>
            <w:rPr>
              <w:rFonts w:asciiTheme="minorHAnsi" w:eastAsiaTheme="minorEastAsia" w:hAnsiTheme="minorHAnsi" w:cstheme="minorBidi"/>
              <w:noProof/>
              <w:sz w:val="24"/>
              <w:lang/>
            </w:rPr>
          </w:pPr>
          <w:hyperlink w:anchor="_Toc236230888" w:history="1">
            <w:r w:rsidRPr="001D6C44">
              <w:rPr>
                <w:rStyle w:val="Hyperlink"/>
                <w:noProof/>
              </w:rPr>
              <w:t>2.4.2 Material composition at the country level</w:t>
            </w:r>
            <w:r>
              <w:rPr>
                <w:noProof/>
                <w:webHidden/>
              </w:rPr>
              <w:tab/>
            </w:r>
            <w:r>
              <w:rPr>
                <w:noProof/>
                <w:webHidden/>
              </w:rPr>
              <w:fldChar w:fldCharType="begin"/>
            </w:r>
            <w:r>
              <w:rPr>
                <w:noProof/>
                <w:webHidden/>
              </w:rPr>
              <w:instrText xml:space="preserve"> PAGEREF _Toc236230888 \h </w:instrText>
            </w:r>
            <w:r>
              <w:rPr>
                <w:noProof/>
                <w:webHidden/>
              </w:rPr>
            </w:r>
            <w:r>
              <w:rPr>
                <w:noProof/>
                <w:webHidden/>
              </w:rPr>
              <w:fldChar w:fldCharType="separate"/>
            </w:r>
            <w:r>
              <w:rPr>
                <w:noProof/>
                <w:webHidden/>
              </w:rPr>
              <w:t>28</w:t>
            </w:r>
            <w:r>
              <w:rPr>
                <w:noProof/>
                <w:webHidden/>
              </w:rPr>
              <w:fldChar w:fldCharType="end"/>
            </w:r>
          </w:hyperlink>
        </w:p>
        <w:p w14:paraId="4BEED325" w14:textId="5504C2FC" w:rsidR="00DC0527" w:rsidRDefault="00DC0527">
          <w:pPr>
            <w:pStyle w:val="TOC3"/>
            <w:tabs>
              <w:tab w:val="right" w:leader="dot" w:pos="9016"/>
            </w:tabs>
            <w:rPr>
              <w:rFonts w:asciiTheme="minorHAnsi" w:eastAsiaTheme="minorEastAsia" w:hAnsiTheme="minorHAnsi" w:cstheme="minorBidi"/>
              <w:noProof/>
              <w:sz w:val="24"/>
              <w:lang/>
            </w:rPr>
          </w:pPr>
          <w:hyperlink w:anchor="_Toc236230889" w:history="1">
            <w:r w:rsidRPr="001D6C44">
              <w:rPr>
                <w:rStyle w:val="Hyperlink"/>
                <w:noProof/>
              </w:rPr>
              <w:t>2.4.3 Waste treatment at the country level</w:t>
            </w:r>
            <w:r>
              <w:rPr>
                <w:noProof/>
                <w:webHidden/>
              </w:rPr>
              <w:tab/>
            </w:r>
            <w:r>
              <w:rPr>
                <w:noProof/>
                <w:webHidden/>
              </w:rPr>
              <w:fldChar w:fldCharType="begin"/>
            </w:r>
            <w:r>
              <w:rPr>
                <w:noProof/>
                <w:webHidden/>
              </w:rPr>
              <w:instrText xml:space="preserve"> PAGEREF _Toc236230889 \h </w:instrText>
            </w:r>
            <w:r>
              <w:rPr>
                <w:noProof/>
                <w:webHidden/>
              </w:rPr>
            </w:r>
            <w:r>
              <w:rPr>
                <w:noProof/>
                <w:webHidden/>
              </w:rPr>
              <w:fldChar w:fldCharType="separate"/>
            </w:r>
            <w:r>
              <w:rPr>
                <w:noProof/>
                <w:webHidden/>
              </w:rPr>
              <w:t>30</w:t>
            </w:r>
            <w:r>
              <w:rPr>
                <w:noProof/>
                <w:webHidden/>
              </w:rPr>
              <w:fldChar w:fldCharType="end"/>
            </w:r>
          </w:hyperlink>
        </w:p>
        <w:p w14:paraId="242712A7" w14:textId="047AA358" w:rsidR="00DC0527" w:rsidRDefault="00DC0527">
          <w:pPr>
            <w:pStyle w:val="TOC1"/>
            <w:tabs>
              <w:tab w:val="right" w:leader="dot" w:pos="9016"/>
            </w:tabs>
            <w:rPr>
              <w:rFonts w:asciiTheme="minorHAnsi" w:eastAsiaTheme="minorEastAsia" w:hAnsiTheme="minorHAnsi" w:cstheme="minorBidi"/>
              <w:noProof/>
              <w:sz w:val="24"/>
              <w:lang/>
            </w:rPr>
          </w:pPr>
          <w:hyperlink w:anchor="_Toc236230890" w:history="1">
            <w:r w:rsidRPr="001D6C44">
              <w:rPr>
                <w:rStyle w:val="Hyperlink"/>
                <w:noProof/>
              </w:rPr>
              <w:t>3. Bibliography</w:t>
            </w:r>
            <w:r>
              <w:rPr>
                <w:noProof/>
                <w:webHidden/>
              </w:rPr>
              <w:tab/>
            </w:r>
            <w:r>
              <w:rPr>
                <w:noProof/>
                <w:webHidden/>
              </w:rPr>
              <w:fldChar w:fldCharType="begin"/>
            </w:r>
            <w:r>
              <w:rPr>
                <w:noProof/>
                <w:webHidden/>
              </w:rPr>
              <w:instrText xml:space="preserve"> PAGEREF _Toc236230890 \h </w:instrText>
            </w:r>
            <w:r>
              <w:rPr>
                <w:noProof/>
                <w:webHidden/>
              </w:rPr>
            </w:r>
            <w:r>
              <w:rPr>
                <w:noProof/>
                <w:webHidden/>
              </w:rPr>
              <w:fldChar w:fldCharType="separate"/>
            </w:r>
            <w:r>
              <w:rPr>
                <w:noProof/>
                <w:webHidden/>
              </w:rPr>
              <w:t>32</w:t>
            </w:r>
            <w:r>
              <w:rPr>
                <w:noProof/>
                <w:webHidden/>
              </w:rPr>
              <w:fldChar w:fldCharType="end"/>
            </w:r>
          </w:hyperlink>
        </w:p>
        <w:p w14:paraId="20B38CC8" w14:textId="6FD91A24" w:rsidR="00DC0527" w:rsidRDefault="00DC0527">
          <w:r>
            <w:rPr>
              <w:b/>
              <w:bCs/>
              <w:noProof/>
            </w:rPr>
            <w:fldChar w:fldCharType="end"/>
          </w:r>
        </w:p>
      </w:sdtContent>
    </w:sdt>
    <w:p w14:paraId="4590DC9F" w14:textId="3C46AE20" w:rsidR="005D72A9" w:rsidRPr="004D0C63" w:rsidRDefault="00C07396" w:rsidP="00F85C35">
      <w:r w:rsidRPr="004D0C63">
        <w:br w:type="page"/>
      </w:r>
    </w:p>
    <w:p w14:paraId="0854F41E" w14:textId="09B8A463" w:rsidR="005543FB" w:rsidRPr="00DC0527" w:rsidRDefault="005543FB" w:rsidP="00DC0527">
      <w:pPr>
        <w:pStyle w:val="Heading1"/>
      </w:pPr>
      <w:bookmarkStart w:id="0" w:name="_Toc236230877"/>
      <w:r w:rsidRPr="00DC0527">
        <w:lastRenderedPageBreak/>
        <w:t>Methodology</w:t>
      </w:r>
      <w:bookmarkEnd w:id="0"/>
    </w:p>
    <w:p w14:paraId="5A0583C6" w14:textId="371A2E23" w:rsidR="005543FB" w:rsidRPr="00DC0527" w:rsidRDefault="005543FB" w:rsidP="00DC0527">
      <w:pPr>
        <w:pStyle w:val="Heading2"/>
      </w:pPr>
      <w:bookmarkStart w:id="1" w:name="_Toc236230878"/>
      <w:r w:rsidRPr="00DC0527">
        <w:t xml:space="preserve">Products under </w:t>
      </w:r>
      <w:r w:rsidR="00F363EC" w:rsidRPr="00DC0527">
        <w:t>scope</w:t>
      </w:r>
      <w:bookmarkEnd w:id="1"/>
    </w:p>
    <w:p w14:paraId="0B042CDB" w14:textId="0E867190" w:rsidR="00AD5DAB" w:rsidRPr="004D0C63" w:rsidRDefault="556733AE" w:rsidP="00F85C35">
      <w:r w:rsidRPr="004D0C63">
        <w:t xml:space="preserve">The </w:t>
      </w:r>
      <w:r w:rsidR="006A653A" w:rsidRPr="004D0C63">
        <w:t>foundation</w:t>
      </w:r>
      <w:r w:rsidR="0DB735FE" w:rsidRPr="004D0C63">
        <w:t xml:space="preserve"> of the </w:t>
      </w:r>
      <w:r w:rsidR="00FB03F5" w:rsidRPr="004D0C63">
        <w:t>consumption</w:t>
      </w:r>
      <w:r w:rsidR="1393C43F" w:rsidRPr="004D0C63">
        <w:t xml:space="preserve"> </w:t>
      </w:r>
      <w:r w:rsidR="00785678" w:rsidRPr="004D0C63">
        <w:t>is</w:t>
      </w:r>
      <w:r w:rsidR="27069B3C" w:rsidRPr="004D0C63">
        <w:t xml:space="preserve"> the </w:t>
      </w:r>
      <w:r w:rsidR="004752E2" w:rsidRPr="004D0C63">
        <w:t>production</w:t>
      </w:r>
      <w:r w:rsidR="25BB6F15" w:rsidRPr="004D0C63">
        <w:t xml:space="preserve"> data</w:t>
      </w:r>
      <w:r w:rsidR="006A653A" w:rsidRPr="004D0C63">
        <w:t xml:space="preserve"> from</w:t>
      </w:r>
      <w:r w:rsidR="004752E2" w:rsidRPr="004D0C63">
        <w:t xml:space="preserve"> </w:t>
      </w:r>
      <w:r w:rsidR="006A653A" w:rsidRPr="004D0C63">
        <w:t xml:space="preserve">PRODCOM </w:t>
      </w:r>
      <w:r w:rsidR="004752E2" w:rsidRPr="004D0C63">
        <w:t xml:space="preserve">and trade data from BACI. </w:t>
      </w:r>
      <w:r w:rsidR="007B30BD" w:rsidRPr="004D0C63">
        <w:t>However, t</w:t>
      </w:r>
      <w:r w:rsidR="004752E2" w:rsidRPr="004D0C63">
        <w:t>hese two databases employ diff</w:t>
      </w:r>
      <w:r w:rsidR="00FB6BD0" w:rsidRPr="004D0C63">
        <w:t xml:space="preserve">erent </w:t>
      </w:r>
      <w:r w:rsidR="00FB03F5" w:rsidRPr="004D0C63">
        <w:t>classifications,</w:t>
      </w:r>
      <w:r w:rsidR="007B30BD" w:rsidRPr="004D0C63">
        <w:t xml:space="preserve"> therefore,</w:t>
      </w:r>
      <w:r w:rsidR="00FB6BD0" w:rsidRPr="004D0C63">
        <w:t xml:space="preserve"> we need to match each product code to its equivalent</w:t>
      </w:r>
      <w:r w:rsidR="006F7C11" w:rsidRPr="004D0C63">
        <w:t xml:space="preserve"> (</w:t>
      </w:r>
      <w:r w:rsidR="00CE058F" w:rsidRPr="004D0C63">
        <w:fldChar w:fldCharType="begin"/>
      </w:r>
      <w:r w:rsidR="00CE058F" w:rsidRPr="004D0C63">
        <w:instrText xml:space="preserve"> REF _Ref232499970 \h </w:instrText>
      </w:r>
      <w:r w:rsidR="00CE058F" w:rsidRPr="004D0C63">
        <w:fldChar w:fldCharType="separate"/>
      </w:r>
      <w:r w:rsidR="00CE058F" w:rsidRPr="004D0C63">
        <w:t>Table S1</w:t>
      </w:r>
      <w:r w:rsidR="00CE058F" w:rsidRPr="004D0C63">
        <w:fldChar w:fldCharType="end"/>
      </w:r>
      <w:r w:rsidR="006F7C11" w:rsidRPr="004D0C63">
        <w:t>)</w:t>
      </w:r>
      <w:r w:rsidR="003E5F99" w:rsidRPr="004D0C63">
        <w:t xml:space="preserve">. Since the PRODCOM codes are developed based on the HS classification (i.e. the one used by BACI), there is a </w:t>
      </w:r>
      <w:r w:rsidR="00FB03F5" w:rsidRPr="004D0C63">
        <w:t>one-to-one</w:t>
      </w:r>
      <w:r w:rsidR="003E5F99" w:rsidRPr="004D0C63">
        <w:t xml:space="preserve"> correspondence from PRODCOM to HS. Instead, one HS code can correspond to multiple PRODCOM codes, which would require calculating a ratio to distribute products across codes</w:t>
      </w:r>
      <w:r w:rsidR="002E0FAC" w:rsidRPr="004D0C63">
        <w:t xml:space="preserve">. </w:t>
      </w:r>
      <w:r w:rsidR="007B30BD" w:rsidRPr="004D0C63">
        <w:t>This</w:t>
      </w:r>
      <w:r w:rsidR="002E0FAC" w:rsidRPr="004D0C63">
        <w:t xml:space="preserve"> approach can introduce errors, </w:t>
      </w:r>
      <w:r w:rsidR="007B30BD" w:rsidRPr="004D0C63">
        <w:t xml:space="preserve">and for this reason </w:t>
      </w:r>
      <w:r w:rsidR="002E0FAC" w:rsidRPr="004D0C63">
        <w:t>we cho</w:t>
      </w:r>
      <w:r w:rsidR="1168129A" w:rsidRPr="004D0C63">
        <w:t>o</w:t>
      </w:r>
      <w:r w:rsidR="002E0FAC" w:rsidRPr="004D0C63">
        <w:t xml:space="preserve">se for our final stock to be </w:t>
      </w:r>
      <w:r w:rsidR="00684F17" w:rsidRPr="004D0C63">
        <w:t>classified using</w:t>
      </w:r>
      <w:r w:rsidR="002E0FAC" w:rsidRPr="004D0C63">
        <w:t xml:space="preserve"> HS codes. </w:t>
      </w:r>
    </w:p>
    <w:p w14:paraId="10384021" w14:textId="3AD95E41" w:rsidR="0052503A" w:rsidRDefault="00F9773E" w:rsidP="00F85C35">
      <w:r w:rsidRPr="004D0C63">
        <w:t xml:space="preserve">Additionally, both the PRODCOM and HS classifications have been reviewed through the years, introducing new codes and removing old ones. </w:t>
      </w:r>
      <w:r w:rsidR="00AC20E0" w:rsidRPr="004D0C63">
        <w:t xml:space="preserve">While </w:t>
      </w:r>
      <w:r w:rsidRPr="004D0C63">
        <w:t xml:space="preserve">BACI ensures that trade data is available in each historical HS </w:t>
      </w:r>
      <w:r w:rsidR="0095058A" w:rsidRPr="004D0C63">
        <w:t>version</w:t>
      </w:r>
      <w:r w:rsidRPr="004D0C63">
        <w:t xml:space="preserve"> every year</w:t>
      </w:r>
      <w:r w:rsidR="00AC20E0" w:rsidRPr="004D0C63">
        <w:t xml:space="preserve">, PRODCOM data </w:t>
      </w:r>
      <w:r w:rsidR="00470832" w:rsidRPr="004D0C63">
        <w:t>is available only during the years the codes are valid</w:t>
      </w:r>
      <w:r w:rsidR="00B32CF5" w:rsidRPr="004D0C63">
        <w:t xml:space="preserve"> (</w:t>
      </w:r>
      <w:r w:rsidR="00CA3C3E" w:rsidRPr="004D0C63">
        <w:fldChar w:fldCharType="begin"/>
      </w:r>
      <w:r w:rsidR="00CA3C3E" w:rsidRPr="004D0C63">
        <w:instrText xml:space="preserve"> REF _Ref232499830 \h </w:instrText>
      </w:r>
      <w:r w:rsidR="00CA3C3E" w:rsidRPr="004D0C63">
        <w:fldChar w:fldCharType="separate"/>
      </w:r>
      <w:r w:rsidR="00CA3C3E" w:rsidRPr="004D0C63">
        <w:t>Figure S1</w:t>
      </w:r>
      <w:r w:rsidR="00CA3C3E" w:rsidRPr="004D0C63">
        <w:fldChar w:fldCharType="end"/>
      </w:r>
      <w:r w:rsidR="00B32CF5" w:rsidRPr="004D0C63">
        <w:t>)</w:t>
      </w:r>
      <w:r w:rsidRPr="004D0C63">
        <w:t>.</w:t>
      </w:r>
      <w:r w:rsidR="00470832" w:rsidRPr="004D0C63">
        <w:t xml:space="preserve"> This introduces an additional challenge in code conversion. To ensure consistency over time we match PRODCOM codes to the oldest HS classification</w:t>
      </w:r>
      <w:r w:rsidR="0052503A" w:rsidRPr="004D0C63">
        <w:t xml:space="preserve"> from 1992 (HS92)</w:t>
      </w:r>
      <w:r w:rsidR="00470832" w:rsidRPr="004D0C63">
        <w:t>.</w:t>
      </w:r>
      <w:r w:rsidR="0052503A" w:rsidRPr="004D0C63">
        <w:t xml:space="preserve"> This is because each new PRODCOM code has a correspondence to past codes which in turn have a correspondence to the HS92</w:t>
      </w:r>
      <w:r w:rsidR="00FB03F5" w:rsidRPr="004D0C63">
        <w:t xml:space="preserve"> </w:t>
      </w:r>
      <w:r w:rsidR="0052503A" w:rsidRPr="004D0C63">
        <w:t xml:space="preserve">classification. For example, the </w:t>
      </w:r>
      <w:r w:rsidR="0087439B" w:rsidRPr="004D0C63">
        <w:t>PRODCOM</w:t>
      </w:r>
      <w:r w:rsidR="0052503A" w:rsidRPr="004D0C63">
        <w:t xml:space="preserve"> codes </w:t>
      </w:r>
      <w:r w:rsidR="0087439B" w:rsidRPr="004D0C63">
        <w:t xml:space="preserve">31001155 and 31001159 for swivel seats </w:t>
      </w:r>
      <w:r w:rsidR="00694063" w:rsidRPr="004D0C63">
        <w:t xml:space="preserve">(upholstered and non-upholstered respectively), were merged in </w:t>
      </w:r>
      <w:r w:rsidR="002A42EB" w:rsidRPr="004D0C63">
        <w:t xml:space="preserve">2011 into 3100150 for swivel seats in </w:t>
      </w:r>
      <w:r w:rsidR="00762D1A" w:rsidRPr="004D0C63">
        <w:t>general and</w:t>
      </w:r>
      <w:r w:rsidR="002A42EB" w:rsidRPr="004D0C63">
        <w:t xml:space="preserve"> later split again </w:t>
      </w:r>
      <w:r w:rsidR="00CB3B64" w:rsidRPr="004D0C63">
        <w:t>in 2022 in 31001151 and 310001211 for swivel seats of wood and no</w:t>
      </w:r>
      <w:r w:rsidR="00762D1A" w:rsidRPr="004D0C63">
        <w:t>n-</w:t>
      </w:r>
      <w:r w:rsidR="00CB3B64" w:rsidRPr="004D0C63">
        <w:t>wood respectively. The latest HS classification has codes 9401</w:t>
      </w:r>
      <w:r w:rsidR="00B84B72" w:rsidRPr="004D0C63">
        <w:t xml:space="preserve">31 and 940139 for swivel seats of wood and </w:t>
      </w:r>
      <w:r w:rsidR="00762D1A" w:rsidRPr="004D0C63">
        <w:t>non-wood</w:t>
      </w:r>
      <w:r w:rsidR="00B84B72" w:rsidRPr="004D0C63">
        <w:t xml:space="preserve">, however there would be no way to match these codes to the PRODCOM codes before </w:t>
      </w:r>
      <w:r w:rsidR="00762D1A" w:rsidRPr="004D0C63">
        <w:t xml:space="preserve">2022. On the other hand, the HS92 code </w:t>
      </w:r>
      <w:r w:rsidR="002505E1" w:rsidRPr="004D0C63">
        <w:t xml:space="preserve">940130 refers to the oldest classification which includes all swivel seats under one heading (940130) and therefore </w:t>
      </w:r>
      <w:r w:rsidR="75C23239" w:rsidRPr="004D0C63">
        <w:t xml:space="preserve">can </w:t>
      </w:r>
      <w:r w:rsidR="006A653A" w:rsidRPr="004D0C63">
        <w:t>be</w:t>
      </w:r>
      <w:r w:rsidR="75C23239" w:rsidRPr="004D0C63">
        <w:t xml:space="preserve"> linked </w:t>
      </w:r>
      <w:r w:rsidR="64D78D11" w:rsidRPr="004D0C63">
        <w:t>to</w:t>
      </w:r>
      <w:r w:rsidR="002505E1" w:rsidRPr="004D0C63">
        <w:t xml:space="preserve"> all these 5 PRODCOM codes </w:t>
      </w:r>
      <w:r w:rsidR="00D41E27" w:rsidRPr="004D0C63">
        <w:t>and ensures that we can calculate consumption from 1995 to 2024.</w:t>
      </w:r>
    </w:p>
    <w:p w14:paraId="7903AE4F" w14:textId="77777777" w:rsidR="00DC0527" w:rsidRPr="004D0C63" w:rsidRDefault="00DC0527" w:rsidP="00F85C35"/>
    <w:p w14:paraId="5669CA82" w14:textId="77777777" w:rsidR="00CA3C3E" w:rsidRPr="004D0C63" w:rsidRDefault="003371B1" w:rsidP="00F85C35">
      <w:r w:rsidRPr="004D0C63">
        <w:rPr>
          <w:noProof/>
        </w:rPr>
        <w:lastRenderedPageBreak/>
        <w:drawing>
          <wp:inline distT="0" distB="0" distL="0" distR="0" wp14:anchorId="670AAC0F" wp14:editId="58C55A55">
            <wp:extent cx="6028684" cy="3894686"/>
            <wp:effectExtent l="0" t="0" r="6350" b="0"/>
            <wp:docPr id="1323183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9570"/>
                    <a:stretch>
                      <a:fillRect/>
                    </a:stretch>
                  </pic:blipFill>
                  <pic:spPr bwMode="auto">
                    <a:xfrm>
                      <a:off x="0" y="0"/>
                      <a:ext cx="6028684" cy="3894686"/>
                    </a:xfrm>
                    <a:prstGeom prst="rect">
                      <a:avLst/>
                    </a:prstGeom>
                    <a:noFill/>
                    <a:ln>
                      <a:noFill/>
                    </a:ln>
                    <a:extLst>
                      <a:ext uri="{53640926-AAD7-44D8-BBD7-CCE9431645EC}">
                        <a14:shadowObscured xmlns:a14="http://schemas.microsoft.com/office/drawing/2010/main"/>
                      </a:ext>
                    </a:extLst>
                  </pic:spPr>
                </pic:pic>
              </a:graphicData>
            </a:graphic>
          </wp:inline>
        </w:drawing>
      </w:r>
    </w:p>
    <w:p w14:paraId="7A5438A6" w14:textId="319F3468" w:rsidR="0059571B" w:rsidRPr="004D0C63" w:rsidRDefault="00CA3C3E" w:rsidP="00F85C35">
      <w:pPr>
        <w:pStyle w:val="Caption"/>
        <w:sectPr w:rsidR="0059571B" w:rsidRPr="004D0C63" w:rsidSect="0049339B">
          <w:headerReference w:type="default" r:id="rId13"/>
          <w:footerReference w:type="default" r:id="rId14"/>
          <w:footerReference w:type="first" r:id="rId15"/>
          <w:pgSz w:w="11906" w:h="16838"/>
          <w:pgMar w:top="1440" w:right="1440" w:bottom="1440" w:left="1440" w:header="708" w:footer="708" w:gutter="0"/>
          <w:cols w:space="708"/>
          <w:titlePg/>
          <w:docGrid w:linePitch="360"/>
        </w:sectPr>
      </w:pPr>
      <w:bookmarkStart w:id="2" w:name="_Ref232499830"/>
      <w:bookmarkStart w:id="3" w:name="_Ref232499826"/>
      <w:r w:rsidRPr="004D0C63">
        <w:t>Figure S</w:t>
      </w:r>
      <w:fldSimple w:instr=" SEQ Figure_S \* ARABIC ">
        <w:r w:rsidR="00A939E8" w:rsidRPr="004D0C63">
          <w:t>1</w:t>
        </w:r>
      </w:fldSimple>
      <w:bookmarkEnd w:id="2"/>
      <w:r w:rsidRPr="004D0C63">
        <w:t>. Availability of data when product classifications are updated.</w:t>
      </w:r>
      <w:bookmarkEnd w:id="3"/>
      <w:r w:rsidR="00B15D92" w:rsidRPr="004D0C63">
        <w:br w:type="page"/>
      </w:r>
    </w:p>
    <w:p w14:paraId="79F93C98" w14:textId="7EA7BE78" w:rsidR="00CA3C3E" w:rsidRPr="004D0C63" w:rsidRDefault="00CA3C3E" w:rsidP="00F85C35">
      <w:pPr>
        <w:pStyle w:val="Caption"/>
      </w:pPr>
      <w:bookmarkStart w:id="4" w:name="_Ref232499970"/>
      <w:r w:rsidRPr="004D0C63">
        <w:lastRenderedPageBreak/>
        <w:t>Table S</w:t>
      </w:r>
      <w:fldSimple w:instr=" SEQ Table_S \* ARABIC ">
        <w:r w:rsidR="00A527A6" w:rsidRPr="004D0C63">
          <w:t>1</w:t>
        </w:r>
      </w:fldSimple>
      <w:bookmarkEnd w:id="4"/>
      <w:r w:rsidRPr="004D0C63">
        <w:t>. Code correspondences between HS 1992 codes and PRODCOM codes.</w:t>
      </w:r>
    </w:p>
    <w:tbl>
      <w:tblPr>
        <w:tblW w:w="15593" w:type="dxa"/>
        <w:tblInd w:w="-859" w:type="dxa"/>
        <w:tblCellMar>
          <w:left w:w="0" w:type="dxa"/>
          <w:right w:w="0" w:type="dxa"/>
        </w:tblCellMar>
        <w:tblLook w:val="04A0" w:firstRow="1" w:lastRow="0" w:firstColumn="1" w:lastColumn="0" w:noHBand="0" w:noVBand="1"/>
      </w:tblPr>
      <w:tblGrid>
        <w:gridCol w:w="4952"/>
        <w:gridCol w:w="732"/>
        <w:gridCol w:w="1121"/>
        <w:gridCol w:w="8788"/>
      </w:tblGrid>
      <w:tr w:rsidR="00EB64DA" w:rsidRPr="004D0C63" w14:paraId="3F3DBA43" w14:textId="77777777" w:rsidTr="003D4266">
        <w:trPr>
          <w:trHeight w:val="315"/>
        </w:trPr>
        <w:tc>
          <w:tcPr>
            <w:tcW w:w="49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303C34" w14:textId="57CC4676" w:rsidR="00EB64DA" w:rsidRPr="00DC0527" w:rsidRDefault="00EB64DA" w:rsidP="00DC0527">
            <w:pPr>
              <w:jc w:val="left"/>
              <w:rPr>
                <w:sz w:val="20"/>
                <w:szCs w:val="20"/>
              </w:rPr>
            </w:pPr>
            <w:r w:rsidRPr="00DC0527">
              <w:rPr>
                <w:sz w:val="20"/>
                <w:szCs w:val="20"/>
              </w:rPr>
              <w:t>HS</w:t>
            </w:r>
            <w:r w:rsidR="00E33CD9" w:rsidRPr="00DC0527">
              <w:rPr>
                <w:sz w:val="20"/>
                <w:szCs w:val="20"/>
              </w:rPr>
              <w:t>92</w:t>
            </w:r>
            <w:r w:rsidRPr="00DC0527">
              <w:rPr>
                <w:sz w:val="20"/>
                <w:szCs w:val="20"/>
              </w:rPr>
              <w:t xml:space="preserve"> Name</w:t>
            </w:r>
          </w:p>
        </w:tc>
        <w:tc>
          <w:tcPr>
            <w:tcW w:w="732" w:type="dxa"/>
            <w:tcBorders>
              <w:top w:val="single" w:sz="6" w:space="0" w:color="CCCCCC"/>
              <w:left w:val="single" w:sz="6" w:space="0" w:color="CCCCCC"/>
              <w:bottom w:val="single" w:sz="6" w:space="0" w:color="D4D4D4"/>
              <w:right w:val="single" w:sz="6" w:space="0" w:color="CCCCCC"/>
            </w:tcBorders>
            <w:tcMar>
              <w:top w:w="30" w:type="dxa"/>
              <w:left w:w="45" w:type="dxa"/>
              <w:bottom w:w="30" w:type="dxa"/>
              <w:right w:w="45" w:type="dxa"/>
            </w:tcMar>
            <w:vAlign w:val="center"/>
            <w:hideMark/>
          </w:tcPr>
          <w:p w14:paraId="7882A5B3" w14:textId="46D621F2" w:rsidR="00EB64DA" w:rsidRPr="00DC0527" w:rsidRDefault="00EB64DA" w:rsidP="00DC0527">
            <w:pPr>
              <w:jc w:val="left"/>
              <w:rPr>
                <w:sz w:val="20"/>
                <w:szCs w:val="20"/>
              </w:rPr>
            </w:pPr>
            <w:r w:rsidRPr="00DC0527">
              <w:rPr>
                <w:sz w:val="20"/>
                <w:szCs w:val="20"/>
              </w:rPr>
              <w:t>HS</w:t>
            </w:r>
            <w:r w:rsidR="006E2EBE" w:rsidRPr="00DC0527">
              <w:rPr>
                <w:sz w:val="20"/>
                <w:szCs w:val="20"/>
              </w:rPr>
              <w:t>92 code</w:t>
            </w:r>
          </w:p>
        </w:tc>
        <w:tc>
          <w:tcPr>
            <w:tcW w:w="1121" w:type="dxa"/>
            <w:tcBorders>
              <w:top w:val="single" w:sz="6" w:space="0" w:color="CCCCCC"/>
              <w:left w:val="single" w:sz="6" w:space="0" w:color="CCCCCC"/>
              <w:bottom w:val="single" w:sz="6" w:space="0" w:color="D4D4D4"/>
              <w:right w:val="single" w:sz="6" w:space="0" w:color="CCCCCC"/>
            </w:tcBorders>
            <w:tcMar>
              <w:top w:w="30" w:type="dxa"/>
              <w:left w:w="45" w:type="dxa"/>
              <w:bottom w:w="30" w:type="dxa"/>
              <w:right w:w="45" w:type="dxa"/>
            </w:tcMar>
            <w:vAlign w:val="center"/>
            <w:hideMark/>
          </w:tcPr>
          <w:p w14:paraId="471BCC52" w14:textId="77777777" w:rsidR="00EB64DA" w:rsidRPr="00DC0527" w:rsidRDefault="00EB64DA" w:rsidP="00DC0527">
            <w:pPr>
              <w:jc w:val="left"/>
              <w:rPr>
                <w:sz w:val="20"/>
                <w:szCs w:val="20"/>
              </w:rPr>
            </w:pPr>
            <w:r w:rsidRPr="00DC0527">
              <w:rPr>
                <w:sz w:val="20"/>
                <w:szCs w:val="20"/>
              </w:rPr>
              <w:t>PRODCOM code</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107A4F37" w14:textId="77777777" w:rsidR="00EB64DA" w:rsidRPr="00DC0527" w:rsidRDefault="00EB64DA" w:rsidP="00DC0527">
            <w:pPr>
              <w:jc w:val="left"/>
              <w:rPr>
                <w:sz w:val="20"/>
                <w:szCs w:val="20"/>
              </w:rPr>
            </w:pPr>
            <w:r w:rsidRPr="00DC0527">
              <w:rPr>
                <w:sz w:val="20"/>
                <w:szCs w:val="20"/>
              </w:rPr>
              <w:t>PRODCOM Name</w:t>
            </w:r>
          </w:p>
        </w:tc>
      </w:tr>
      <w:tr w:rsidR="00EB64DA" w:rsidRPr="004D0C63" w14:paraId="76F72F18"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3E1F688B" w14:textId="77777777" w:rsidR="00EB64DA" w:rsidRPr="00DC0527" w:rsidRDefault="00EB64DA" w:rsidP="00DC0527">
            <w:pPr>
              <w:jc w:val="left"/>
              <w:rPr>
                <w:sz w:val="20"/>
                <w:szCs w:val="20"/>
              </w:rPr>
            </w:pPr>
            <w:r w:rsidRPr="00DC0527">
              <w:rPr>
                <w:sz w:val="20"/>
                <w:szCs w:val="20"/>
              </w:rPr>
              <w:t>Seats: swivel with variable height adjustment, excluding medical, surgical, dental, veterinary or barber furniture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55FA6BEB" w14:textId="77777777" w:rsidR="00EB64DA" w:rsidRPr="00DC0527" w:rsidRDefault="00EB64DA" w:rsidP="00DC0527">
            <w:pPr>
              <w:jc w:val="left"/>
              <w:rPr>
                <w:sz w:val="20"/>
                <w:szCs w:val="20"/>
              </w:rPr>
            </w:pPr>
            <w:r w:rsidRPr="00DC0527">
              <w:rPr>
                <w:sz w:val="20"/>
                <w:szCs w:val="20"/>
              </w:rPr>
              <w:t>940130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030B04E5" w14:textId="77777777" w:rsidR="00EB64DA" w:rsidRPr="00DC0527" w:rsidRDefault="00EB64DA" w:rsidP="00DC0527">
            <w:pPr>
              <w:jc w:val="left"/>
              <w:rPr>
                <w:sz w:val="20"/>
                <w:szCs w:val="20"/>
              </w:rPr>
            </w:pPr>
            <w:r w:rsidRPr="00DC0527">
              <w:rPr>
                <w:sz w:val="20"/>
                <w:szCs w:val="20"/>
              </w:rPr>
              <w:t>31001155</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8C77598" w14:textId="77777777" w:rsidR="00EB64DA" w:rsidRPr="00DC0527" w:rsidRDefault="00EB64DA" w:rsidP="00DC0527">
            <w:pPr>
              <w:jc w:val="left"/>
              <w:rPr>
                <w:sz w:val="20"/>
                <w:szCs w:val="20"/>
              </w:rPr>
            </w:pPr>
            <w:r w:rsidRPr="00DC0527">
              <w:rPr>
                <w:sz w:val="20"/>
                <w:szCs w:val="20"/>
              </w:rPr>
              <w:t>Upholstered swivel seats with variable height adjustment, with backrest and fitted with castors or glides excluding medical, surgical, dental or veterinary seats - barbers' or similar chairs</w:t>
            </w:r>
          </w:p>
        </w:tc>
      </w:tr>
      <w:tr w:rsidR="00EB64DA" w:rsidRPr="004D0C63" w14:paraId="1E0B912C"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03D6ABA0"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5D82CEFF" w14:textId="77777777" w:rsidR="00EB64DA" w:rsidRPr="00DC0527" w:rsidRDefault="00EB64DA" w:rsidP="00DC0527">
            <w:pPr>
              <w:jc w:val="left"/>
              <w:rPr>
                <w:sz w:val="20"/>
                <w:szCs w:val="20"/>
              </w:rPr>
            </w:pPr>
            <w:r w:rsidRPr="00DC0527">
              <w:rPr>
                <w:sz w:val="20"/>
                <w:szCs w:val="20"/>
              </w:rPr>
              <w:t>940130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7E4BFD7A" w14:textId="77777777" w:rsidR="00EB64DA" w:rsidRPr="00DC0527" w:rsidRDefault="00EB64DA" w:rsidP="00DC0527">
            <w:pPr>
              <w:jc w:val="left"/>
              <w:rPr>
                <w:sz w:val="20"/>
                <w:szCs w:val="20"/>
              </w:rPr>
            </w:pPr>
            <w:r w:rsidRPr="00DC0527">
              <w:rPr>
                <w:sz w:val="20"/>
                <w:szCs w:val="20"/>
              </w:rPr>
              <w:t>31001159</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4448204A" w14:textId="77777777" w:rsidR="00EB64DA" w:rsidRPr="00DC0527" w:rsidRDefault="00EB64DA" w:rsidP="00DC0527">
            <w:pPr>
              <w:jc w:val="left"/>
              <w:rPr>
                <w:sz w:val="20"/>
                <w:szCs w:val="20"/>
              </w:rPr>
            </w:pPr>
            <w:r w:rsidRPr="00DC0527">
              <w:rPr>
                <w:sz w:val="20"/>
                <w:szCs w:val="20"/>
              </w:rPr>
              <w:t>Non-upholstered swivel seats with variable height adjustment (excluding seats with castors or glides, medical, surgical, dental or veterinary seats, barbers' or similar chairs)</w:t>
            </w:r>
          </w:p>
        </w:tc>
      </w:tr>
      <w:tr w:rsidR="00EB64DA" w:rsidRPr="004D0C63" w14:paraId="357C5DCA"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3CCD1A1A"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36F3E79" w14:textId="77777777" w:rsidR="00EB64DA" w:rsidRPr="00DC0527" w:rsidRDefault="00EB64DA" w:rsidP="00DC0527">
            <w:pPr>
              <w:jc w:val="left"/>
              <w:rPr>
                <w:sz w:val="20"/>
                <w:szCs w:val="20"/>
              </w:rPr>
            </w:pPr>
            <w:r w:rsidRPr="00DC0527">
              <w:rPr>
                <w:sz w:val="20"/>
                <w:szCs w:val="20"/>
              </w:rPr>
              <w:t>940130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7DBC786D" w14:textId="77777777" w:rsidR="00EB64DA" w:rsidRPr="00DC0527" w:rsidRDefault="00EB64DA" w:rsidP="00DC0527">
            <w:pPr>
              <w:jc w:val="left"/>
              <w:rPr>
                <w:sz w:val="20"/>
                <w:szCs w:val="20"/>
              </w:rPr>
            </w:pPr>
            <w:r w:rsidRPr="00DC0527">
              <w:rPr>
                <w:sz w:val="20"/>
                <w:szCs w:val="20"/>
              </w:rPr>
              <w:t>31001150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4264F0F2" w14:textId="77777777" w:rsidR="00EB64DA" w:rsidRPr="00DC0527" w:rsidRDefault="00EB64DA" w:rsidP="00DC0527">
            <w:pPr>
              <w:jc w:val="left"/>
              <w:rPr>
                <w:sz w:val="20"/>
                <w:szCs w:val="20"/>
              </w:rPr>
            </w:pPr>
            <w:r w:rsidRPr="00DC0527">
              <w:rPr>
                <w:sz w:val="20"/>
                <w:szCs w:val="20"/>
              </w:rPr>
              <w:t>Swivel seats with variable height adjustments (excluding medical, surgical, dental or veterinary, and barbers’ chairs)</w:t>
            </w:r>
          </w:p>
        </w:tc>
      </w:tr>
      <w:tr w:rsidR="00EB64DA" w:rsidRPr="004D0C63" w14:paraId="787A048C"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7F26DB1B"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10B09B04" w14:textId="77777777" w:rsidR="00EB64DA" w:rsidRPr="00DC0527" w:rsidRDefault="00EB64DA" w:rsidP="00DC0527">
            <w:pPr>
              <w:jc w:val="left"/>
              <w:rPr>
                <w:sz w:val="20"/>
                <w:szCs w:val="20"/>
              </w:rPr>
            </w:pPr>
            <w:r w:rsidRPr="00DC0527">
              <w:rPr>
                <w:sz w:val="20"/>
                <w:szCs w:val="20"/>
              </w:rPr>
              <w:t>940130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623793D6" w14:textId="77777777" w:rsidR="00EB64DA" w:rsidRPr="00DC0527" w:rsidRDefault="00EB64DA" w:rsidP="00DC0527">
            <w:pPr>
              <w:jc w:val="left"/>
              <w:rPr>
                <w:sz w:val="20"/>
                <w:szCs w:val="20"/>
              </w:rPr>
            </w:pPr>
            <w:r w:rsidRPr="00DC0527">
              <w:rPr>
                <w:sz w:val="20"/>
                <w:szCs w:val="20"/>
              </w:rPr>
              <w:t>31001151</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092F591B" w14:textId="77777777" w:rsidR="00EB64DA" w:rsidRPr="00DC0527" w:rsidRDefault="00EB64DA" w:rsidP="00DC0527">
            <w:pPr>
              <w:jc w:val="left"/>
              <w:rPr>
                <w:sz w:val="20"/>
                <w:szCs w:val="20"/>
              </w:rPr>
            </w:pPr>
            <w:r w:rsidRPr="00DC0527">
              <w:rPr>
                <w:sz w:val="20"/>
                <w:szCs w:val="20"/>
              </w:rPr>
              <w:t>Swivel seats with variable height adjustments (excluding of wood and medical, surgical, dental or veterinary, and barbers’ chairs)</w:t>
            </w:r>
          </w:p>
        </w:tc>
      </w:tr>
      <w:tr w:rsidR="00EB64DA" w:rsidRPr="004D0C63" w14:paraId="6A47E046"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7C0D6159"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85C8227" w14:textId="77777777" w:rsidR="00EB64DA" w:rsidRPr="00DC0527" w:rsidRDefault="00EB64DA" w:rsidP="00DC0527">
            <w:pPr>
              <w:jc w:val="left"/>
              <w:rPr>
                <w:sz w:val="20"/>
                <w:szCs w:val="20"/>
              </w:rPr>
            </w:pPr>
            <w:r w:rsidRPr="00DC0527">
              <w:rPr>
                <w:sz w:val="20"/>
                <w:szCs w:val="20"/>
              </w:rPr>
              <w:t>940130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7FF9DE84" w14:textId="77777777" w:rsidR="00EB64DA" w:rsidRPr="00DC0527" w:rsidRDefault="00EB64DA" w:rsidP="00DC0527">
            <w:pPr>
              <w:jc w:val="left"/>
              <w:rPr>
                <w:sz w:val="20"/>
                <w:szCs w:val="20"/>
              </w:rPr>
            </w:pPr>
            <w:r w:rsidRPr="00DC0527">
              <w:rPr>
                <w:sz w:val="20"/>
                <w:szCs w:val="20"/>
              </w:rPr>
              <w:t>31001211</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2FDA71AE" w14:textId="77777777" w:rsidR="00EB64DA" w:rsidRPr="00DC0527" w:rsidRDefault="00EB64DA" w:rsidP="00DC0527">
            <w:pPr>
              <w:jc w:val="left"/>
              <w:rPr>
                <w:sz w:val="20"/>
                <w:szCs w:val="20"/>
              </w:rPr>
            </w:pPr>
            <w:r w:rsidRPr="00DC0527">
              <w:rPr>
                <w:sz w:val="20"/>
                <w:szCs w:val="20"/>
              </w:rPr>
              <w:t>Swivel seats with variable height adjustments of wood (excluding medical, surgical, dental or veterinary, and barbers’ chairs)</w:t>
            </w:r>
          </w:p>
        </w:tc>
      </w:tr>
      <w:tr w:rsidR="00EB64DA" w:rsidRPr="004D0C63" w14:paraId="160C174D"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6273C2E1" w14:textId="77777777" w:rsidR="00EB64DA" w:rsidRPr="00DC0527" w:rsidRDefault="00EB64DA" w:rsidP="00DC0527">
            <w:pPr>
              <w:jc w:val="left"/>
              <w:rPr>
                <w:sz w:val="20"/>
                <w:szCs w:val="20"/>
              </w:rPr>
            </w:pPr>
            <w:r w:rsidRPr="00DC0527">
              <w:rPr>
                <w:sz w:val="20"/>
                <w:szCs w:val="20"/>
              </w:rPr>
              <w:t>Seats: with metal frames, upholstered, (excluding medical, surgical, dental, veterinary or barber furniture)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0E082FB2" w14:textId="77777777" w:rsidR="00EB64DA" w:rsidRPr="00DC0527" w:rsidRDefault="00EB64DA" w:rsidP="00DC0527">
            <w:pPr>
              <w:jc w:val="left"/>
              <w:rPr>
                <w:sz w:val="20"/>
                <w:szCs w:val="20"/>
              </w:rPr>
            </w:pPr>
            <w:r w:rsidRPr="00DC0527">
              <w:rPr>
                <w:sz w:val="20"/>
                <w:szCs w:val="20"/>
              </w:rPr>
              <w:t>940171</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6B1A801A" w14:textId="77777777" w:rsidR="00EB64DA" w:rsidRPr="00DC0527" w:rsidRDefault="00EB64DA" w:rsidP="00DC0527">
            <w:pPr>
              <w:jc w:val="left"/>
              <w:rPr>
                <w:sz w:val="20"/>
                <w:szCs w:val="20"/>
              </w:rPr>
            </w:pPr>
            <w:r w:rsidRPr="00DC0527">
              <w:rPr>
                <w:sz w:val="20"/>
                <w:szCs w:val="20"/>
              </w:rPr>
              <w:t>31001170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72B14760" w14:textId="77777777" w:rsidR="00EB64DA" w:rsidRPr="00DC0527" w:rsidRDefault="00EB64DA" w:rsidP="00DC0527">
            <w:pPr>
              <w:jc w:val="left"/>
              <w:rPr>
                <w:sz w:val="20"/>
                <w:szCs w:val="20"/>
              </w:rPr>
            </w:pPr>
            <w:r w:rsidRPr="00DC0527">
              <w:rPr>
                <w:sz w:val="20"/>
                <w:szCs w:val="20"/>
              </w:rPr>
              <w:t>Upholstered seats with metal frames (excluding swivel seats, medical, surgical, dental or veterinary seats, barbers’ or similar chairs, for motor vehicles, for aircraft)</w:t>
            </w:r>
          </w:p>
        </w:tc>
      </w:tr>
      <w:tr w:rsidR="00EB64DA" w:rsidRPr="004D0C63" w14:paraId="2B459134"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68E6AE53" w14:textId="77777777" w:rsidR="00EB64DA" w:rsidRPr="00DC0527" w:rsidRDefault="00EB64DA" w:rsidP="00DC0527">
            <w:pPr>
              <w:jc w:val="left"/>
              <w:rPr>
                <w:sz w:val="20"/>
                <w:szCs w:val="20"/>
              </w:rPr>
            </w:pPr>
            <w:r w:rsidRPr="00DC0527">
              <w:rPr>
                <w:sz w:val="20"/>
                <w:szCs w:val="20"/>
              </w:rPr>
              <w:t>Seats: with metal frames, not upholstered, (excluding medical, surgical, dental, veterinary or barber furniture)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74BA9FAF" w14:textId="77777777" w:rsidR="00EB64DA" w:rsidRPr="00DC0527" w:rsidRDefault="00EB64DA" w:rsidP="00DC0527">
            <w:pPr>
              <w:jc w:val="left"/>
              <w:rPr>
                <w:sz w:val="20"/>
                <w:szCs w:val="20"/>
              </w:rPr>
            </w:pPr>
            <w:r w:rsidRPr="00DC0527">
              <w:rPr>
                <w:sz w:val="20"/>
                <w:szCs w:val="20"/>
              </w:rPr>
              <w:t>940179</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368CEE3E" w14:textId="77777777" w:rsidR="00EB64DA" w:rsidRPr="00DC0527" w:rsidRDefault="00EB64DA" w:rsidP="00DC0527">
            <w:pPr>
              <w:jc w:val="left"/>
              <w:rPr>
                <w:sz w:val="20"/>
                <w:szCs w:val="20"/>
              </w:rPr>
            </w:pPr>
            <w:r w:rsidRPr="00DC0527">
              <w:rPr>
                <w:sz w:val="20"/>
                <w:szCs w:val="20"/>
              </w:rPr>
              <w:t>31001190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79C8921" w14:textId="77777777" w:rsidR="00EB64DA" w:rsidRPr="00DC0527" w:rsidRDefault="00EB64DA" w:rsidP="00DC0527">
            <w:pPr>
              <w:jc w:val="left"/>
              <w:rPr>
                <w:sz w:val="20"/>
                <w:szCs w:val="20"/>
              </w:rPr>
            </w:pPr>
            <w:r w:rsidRPr="00DC0527">
              <w:rPr>
                <w:sz w:val="20"/>
                <w:szCs w:val="20"/>
              </w:rPr>
              <w:t>Non-upholstered seats with metal frames (excluding medical, surgical, dental or veterinary seats, barbers’ or similar chairs, swivel seats)</w:t>
            </w:r>
          </w:p>
        </w:tc>
      </w:tr>
      <w:tr w:rsidR="00EB64DA" w:rsidRPr="004D0C63" w14:paraId="313607CE"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26E0460B" w14:textId="77777777" w:rsidR="00EB64DA" w:rsidRPr="00DC0527" w:rsidRDefault="00EB64DA" w:rsidP="00DC0527">
            <w:pPr>
              <w:jc w:val="left"/>
              <w:rPr>
                <w:sz w:val="20"/>
                <w:szCs w:val="20"/>
              </w:rPr>
            </w:pPr>
            <w:r w:rsidRPr="00DC0527">
              <w:rPr>
                <w:sz w:val="20"/>
                <w:szCs w:val="20"/>
              </w:rPr>
              <w:t>Seats: convertible into beds, other than garden seats or camping equipment</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04EBD8C9" w14:textId="77777777" w:rsidR="00EB64DA" w:rsidRPr="00DC0527" w:rsidRDefault="00EB64DA" w:rsidP="00DC0527">
            <w:pPr>
              <w:jc w:val="left"/>
              <w:rPr>
                <w:sz w:val="20"/>
                <w:szCs w:val="20"/>
              </w:rPr>
            </w:pPr>
            <w:r w:rsidRPr="00DC0527">
              <w:rPr>
                <w:sz w:val="20"/>
                <w:szCs w:val="20"/>
              </w:rPr>
              <w:t>940140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66E840C1" w14:textId="77777777" w:rsidR="00EB64DA" w:rsidRPr="00DC0527" w:rsidRDefault="00EB64DA" w:rsidP="00DC0527">
            <w:pPr>
              <w:jc w:val="left"/>
              <w:rPr>
                <w:sz w:val="20"/>
                <w:szCs w:val="20"/>
              </w:rPr>
            </w:pPr>
            <w:r w:rsidRPr="00DC0527">
              <w:rPr>
                <w:sz w:val="20"/>
                <w:szCs w:val="20"/>
              </w:rPr>
              <w:t>31001210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77090C9E" w14:textId="77777777" w:rsidR="00EB64DA" w:rsidRPr="00DC0527" w:rsidRDefault="00EB64DA" w:rsidP="00DC0527">
            <w:pPr>
              <w:jc w:val="left"/>
              <w:rPr>
                <w:sz w:val="20"/>
                <w:szCs w:val="20"/>
              </w:rPr>
            </w:pPr>
            <w:r w:rsidRPr="00DC0527">
              <w:rPr>
                <w:sz w:val="20"/>
                <w:szCs w:val="20"/>
              </w:rPr>
              <w:t>Seats convertible into beds (excluding garden seats or camping equipment)</w:t>
            </w:r>
          </w:p>
        </w:tc>
      </w:tr>
      <w:tr w:rsidR="00EB64DA" w:rsidRPr="004D0C63" w14:paraId="7ADFBE4C"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00D62DCD"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33A7BB49" w14:textId="77777777" w:rsidR="00EB64DA" w:rsidRPr="00DC0527" w:rsidRDefault="00EB64DA" w:rsidP="00DC0527">
            <w:pPr>
              <w:jc w:val="left"/>
              <w:rPr>
                <w:sz w:val="20"/>
                <w:szCs w:val="20"/>
              </w:rPr>
            </w:pPr>
            <w:r w:rsidRPr="00DC0527">
              <w:rPr>
                <w:sz w:val="20"/>
                <w:szCs w:val="20"/>
              </w:rPr>
              <w:t>940140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44C8A0A2" w14:textId="77777777" w:rsidR="00EB64DA" w:rsidRPr="00DC0527" w:rsidRDefault="00EB64DA" w:rsidP="00DC0527">
            <w:pPr>
              <w:jc w:val="left"/>
              <w:rPr>
                <w:sz w:val="20"/>
                <w:szCs w:val="20"/>
              </w:rPr>
            </w:pPr>
            <w:r w:rsidRPr="00DC0527">
              <w:rPr>
                <w:sz w:val="20"/>
                <w:szCs w:val="20"/>
              </w:rPr>
              <w:t>31001152</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FC74645" w14:textId="77777777" w:rsidR="00EB64DA" w:rsidRPr="00DC0527" w:rsidRDefault="00EB64DA" w:rsidP="00DC0527">
            <w:pPr>
              <w:jc w:val="left"/>
              <w:rPr>
                <w:sz w:val="20"/>
                <w:szCs w:val="20"/>
              </w:rPr>
            </w:pPr>
            <w:r w:rsidRPr="00DC0527">
              <w:rPr>
                <w:sz w:val="20"/>
                <w:szCs w:val="20"/>
              </w:rPr>
              <w:t>Seats convertible into beds (excluding of wood and garden seats or camping equipment)</w:t>
            </w:r>
          </w:p>
        </w:tc>
      </w:tr>
      <w:tr w:rsidR="00EB64DA" w:rsidRPr="004D0C63" w14:paraId="31B98D8D"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749465C3"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7C10E94A" w14:textId="77777777" w:rsidR="00EB64DA" w:rsidRPr="00DC0527" w:rsidRDefault="00EB64DA" w:rsidP="00DC0527">
            <w:pPr>
              <w:jc w:val="left"/>
              <w:rPr>
                <w:sz w:val="20"/>
                <w:szCs w:val="20"/>
              </w:rPr>
            </w:pPr>
            <w:r w:rsidRPr="00DC0527">
              <w:rPr>
                <w:sz w:val="20"/>
                <w:szCs w:val="20"/>
              </w:rPr>
              <w:t>940140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2FD2BB0A" w14:textId="77777777" w:rsidR="00EB64DA" w:rsidRPr="00DC0527" w:rsidRDefault="00EB64DA" w:rsidP="00DC0527">
            <w:pPr>
              <w:jc w:val="left"/>
              <w:rPr>
                <w:sz w:val="20"/>
                <w:szCs w:val="20"/>
              </w:rPr>
            </w:pPr>
            <w:r w:rsidRPr="00DC0527">
              <w:rPr>
                <w:sz w:val="20"/>
                <w:szCs w:val="20"/>
              </w:rPr>
              <w:t>31001212</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425E2B8D" w14:textId="77777777" w:rsidR="00EB64DA" w:rsidRPr="00DC0527" w:rsidRDefault="00EB64DA" w:rsidP="00DC0527">
            <w:pPr>
              <w:jc w:val="left"/>
              <w:rPr>
                <w:sz w:val="20"/>
                <w:szCs w:val="20"/>
              </w:rPr>
            </w:pPr>
            <w:r w:rsidRPr="00DC0527">
              <w:rPr>
                <w:sz w:val="20"/>
                <w:szCs w:val="20"/>
              </w:rPr>
              <w:t>Seats convertible into beds of wood (excluding garden seats or camping equipment)</w:t>
            </w:r>
          </w:p>
        </w:tc>
      </w:tr>
      <w:tr w:rsidR="00EB64DA" w:rsidRPr="004D0C63" w14:paraId="3F7DB071"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36781F15" w14:textId="77777777" w:rsidR="00EB64DA" w:rsidRPr="00DC0527" w:rsidRDefault="00EB64DA" w:rsidP="00DC0527">
            <w:pPr>
              <w:jc w:val="left"/>
              <w:rPr>
                <w:sz w:val="20"/>
                <w:szCs w:val="20"/>
              </w:rPr>
            </w:pPr>
            <w:r w:rsidRPr="00DC0527">
              <w:rPr>
                <w:sz w:val="20"/>
                <w:szCs w:val="20"/>
              </w:rPr>
              <w:t>Seats: of cane, osier, bamboo or similar materials</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394D3FB2" w14:textId="77777777" w:rsidR="00EB64DA" w:rsidRPr="00DC0527" w:rsidRDefault="00EB64DA" w:rsidP="00DC0527">
            <w:pPr>
              <w:jc w:val="left"/>
              <w:rPr>
                <w:sz w:val="20"/>
                <w:szCs w:val="20"/>
              </w:rPr>
            </w:pPr>
            <w:r w:rsidRPr="00DC0527">
              <w:rPr>
                <w:sz w:val="20"/>
                <w:szCs w:val="20"/>
              </w:rPr>
              <w:t>940150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63916C0C" w14:textId="77777777" w:rsidR="00EB64DA" w:rsidRPr="00DC0527" w:rsidRDefault="00EB64DA" w:rsidP="00DC0527">
            <w:pPr>
              <w:jc w:val="left"/>
              <w:rPr>
                <w:sz w:val="20"/>
                <w:szCs w:val="20"/>
              </w:rPr>
            </w:pPr>
            <w:r w:rsidRPr="00DC0527">
              <w:rPr>
                <w:sz w:val="20"/>
                <w:szCs w:val="20"/>
              </w:rPr>
              <w:t>31001230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CEB0723" w14:textId="77777777" w:rsidR="00EB64DA" w:rsidRPr="00DC0527" w:rsidRDefault="00EB64DA" w:rsidP="00DC0527">
            <w:pPr>
              <w:jc w:val="left"/>
              <w:rPr>
                <w:sz w:val="20"/>
                <w:szCs w:val="20"/>
              </w:rPr>
            </w:pPr>
            <w:r w:rsidRPr="00DC0527">
              <w:rPr>
                <w:sz w:val="20"/>
                <w:szCs w:val="20"/>
              </w:rPr>
              <w:t>Seats of cane, osier, bamboo or similar materials</w:t>
            </w:r>
          </w:p>
        </w:tc>
      </w:tr>
      <w:tr w:rsidR="00EB64DA" w:rsidRPr="004D0C63" w14:paraId="46019B60"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53E6BA03" w14:textId="77777777" w:rsidR="00EB64DA" w:rsidRPr="00DC0527" w:rsidRDefault="00EB64DA" w:rsidP="00DC0527">
            <w:pPr>
              <w:jc w:val="left"/>
              <w:rPr>
                <w:sz w:val="20"/>
                <w:szCs w:val="20"/>
              </w:rPr>
            </w:pPr>
            <w:r w:rsidRPr="00DC0527">
              <w:rPr>
                <w:sz w:val="20"/>
                <w:szCs w:val="20"/>
              </w:rPr>
              <w:lastRenderedPageBreak/>
              <w:t>Seats: with wooden frames, upholstered, (excluding medical, surgical, dental, veterinary or barber furniture)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557AF28F" w14:textId="77777777" w:rsidR="00EB64DA" w:rsidRPr="00DC0527" w:rsidRDefault="00EB64DA" w:rsidP="00DC0527">
            <w:pPr>
              <w:jc w:val="left"/>
              <w:rPr>
                <w:sz w:val="20"/>
                <w:szCs w:val="20"/>
              </w:rPr>
            </w:pPr>
            <w:r w:rsidRPr="00DC0527">
              <w:rPr>
                <w:sz w:val="20"/>
                <w:szCs w:val="20"/>
              </w:rPr>
              <w:t>940161</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68B8403F" w14:textId="77777777" w:rsidR="00EB64DA" w:rsidRPr="00DC0527" w:rsidRDefault="00EB64DA" w:rsidP="00DC0527">
            <w:pPr>
              <w:jc w:val="left"/>
              <w:rPr>
                <w:sz w:val="20"/>
                <w:szCs w:val="20"/>
              </w:rPr>
            </w:pPr>
            <w:r w:rsidRPr="00DC0527">
              <w:rPr>
                <w:sz w:val="20"/>
                <w:szCs w:val="20"/>
              </w:rPr>
              <w:t>31001250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7F85AB17" w14:textId="77777777" w:rsidR="00EB64DA" w:rsidRPr="00DC0527" w:rsidRDefault="00EB64DA" w:rsidP="00DC0527">
            <w:pPr>
              <w:jc w:val="left"/>
              <w:rPr>
                <w:sz w:val="20"/>
                <w:szCs w:val="20"/>
              </w:rPr>
            </w:pPr>
            <w:r w:rsidRPr="00DC0527">
              <w:rPr>
                <w:sz w:val="20"/>
                <w:szCs w:val="20"/>
              </w:rPr>
              <w:t>Upholstered seats with wooden frames (including three piece suites) (excluding swivel seats)</w:t>
            </w:r>
          </w:p>
        </w:tc>
      </w:tr>
      <w:tr w:rsidR="00EB64DA" w:rsidRPr="004D0C63" w14:paraId="2B7CA5E0"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46B27BD4" w14:textId="77777777" w:rsidR="00EB64DA" w:rsidRPr="00DC0527" w:rsidRDefault="00EB64DA" w:rsidP="00DC0527">
            <w:pPr>
              <w:jc w:val="left"/>
              <w:rPr>
                <w:sz w:val="20"/>
                <w:szCs w:val="20"/>
              </w:rPr>
            </w:pPr>
            <w:r w:rsidRPr="00DC0527">
              <w:rPr>
                <w:sz w:val="20"/>
                <w:szCs w:val="20"/>
              </w:rPr>
              <w:t>Seats: with wooden frames, not upholstered, (excluding medical, surgical, dental, veterinary or barber furniture)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48455892" w14:textId="77777777" w:rsidR="00EB64DA" w:rsidRPr="00DC0527" w:rsidRDefault="00EB64DA" w:rsidP="00DC0527">
            <w:pPr>
              <w:jc w:val="left"/>
              <w:rPr>
                <w:sz w:val="20"/>
                <w:szCs w:val="20"/>
              </w:rPr>
            </w:pPr>
            <w:r w:rsidRPr="00DC0527">
              <w:rPr>
                <w:sz w:val="20"/>
                <w:szCs w:val="20"/>
              </w:rPr>
              <w:t>940169</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2763A9BD" w14:textId="77777777" w:rsidR="00EB64DA" w:rsidRPr="00DC0527" w:rsidRDefault="00EB64DA" w:rsidP="00DC0527">
            <w:pPr>
              <w:jc w:val="left"/>
              <w:rPr>
                <w:sz w:val="20"/>
                <w:szCs w:val="20"/>
              </w:rPr>
            </w:pPr>
            <w:r w:rsidRPr="00DC0527">
              <w:rPr>
                <w:sz w:val="20"/>
                <w:szCs w:val="20"/>
              </w:rPr>
              <w:t>31001290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35738330" w14:textId="77777777" w:rsidR="00EB64DA" w:rsidRPr="00DC0527" w:rsidRDefault="00EB64DA" w:rsidP="00DC0527">
            <w:pPr>
              <w:jc w:val="left"/>
              <w:rPr>
                <w:sz w:val="20"/>
                <w:szCs w:val="20"/>
              </w:rPr>
            </w:pPr>
            <w:r w:rsidRPr="00DC0527">
              <w:rPr>
                <w:sz w:val="20"/>
                <w:szCs w:val="20"/>
              </w:rPr>
              <w:t>Non-upholstered seats with wooden frames (excluding swivel seats)</w:t>
            </w:r>
          </w:p>
        </w:tc>
      </w:tr>
      <w:tr w:rsidR="00EB64DA" w:rsidRPr="004D0C63" w14:paraId="0D58E03F"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67F44941" w14:textId="77777777" w:rsidR="00EB64DA" w:rsidRPr="00DC0527" w:rsidRDefault="00EB64DA" w:rsidP="00DC0527">
            <w:pPr>
              <w:jc w:val="left"/>
              <w:rPr>
                <w:sz w:val="20"/>
                <w:szCs w:val="20"/>
              </w:rPr>
            </w:pPr>
            <w:r w:rsidRPr="00DC0527">
              <w:rPr>
                <w:sz w:val="20"/>
                <w:szCs w:val="20"/>
              </w:rPr>
              <w:t>Seats: n.e.s. in heading no. 9401, (excluding medical, surgical, dental, veterinary or barber furniture)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1AB3C60" w14:textId="77777777" w:rsidR="00EB64DA" w:rsidRPr="00DC0527" w:rsidRDefault="00EB64DA" w:rsidP="00DC0527">
            <w:pPr>
              <w:jc w:val="left"/>
              <w:rPr>
                <w:sz w:val="20"/>
                <w:szCs w:val="20"/>
              </w:rPr>
            </w:pPr>
            <w:r w:rsidRPr="00DC0527">
              <w:rPr>
                <w:sz w:val="20"/>
                <w:szCs w:val="20"/>
              </w:rPr>
              <w:t>940180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4137E8B8" w14:textId="77777777" w:rsidR="00EB64DA" w:rsidRPr="00DC0527" w:rsidRDefault="00EB64DA" w:rsidP="00DC0527">
            <w:pPr>
              <w:jc w:val="left"/>
              <w:rPr>
                <w:sz w:val="20"/>
                <w:szCs w:val="20"/>
              </w:rPr>
            </w:pPr>
            <w:r w:rsidRPr="00DC0527">
              <w:rPr>
                <w:sz w:val="20"/>
                <w:szCs w:val="20"/>
              </w:rPr>
              <w:t>31001300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18E7BD61" w14:textId="77777777" w:rsidR="00EB64DA" w:rsidRPr="00DC0527" w:rsidRDefault="00EB64DA" w:rsidP="00DC0527">
            <w:pPr>
              <w:jc w:val="left"/>
              <w:rPr>
                <w:sz w:val="20"/>
                <w:szCs w:val="20"/>
              </w:rPr>
            </w:pPr>
            <w:r w:rsidRPr="00DC0527">
              <w:rPr>
                <w:sz w:val="20"/>
                <w:szCs w:val="20"/>
              </w:rPr>
              <w:t>Other seats, of HS 9401 , n.e.c.</w:t>
            </w:r>
          </w:p>
        </w:tc>
      </w:tr>
      <w:tr w:rsidR="00EB64DA" w:rsidRPr="004D0C63" w14:paraId="7596CF1F"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259F9898" w14:textId="77777777" w:rsidR="00EB64DA" w:rsidRPr="00DC0527" w:rsidRDefault="00EB64DA" w:rsidP="00DC0527">
            <w:pPr>
              <w:jc w:val="left"/>
              <w:rPr>
                <w:sz w:val="20"/>
                <w:szCs w:val="20"/>
              </w:rPr>
            </w:pPr>
            <w:r w:rsidRPr="00DC0527">
              <w:rPr>
                <w:sz w:val="20"/>
                <w:szCs w:val="20"/>
              </w:rPr>
              <w:t>Furniture: metal, for office use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76ADD289" w14:textId="77777777" w:rsidR="00EB64DA" w:rsidRPr="00DC0527" w:rsidRDefault="00EB64DA" w:rsidP="00DC0527">
            <w:pPr>
              <w:jc w:val="left"/>
              <w:rPr>
                <w:sz w:val="20"/>
                <w:szCs w:val="20"/>
              </w:rPr>
            </w:pPr>
            <w:r w:rsidRPr="00DC0527">
              <w:rPr>
                <w:sz w:val="20"/>
                <w:szCs w:val="20"/>
              </w:rPr>
              <w:t>940310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0572D160" w14:textId="77777777" w:rsidR="00EB64DA" w:rsidRPr="00DC0527" w:rsidRDefault="00EB64DA" w:rsidP="00DC0527">
            <w:pPr>
              <w:jc w:val="left"/>
              <w:rPr>
                <w:sz w:val="20"/>
                <w:szCs w:val="20"/>
              </w:rPr>
            </w:pPr>
            <w:r w:rsidRPr="00DC0527">
              <w:rPr>
                <w:sz w:val="20"/>
                <w:szCs w:val="20"/>
              </w:rPr>
              <w:t>31011110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20D7103E" w14:textId="77777777" w:rsidR="00EB64DA" w:rsidRPr="00DC0527" w:rsidRDefault="00EB64DA" w:rsidP="00DC0527">
            <w:pPr>
              <w:jc w:val="left"/>
              <w:rPr>
                <w:sz w:val="20"/>
                <w:szCs w:val="20"/>
              </w:rPr>
            </w:pPr>
            <w:r w:rsidRPr="00DC0527">
              <w:rPr>
                <w:sz w:val="20"/>
                <w:szCs w:val="20"/>
              </w:rPr>
              <w:t>Office metal drawing tables (excluding those designed/fitted with machines or instruments as part of the table)</w:t>
            </w:r>
          </w:p>
        </w:tc>
      </w:tr>
      <w:tr w:rsidR="00EB64DA" w:rsidRPr="004D0C63" w14:paraId="3E8AE6E1"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3594C5BC"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7727F4F" w14:textId="77777777" w:rsidR="00EB64DA" w:rsidRPr="00DC0527" w:rsidRDefault="00EB64DA" w:rsidP="00DC0527">
            <w:pPr>
              <w:jc w:val="left"/>
              <w:rPr>
                <w:sz w:val="20"/>
                <w:szCs w:val="20"/>
              </w:rPr>
            </w:pPr>
            <w:r w:rsidRPr="00DC0527">
              <w:rPr>
                <w:sz w:val="20"/>
                <w:szCs w:val="20"/>
              </w:rPr>
              <w:t>940310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6E8AD483" w14:textId="77777777" w:rsidR="00EB64DA" w:rsidRPr="00DC0527" w:rsidRDefault="00EB64DA" w:rsidP="00DC0527">
            <w:pPr>
              <w:jc w:val="left"/>
              <w:rPr>
                <w:sz w:val="20"/>
                <w:szCs w:val="20"/>
              </w:rPr>
            </w:pPr>
            <w:r w:rsidRPr="00DC0527">
              <w:rPr>
                <w:sz w:val="20"/>
                <w:szCs w:val="20"/>
              </w:rPr>
              <w:t>31011140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F07851F" w14:textId="77777777" w:rsidR="00EB64DA" w:rsidRPr="00DC0527" w:rsidRDefault="00EB64DA" w:rsidP="00DC0527">
            <w:pPr>
              <w:jc w:val="left"/>
              <w:rPr>
                <w:sz w:val="20"/>
                <w:szCs w:val="20"/>
              </w:rPr>
            </w:pPr>
            <w:r w:rsidRPr="00DC0527">
              <w:rPr>
                <w:sz w:val="20"/>
                <w:szCs w:val="20"/>
              </w:rPr>
              <w:t>Metal furniture of a kind used in offices, of a height &lt;= 80 cm</w:t>
            </w:r>
          </w:p>
        </w:tc>
      </w:tr>
      <w:tr w:rsidR="00EB64DA" w:rsidRPr="004D0C63" w14:paraId="28139286"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71C81FCD"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578E20D" w14:textId="77777777" w:rsidR="00EB64DA" w:rsidRPr="00DC0527" w:rsidRDefault="00EB64DA" w:rsidP="00DC0527">
            <w:pPr>
              <w:jc w:val="left"/>
              <w:rPr>
                <w:sz w:val="20"/>
                <w:szCs w:val="20"/>
              </w:rPr>
            </w:pPr>
            <w:r w:rsidRPr="00DC0527">
              <w:rPr>
                <w:sz w:val="20"/>
                <w:szCs w:val="20"/>
              </w:rPr>
              <w:t>940310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2984D9D3" w14:textId="77777777" w:rsidR="00EB64DA" w:rsidRPr="00DC0527" w:rsidRDefault="00EB64DA" w:rsidP="00DC0527">
            <w:pPr>
              <w:jc w:val="left"/>
              <w:rPr>
                <w:sz w:val="20"/>
                <w:szCs w:val="20"/>
              </w:rPr>
            </w:pPr>
            <w:r w:rsidRPr="00DC0527">
              <w:rPr>
                <w:sz w:val="20"/>
                <w:szCs w:val="20"/>
              </w:rPr>
              <w:t>31011170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68A549F8" w14:textId="77777777" w:rsidR="00EB64DA" w:rsidRPr="00DC0527" w:rsidRDefault="00EB64DA" w:rsidP="00DC0527">
            <w:pPr>
              <w:jc w:val="left"/>
              <w:rPr>
                <w:sz w:val="20"/>
                <w:szCs w:val="20"/>
              </w:rPr>
            </w:pPr>
            <w:r w:rsidRPr="00DC0527">
              <w:rPr>
                <w:sz w:val="20"/>
                <w:szCs w:val="20"/>
              </w:rPr>
              <w:t>Metal furniture of a kind used in offices, of a height &gt; 80 cm</w:t>
            </w:r>
          </w:p>
        </w:tc>
      </w:tr>
      <w:tr w:rsidR="00EB64DA" w:rsidRPr="004D0C63" w14:paraId="4494B24A"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11E8F9F2"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31C97588" w14:textId="77777777" w:rsidR="00EB64DA" w:rsidRPr="00DC0527" w:rsidRDefault="00EB64DA" w:rsidP="00DC0527">
            <w:pPr>
              <w:jc w:val="left"/>
              <w:rPr>
                <w:sz w:val="20"/>
                <w:szCs w:val="20"/>
              </w:rPr>
            </w:pPr>
            <w:r w:rsidRPr="00DC0527">
              <w:rPr>
                <w:sz w:val="20"/>
                <w:szCs w:val="20"/>
              </w:rPr>
              <w:t>940310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18AEBA3A" w14:textId="77777777" w:rsidR="00EB64DA" w:rsidRPr="00DC0527" w:rsidRDefault="00EB64DA" w:rsidP="00DC0527">
            <w:pPr>
              <w:jc w:val="left"/>
              <w:rPr>
                <w:sz w:val="20"/>
                <w:szCs w:val="20"/>
              </w:rPr>
            </w:pPr>
            <w:r w:rsidRPr="00DC0527">
              <w:rPr>
                <w:sz w:val="20"/>
                <w:szCs w:val="20"/>
              </w:rPr>
              <w:t>31011100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022AF20E" w14:textId="77777777" w:rsidR="00EB64DA" w:rsidRPr="00DC0527" w:rsidRDefault="00EB64DA" w:rsidP="00DC0527">
            <w:pPr>
              <w:jc w:val="left"/>
              <w:rPr>
                <w:sz w:val="20"/>
                <w:szCs w:val="20"/>
              </w:rPr>
            </w:pPr>
            <w:r w:rsidRPr="00DC0527">
              <w:rPr>
                <w:sz w:val="20"/>
                <w:szCs w:val="20"/>
              </w:rPr>
              <w:t>Metal furniture for offices</w:t>
            </w:r>
          </w:p>
        </w:tc>
      </w:tr>
      <w:tr w:rsidR="00EB64DA" w:rsidRPr="004D0C63" w14:paraId="0CBFC0A5"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1788AB5C" w14:textId="77777777" w:rsidR="00EB64DA" w:rsidRPr="00DC0527" w:rsidRDefault="00EB64DA" w:rsidP="00DC0527">
            <w:pPr>
              <w:jc w:val="left"/>
              <w:rPr>
                <w:sz w:val="20"/>
                <w:szCs w:val="20"/>
              </w:rPr>
            </w:pPr>
            <w:r w:rsidRPr="00DC0527">
              <w:rPr>
                <w:sz w:val="20"/>
                <w:szCs w:val="20"/>
              </w:rPr>
              <w:t>Furniture: metal, other than for office use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7122B72B" w14:textId="77777777" w:rsidR="00EB64DA" w:rsidRPr="00DC0527" w:rsidRDefault="00EB64DA" w:rsidP="00DC0527">
            <w:pPr>
              <w:jc w:val="left"/>
              <w:rPr>
                <w:sz w:val="20"/>
                <w:szCs w:val="20"/>
              </w:rPr>
            </w:pPr>
            <w:r w:rsidRPr="00DC0527">
              <w:rPr>
                <w:sz w:val="20"/>
                <w:szCs w:val="20"/>
              </w:rPr>
              <w:t>940320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5BD9E927" w14:textId="77777777" w:rsidR="00EB64DA" w:rsidRPr="00DC0527" w:rsidRDefault="00EB64DA" w:rsidP="00DC0527">
            <w:pPr>
              <w:jc w:val="left"/>
              <w:rPr>
                <w:sz w:val="20"/>
                <w:szCs w:val="20"/>
              </w:rPr>
            </w:pPr>
            <w:r w:rsidRPr="00DC0527">
              <w:rPr>
                <w:sz w:val="20"/>
                <w:szCs w:val="20"/>
              </w:rPr>
              <w:t>31091100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1D252CF" w14:textId="77777777" w:rsidR="00EB64DA" w:rsidRPr="00DC0527" w:rsidRDefault="00EB64DA" w:rsidP="00DC0527">
            <w:pPr>
              <w:jc w:val="left"/>
              <w:rPr>
                <w:sz w:val="20"/>
                <w:szCs w:val="20"/>
              </w:rPr>
            </w:pPr>
            <w:r w:rsidRPr="00DC0527">
              <w:rPr>
                <w:sz w:val="20"/>
                <w:szCs w:val="20"/>
              </w:rPr>
              <w:t>Metal furniture (excluding office, medical, surgical, dental or veterinary furniture; barbers’ chairs — cases and cabinets specially designed for hi-fi systems, videos or televisions)</w:t>
            </w:r>
          </w:p>
        </w:tc>
      </w:tr>
      <w:tr w:rsidR="00EB64DA" w:rsidRPr="004D0C63" w14:paraId="6F8F1ECA"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334E2D91" w14:textId="77777777" w:rsidR="00EB64DA" w:rsidRPr="00DC0527" w:rsidRDefault="00EB64DA" w:rsidP="00DC0527">
            <w:pPr>
              <w:jc w:val="left"/>
              <w:rPr>
                <w:sz w:val="20"/>
                <w:szCs w:val="20"/>
              </w:rPr>
            </w:pPr>
            <w:r w:rsidRPr="00DC0527">
              <w:rPr>
                <w:sz w:val="20"/>
                <w:szCs w:val="20"/>
              </w:rPr>
              <w:t>Furniture: wooden, for office use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5936F348" w14:textId="77777777" w:rsidR="00EB64DA" w:rsidRPr="00DC0527" w:rsidRDefault="00EB64DA" w:rsidP="00DC0527">
            <w:pPr>
              <w:jc w:val="left"/>
              <w:rPr>
                <w:sz w:val="20"/>
                <w:szCs w:val="20"/>
              </w:rPr>
            </w:pPr>
            <w:r w:rsidRPr="00DC0527">
              <w:rPr>
                <w:sz w:val="20"/>
                <w:szCs w:val="20"/>
              </w:rPr>
              <w:t>940330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2C2008AB" w14:textId="77777777" w:rsidR="00EB64DA" w:rsidRPr="00DC0527" w:rsidRDefault="00EB64DA" w:rsidP="00DC0527">
            <w:pPr>
              <w:jc w:val="left"/>
              <w:rPr>
                <w:sz w:val="20"/>
                <w:szCs w:val="20"/>
              </w:rPr>
            </w:pPr>
            <w:r w:rsidRPr="00DC0527">
              <w:rPr>
                <w:sz w:val="20"/>
                <w:szCs w:val="20"/>
              </w:rPr>
              <w:t>31011200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63F95718" w14:textId="77777777" w:rsidR="00EB64DA" w:rsidRPr="00DC0527" w:rsidRDefault="00EB64DA" w:rsidP="00DC0527">
            <w:pPr>
              <w:jc w:val="left"/>
              <w:rPr>
                <w:sz w:val="20"/>
                <w:szCs w:val="20"/>
              </w:rPr>
            </w:pPr>
            <w:r w:rsidRPr="00DC0527">
              <w:rPr>
                <w:sz w:val="20"/>
                <w:szCs w:val="20"/>
              </w:rPr>
              <w:t>Wooden furniture of a kind used in offices</w:t>
            </w:r>
          </w:p>
        </w:tc>
      </w:tr>
      <w:tr w:rsidR="00EB64DA" w:rsidRPr="004D0C63" w14:paraId="44D2A2DF"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609D1AE0" w14:textId="77777777" w:rsidR="00EB64DA" w:rsidRPr="00DC0527" w:rsidRDefault="00EB64DA" w:rsidP="00DC0527">
            <w:pPr>
              <w:jc w:val="left"/>
              <w:rPr>
                <w:sz w:val="20"/>
                <w:szCs w:val="20"/>
              </w:rPr>
            </w:pPr>
            <w:r w:rsidRPr="00DC0527">
              <w:rPr>
                <w:sz w:val="20"/>
                <w:szCs w:val="20"/>
              </w:rPr>
              <w:t>Furniture: wooden, for bedroom use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061CE802" w14:textId="77777777" w:rsidR="00EB64DA" w:rsidRPr="00DC0527" w:rsidRDefault="00EB64DA" w:rsidP="00DC0527">
            <w:pPr>
              <w:jc w:val="left"/>
              <w:rPr>
                <w:sz w:val="20"/>
                <w:szCs w:val="20"/>
              </w:rPr>
            </w:pPr>
            <w:r w:rsidRPr="00DC0527">
              <w:rPr>
                <w:sz w:val="20"/>
                <w:szCs w:val="20"/>
              </w:rPr>
              <w:t>940350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1DFD4608" w14:textId="77777777" w:rsidR="00EB64DA" w:rsidRPr="00DC0527" w:rsidRDefault="00EB64DA" w:rsidP="00DC0527">
            <w:pPr>
              <w:jc w:val="left"/>
              <w:rPr>
                <w:sz w:val="20"/>
                <w:szCs w:val="20"/>
              </w:rPr>
            </w:pPr>
            <w:r w:rsidRPr="00DC0527">
              <w:rPr>
                <w:sz w:val="20"/>
                <w:szCs w:val="20"/>
              </w:rPr>
              <w:t>31091230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18746851" w14:textId="77777777" w:rsidR="00EB64DA" w:rsidRPr="00DC0527" w:rsidRDefault="00EB64DA" w:rsidP="00DC0527">
            <w:pPr>
              <w:jc w:val="left"/>
              <w:rPr>
                <w:sz w:val="20"/>
                <w:szCs w:val="20"/>
              </w:rPr>
            </w:pPr>
            <w:r w:rsidRPr="00DC0527">
              <w:rPr>
                <w:sz w:val="20"/>
                <w:szCs w:val="20"/>
              </w:rPr>
              <w:t>Wooden bedroom furniture (excluding builders’ fittings for cupboards to be built into walls, mattress supports, lamps and lighting fittings, floor standing mirrors, seats)</w:t>
            </w:r>
          </w:p>
        </w:tc>
      </w:tr>
      <w:tr w:rsidR="00EB64DA" w:rsidRPr="004D0C63" w14:paraId="66388EE6"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5FBF2EBC" w14:textId="447EAF7F" w:rsidR="00EB64DA" w:rsidRPr="00DC0527" w:rsidRDefault="00EB64DA" w:rsidP="00DC0527">
            <w:pPr>
              <w:jc w:val="left"/>
              <w:rPr>
                <w:sz w:val="20"/>
                <w:szCs w:val="20"/>
              </w:rPr>
            </w:pPr>
            <w:r w:rsidRPr="00DC0527">
              <w:rPr>
                <w:sz w:val="20"/>
                <w:szCs w:val="20"/>
              </w:rPr>
              <w:t>Furniture: wooden, other than for office, kitchen or bedroom us</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4470C773" w14:textId="77777777" w:rsidR="00EB64DA" w:rsidRPr="00DC0527" w:rsidRDefault="00EB64DA" w:rsidP="00DC0527">
            <w:pPr>
              <w:jc w:val="left"/>
              <w:rPr>
                <w:sz w:val="20"/>
                <w:szCs w:val="20"/>
              </w:rPr>
            </w:pPr>
            <w:r w:rsidRPr="00DC0527">
              <w:rPr>
                <w:sz w:val="20"/>
                <w:szCs w:val="20"/>
              </w:rPr>
              <w:t>940360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35A068DC" w14:textId="77777777" w:rsidR="00EB64DA" w:rsidRPr="00DC0527" w:rsidRDefault="00EB64DA" w:rsidP="00DC0527">
            <w:pPr>
              <w:jc w:val="left"/>
              <w:rPr>
                <w:sz w:val="20"/>
                <w:szCs w:val="20"/>
              </w:rPr>
            </w:pPr>
            <w:r w:rsidRPr="00DC0527">
              <w:rPr>
                <w:sz w:val="20"/>
                <w:szCs w:val="20"/>
              </w:rPr>
              <w:t>31011300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65E390D8" w14:textId="77777777" w:rsidR="00EB64DA" w:rsidRPr="00DC0527" w:rsidRDefault="00EB64DA" w:rsidP="00DC0527">
            <w:pPr>
              <w:jc w:val="left"/>
              <w:rPr>
                <w:sz w:val="20"/>
                <w:szCs w:val="20"/>
              </w:rPr>
            </w:pPr>
            <w:r w:rsidRPr="00DC0527">
              <w:rPr>
                <w:sz w:val="20"/>
                <w:szCs w:val="20"/>
              </w:rPr>
              <w:t>Wooden furniture for shops</w:t>
            </w:r>
          </w:p>
        </w:tc>
      </w:tr>
      <w:tr w:rsidR="00EB64DA" w:rsidRPr="004D0C63" w14:paraId="1BA529E9"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22CF04FE"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7AFF4C47" w14:textId="77777777" w:rsidR="00EB64DA" w:rsidRPr="00DC0527" w:rsidRDefault="00EB64DA" w:rsidP="00DC0527">
            <w:pPr>
              <w:jc w:val="left"/>
              <w:rPr>
                <w:sz w:val="20"/>
                <w:szCs w:val="20"/>
              </w:rPr>
            </w:pPr>
            <w:r w:rsidRPr="00DC0527">
              <w:rPr>
                <w:sz w:val="20"/>
                <w:szCs w:val="20"/>
              </w:rPr>
              <w:t>940360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2F1E2EFD" w14:textId="77777777" w:rsidR="00EB64DA" w:rsidRPr="00DC0527" w:rsidRDefault="00EB64DA" w:rsidP="00DC0527">
            <w:pPr>
              <w:jc w:val="left"/>
              <w:rPr>
                <w:sz w:val="20"/>
                <w:szCs w:val="20"/>
              </w:rPr>
            </w:pPr>
            <w:r w:rsidRPr="00DC0527">
              <w:rPr>
                <w:sz w:val="20"/>
                <w:szCs w:val="20"/>
              </w:rPr>
              <w:t>31091250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33FD68AB" w14:textId="77777777" w:rsidR="00EB64DA" w:rsidRPr="00DC0527" w:rsidRDefault="00EB64DA" w:rsidP="00DC0527">
            <w:pPr>
              <w:jc w:val="left"/>
              <w:rPr>
                <w:sz w:val="20"/>
                <w:szCs w:val="20"/>
              </w:rPr>
            </w:pPr>
            <w:r w:rsidRPr="00DC0527">
              <w:rPr>
                <w:sz w:val="20"/>
                <w:szCs w:val="20"/>
              </w:rPr>
              <w:t>Wooden furniture for the dining-room and living-room (excluding floor standing mirrors, seats)</w:t>
            </w:r>
          </w:p>
        </w:tc>
      </w:tr>
      <w:tr w:rsidR="00EB64DA" w:rsidRPr="004D0C63" w14:paraId="54C4C8C7"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2A45958E"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4A872E1E" w14:textId="77777777" w:rsidR="00EB64DA" w:rsidRPr="00DC0527" w:rsidRDefault="00EB64DA" w:rsidP="00DC0527">
            <w:pPr>
              <w:jc w:val="left"/>
              <w:rPr>
                <w:sz w:val="20"/>
                <w:szCs w:val="20"/>
              </w:rPr>
            </w:pPr>
            <w:r w:rsidRPr="00DC0527">
              <w:rPr>
                <w:sz w:val="20"/>
                <w:szCs w:val="20"/>
              </w:rPr>
              <w:t>940360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3F012451" w14:textId="77777777" w:rsidR="00EB64DA" w:rsidRPr="00DC0527" w:rsidRDefault="00EB64DA" w:rsidP="00DC0527">
            <w:pPr>
              <w:jc w:val="left"/>
              <w:rPr>
                <w:sz w:val="20"/>
                <w:szCs w:val="20"/>
              </w:rPr>
            </w:pPr>
            <w:r w:rsidRPr="00DC0527">
              <w:rPr>
                <w:sz w:val="20"/>
                <w:szCs w:val="20"/>
              </w:rPr>
              <w:t>31091300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29DB1516" w14:textId="77777777" w:rsidR="00EB64DA" w:rsidRPr="00DC0527" w:rsidRDefault="00EB64DA" w:rsidP="00DC0527">
            <w:pPr>
              <w:jc w:val="left"/>
              <w:rPr>
                <w:sz w:val="20"/>
                <w:szCs w:val="20"/>
              </w:rPr>
            </w:pPr>
            <w:r w:rsidRPr="00DC0527">
              <w:rPr>
                <w:sz w:val="20"/>
                <w:szCs w:val="20"/>
              </w:rPr>
              <w:t>Other wooden furniture (excluding bedroom, dining-, living-room, kitchen, office, shop, medical, surgical, dental/veterinary furniture, cases and cabinets designed for hi-fi, videos and televisions)</w:t>
            </w:r>
          </w:p>
        </w:tc>
      </w:tr>
      <w:tr w:rsidR="00EB64DA" w:rsidRPr="004D0C63" w14:paraId="6DB53FD6"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1C5767B1" w14:textId="77777777" w:rsidR="00EB64DA" w:rsidRPr="00DC0527" w:rsidRDefault="00EB64DA" w:rsidP="00DC0527">
            <w:pPr>
              <w:jc w:val="left"/>
              <w:rPr>
                <w:sz w:val="20"/>
                <w:szCs w:val="20"/>
              </w:rPr>
            </w:pPr>
            <w:r w:rsidRPr="00DC0527">
              <w:rPr>
                <w:sz w:val="20"/>
                <w:szCs w:val="20"/>
              </w:rPr>
              <w:lastRenderedPageBreak/>
              <w:t>Furniture: wooden, for kitchen use</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6031AC45" w14:textId="77777777" w:rsidR="00EB64DA" w:rsidRPr="00DC0527" w:rsidRDefault="00EB64DA" w:rsidP="00DC0527">
            <w:pPr>
              <w:jc w:val="left"/>
              <w:rPr>
                <w:sz w:val="20"/>
                <w:szCs w:val="20"/>
              </w:rPr>
            </w:pPr>
            <w:r w:rsidRPr="00DC0527">
              <w:rPr>
                <w:sz w:val="20"/>
                <w:szCs w:val="20"/>
              </w:rPr>
              <w:t>940340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6CAAAB08" w14:textId="77777777" w:rsidR="00EB64DA" w:rsidRPr="00DC0527" w:rsidRDefault="00EB64DA" w:rsidP="00DC0527">
            <w:pPr>
              <w:jc w:val="left"/>
              <w:rPr>
                <w:sz w:val="20"/>
                <w:szCs w:val="20"/>
              </w:rPr>
            </w:pPr>
            <w:r w:rsidRPr="00DC0527">
              <w:rPr>
                <w:sz w:val="20"/>
                <w:szCs w:val="20"/>
              </w:rPr>
              <w:t>31021000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6A70352F" w14:textId="7570C861" w:rsidR="00EB64DA" w:rsidRPr="00DC0527" w:rsidRDefault="00EB64DA" w:rsidP="00DC0527">
            <w:pPr>
              <w:jc w:val="left"/>
              <w:rPr>
                <w:sz w:val="20"/>
                <w:szCs w:val="20"/>
              </w:rPr>
            </w:pPr>
            <w:r w:rsidRPr="00DC0527">
              <w:rPr>
                <w:sz w:val="20"/>
                <w:szCs w:val="20"/>
              </w:rPr>
              <w:t>Kitchen furniture</w:t>
            </w:r>
            <w:r w:rsidR="007C290F" w:rsidRPr="00DC0527">
              <w:rPr>
                <w:rStyle w:val="FootnoteReference"/>
                <w:sz w:val="20"/>
                <w:szCs w:val="20"/>
              </w:rPr>
              <w:footnoteReference w:id="1"/>
            </w:r>
          </w:p>
        </w:tc>
      </w:tr>
      <w:tr w:rsidR="00EB64DA" w:rsidRPr="004D0C63" w14:paraId="7F2A5443"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5D5EE6EE" w14:textId="77777777" w:rsidR="00EB64DA" w:rsidRPr="00DC0527" w:rsidRDefault="00EB64DA" w:rsidP="00DC0527">
            <w:pPr>
              <w:jc w:val="left"/>
              <w:rPr>
                <w:sz w:val="20"/>
                <w:szCs w:val="20"/>
              </w:rPr>
            </w:pPr>
            <w:r w:rsidRPr="00DC0527">
              <w:rPr>
                <w:sz w:val="20"/>
                <w:szCs w:val="20"/>
              </w:rPr>
              <w:t>Mattress supports</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1CCE31C6" w14:textId="77777777" w:rsidR="00EB64DA" w:rsidRPr="00DC0527" w:rsidRDefault="00EB64DA" w:rsidP="00DC0527">
            <w:pPr>
              <w:jc w:val="left"/>
              <w:rPr>
                <w:sz w:val="20"/>
                <w:szCs w:val="20"/>
              </w:rPr>
            </w:pPr>
            <w:r w:rsidRPr="00DC0527">
              <w:rPr>
                <w:sz w:val="20"/>
                <w:szCs w:val="20"/>
              </w:rPr>
              <w:t>940410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2D582F54" w14:textId="77777777" w:rsidR="00EB64DA" w:rsidRPr="00DC0527" w:rsidRDefault="00EB64DA" w:rsidP="00DC0527">
            <w:pPr>
              <w:jc w:val="left"/>
              <w:rPr>
                <w:sz w:val="20"/>
                <w:szCs w:val="20"/>
              </w:rPr>
            </w:pPr>
            <w:r w:rsidRPr="00DC0527">
              <w:rPr>
                <w:sz w:val="20"/>
                <w:szCs w:val="20"/>
              </w:rPr>
              <w:t>31031100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2B1C7E69" w14:textId="77777777" w:rsidR="00EB64DA" w:rsidRPr="00DC0527" w:rsidRDefault="00EB64DA" w:rsidP="00DC0527">
            <w:pPr>
              <w:jc w:val="left"/>
              <w:rPr>
                <w:sz w:val="20"/>
                <w:szCs w:val="20"/>
              </w:rPr>
            </w:pPr>
            <w:r w:rsidRPr="00DC0527">
              <w:rPr>
                <w:sz w:val="20"/>
                <w:szCs w:val="20"/>
              </w:rPr>
              <w:t>Mattress supports (including wooden or metal frames fitted with springs or steel wire mesh, upholstered mattress bases, with wooden slats, divans)</w:t>
            </w:r>
          </w:p>
        </w:tc>
      </w:tr>
      <w:tr w:rsidR="00EB64DA" w:rsidRPr="004D0C63" w14:paraId="168F9225"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15EF918B" w14:textId="77777777" w:rsidR="00EB64DA" w:rsidRPr="00DC0527" w:rsidRDefault="00EB64DA" w:rsidP="00DC0527">
            <w:pPr>
              <w:jc w:val="left"/>
              <w:rPr>
                <w:sz w:val="20"/>
                <w:szCs w:val="20"/>
              </w:rPr>
            </w:pPr>
            <w:r w:rsidRPr="00DC0527">
              <w:rPr>
                <w:sz w:val="20"/>
                <w:szCs w:val="20"/>
              </w:rPr>
              <w:t>Mattresses: of cellular rubber or plastics, whether or not covered</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2AF3712" w14:textId="77777777" w:rsidR="00EB64DA" w:rsidRPr="00DC0527" w:rsidRDefault="00EB64DA" w:rsidP="00DC0527">
            <w:pPr>
              <w:jc w:val="left"/>
              <w:rPr>
                <w:sz w:val="20"/>
                <w:szCs w:val="20"/>
              </w:rPr>
            </w:pPr>
            <w:r w:rsidRPr="00DC0527">
              <w:rPr>
                <w:sz w:val="20"/>
                <w:szCs w:val="20"/>
              </w:rPr>
              <w:t>940421</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36E08282" w14:textId="77777777" w:rsidR="00EB64DA" w:rsidRPr="00DC0527" w:rsidRDefault="00EB64DA" w:rsidP="00DC0527">
            <w:pPr>
              <w:jc w:val="left"/>
              <w:rPr>
                <w:sz w:val="20"/>
                <w:szCs w:val="20"/>
              </w:rPr>
            </w:pPr>
            <w:r w:rsidRPr="00DC0527">
              <w:rPr>
                <w:sz w:val="20"/>
                <w:szCs w:val="20"/>
              </w:rPr>
              <w:t>31031230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DFB8E51" w14:textId="77777777" w:rsidR="00EB64DA" w:rsidRPr="00DC0527" w:rsidRDefault="00EB64DA" w:rsidP="00DC0527">
            <w:pPr>
              <w:jc w:val="left"/>
              <w:rPr>
                <w:sz w:val="20"/>
                <w:szCs w:val="20"/>
              </w:rPr>
            </w:pPr>
            <w:r w:rsidRPr="00DC0527">
              <w:rPr>
                <w:sz w:val="20"/>
                <w:szCs w:val="20"/>
              </w:rPr>
              <w:t>Mattresses of cellular rubber (including with a metal frame) (excluding water-mattresses, pneumatic mattresses)</w:t>
            </w:r>
          </w:p>
        </w:tc>
      </w:tr>
      <w:tr w:rsidR="00EB64DA" w:rsidRPr="004D0C63" w14:paraId="4EA74F5C"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1CE64B51"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49E42CE7" w14:textId="77777777" w:rsidR="00EB64DA" w:rsidRPr="00DC0527" w:rsidRDefault="00EB64DA" w:rsidP="00DC0527">
            <w:pPr>
              <w:jc w:val="left"/>
              <w:rPr>
                <w:sz w:val="20"/>
                <w:szCs w:val="20"/>
              </w:rPr>
            </w:pPr>
            <w:r w:rsidRPr="00DC0527">
              <w:rPr>
                <w:sz w:val="20"/>
                <w:szCs w:val="20"/>
              </w:rPr>
              <w:t>940421</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519B88E3" w14:textId="77777777" w:rsidR="00EB64DA" w:rsidRPr="00DC0527" w:rsidRDefault="00EB64DA" w:rsidP="00DC0527">
            <w:pPr>
              <w:jc w:val="left"/>
              <w:rPr>
                <w:sz w:val="20"/>
                <w:szCs w:val="20"/>
              </w:rPr>
            </w:pPr>
            <w:r w:rsidRPr="00DC0527">
              <w:rPr>
                <w:sz w:val="20"/>
                <w:szCs w:val="20"/>
              </w:rPr>
              <w:t>31031250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6DF46AD" w14:textId="77777777" w:rsidR="00EB64DA" w:rsidRPr="00DC0527" w:rsidRDefault="00EB64DA" w:rsidP="00DC0527">
            <w:pPr>
              <w:jc w:val="left"/>
              <w:rPr>
                <w:sz w:val="20"/>
                <w:szCs w:val="20"/>
              </w:rPr>
            </w:pPr>
            <w:r w:rsidRPr="00DC0527">
              <w:rPr>
                <w:sz w:val="20"/>
                <w:szCs w:val="20"/>
              </w:rPr>
              <w:t>Mattresses of cellular plastics (including with a metal frame) (excluding water-mattresses, pneumatic mattresses)</w:t>
            </w:r>
          </w:p>
        </w:tc>
      </w:tr>
      <w:tr w:rsidR="00EB64DA" w:rsidRPr="004D0C63" w14:paraId="26AE06A3"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039C6793" w14:textId="77777777" w:rsidR="00EB64DA" w:rsidRPr="00DC0527" w:rsidRDefault="00EB64DA" w:rsidP="00DC0527">
            <w:pPr>
              <w:jc w:val="left"/>
              <w:rPr>
                <w:sz w:val="20"/>
                <w:szCs w:val="20"/>
              </w:rPr>
            </w:pPr>
            <w:r w:rsidRPr="00DC0527">
              <w:rPr>
                <w:sz w:val="20"/>
                <w:szCs w:val="20"/>
              </w:rPr>
              <w:t>Mattresses: of other materials, not cellular rubber or plastics</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23E1C24" w14:textId="77777777" w:rsidR="00EB64DA" w:rsidRPr="00DC0527" w:rsidRDefault="00EB64DA" w:rsidP="00DC0527">
            <w:pPr>
              <w:jc w:val="left"/>
              <w:rPr>
                <w:sz w:val="20"/>
                <w:szCs w:val="20"/>
              </w:rPr>
            </w:pPr>
            <w:r w:rsidRPr="00DC0527">
              <w:rPr>
                <w:sz w:val="20"/>
                <w:szCs w:val="20"/>
              </w:rPr>
              <w:t>940429</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43CA4B39" w14:textId="77777777" w:rsidR="00EB64DA" w:rsidRPr="00DC0527" w:rsidRDefault="00EB64DA" w:rsidP="00DC0527">
            <w:pPr>
              <w:jc w:val="left"/>
              <w:rPr>
                <w:sz w:val="20"/>
                <w:szCs w:val="20"/>
              </w:rPr>
            </w:pPr>
            <w:r w:rsidRPr="00DC0527">
              <w:rPr>
                <w:sz w:val="20"/>
                <w:szCs w:val="20"/>
              </w:rPr>
              <w:t>31031270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42B4A1BF" w14:textId="4E13D83B" w:rsidR="00EB64DA" w:rsidRPr="00DC0527" w:rsidRDefault="00EB64DA" w:rsidP="00DC0527">
            <w:pPr>
              <w:jc w:val="left"/>
              <w:rPr>
                <w:sz w:val="20"/>
                <w:szCs w:val="20"/>
              </w:rPr>
            </w:pPr>
            <w:r w:rsidRPr="00DC0527">
              <w:rPr>
                <w:sz w:val="20"/>
                <w:szCs w:val="20"/>
              </w:rPr>
              <w:t>Mattresses with spring interiors (</w:t>
            </w:r>
            <w:r w:rsidR="00ED2067" w:rsidRPr="00DC0527">
              <w:rPr>
                <w:sz w:val="20"/>
                <w:szCs w:val="20"/>
              </w:rPr>
              <w:t>excluding</w:t>
            </w:r>
            <w:r w:rsidRPr="00DC0527">
              <w:rPr>
                <w:sz w:val="20"/>
                <w:szCs w:val="20"/>
              </w:rPr>
              <w:t xml:space="preserve"> cellular rubber or plastics)</w:t>
            </w:r>
          </w:p>
        </w:tc>
      </w:tr>
      <w:tr w:rsidR="00EB64DA" w:rsidRPr="004D0C63" w14:paraId="7222BD5C"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7D41646B" w14:textId="77777777" w:rsidR="00EB64DA" w:rsidRPr="00DC0527" w:rsidRDefault="00EB64DA" w:rsidP="00DC0527">
            <w:pPr>
              <w:jc w:val="left"/>
              <w:rPr>
                <w:sz w:val="20"/>
                <w:szCs w:val="20"/>
              </w:rPr>
            </w:pP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50B64878" w14:textId="77777777" w:rsidR="00EB64DA" w:rsidRPr="00DC0527" w:rsidRDefault="00EB64DA" w:rsidP="00DC0527">
            <w:pPr>
              <w:jc w:val="left"/>
              <w:rPr>
                <w:sz w:val="20"/>
                <w:szCs w:val="20"/>
              </w:rPr>
            </w:pPr>
            <w:r w:rsidRPr="00DC0527">
              <w:rPr>
                <w:sz w:val="20"/>
                <w:szCs w:val="20"/>
              </w:rPr>
              <w:t>940429</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7C06F723" w14:textId="77777777" w:rsidR="00EB64DA" w:rsidRPr="00DC0527" w:rsidRDefault="00EB64DA" w:rsidP="00DC0527">
            <w:pPr>
              <w:jc w:val="left"/>
              <w:rPr>
                <w:sz w:val="20"/>
                <w:szCs w:val="20"/>
              </w:rPr>
            </w:pPr>
            <w:r w:rsidRPr="00DC0527">
              <w:rPr>
                <w:sz w:val="20"/>
                <w:szCs w:val="20"/>
              </w:rPr>
              <w:t>31031290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3243E7DC" w14:textId="77777777" w:rsidR="00EB64DA" w:rsidRPr="00DC0527" w:rsidRDefault="00EB64DA" w:rsidP="00DC0527">
            <w:pPr>
              <w:jc w:val="left"/>
              <w:rPr>
                <w:sz w:val="20"/>
                <w:szCs w:val="20"/>
              </w:rPr>
            </w:pPr>
            <w:r w:rsidRPr="00DC0527">
              <w:rPr>
                <w:sz w:val="20"/>
                <w:szCs w:val="20"/>
              </w:rPr>
              <w:t>Mattresses (excluding with spring interiors, of cellular rubber or plastics)</w:t>
            </w:r>
          </w:p>
        </w:tc>
      </w:tr>
      <w:tr w:rsidR="00EB64DA" w:rsidRPr="004D0C63" w14:paraId="2378A131"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39C7557A" w14:textId="77777777" w:rsidR="00EB64DA" w:rsidRPr="00DC0527" w:rsidRDefault="00EB64DA" w:rsidP="00DC0527">
            <w:pPr>
              <w:jc w:val="left"/>
              <w:rPr>
                <w:sz w:val="20"/>
                <w:szCs w:val="20"/>
              </w:rPr>
            </w:pPr>
            <w:r w:rsidRPr="00DC0527">
              <w:rPr>
                <w:sz w:val="20"/>
                <w:szCs w:val="20"/>
              </w:rPr>
              <w:t>Furniture: plastic</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2F270841" w14:textId="77777777" w:rsidR="00EB64DA" w:rsidRPr="00DC0527" w:rsidRDefault="00EB64DA" w:rsidP="00DC0527">
            <w:pPr>
              <w:jc w:val="left"/>
              <w:rPr>
                <w:sz w:val="20"/>
                <w:szCs w:val="20"/>
              </w:rPr>
            </w:pPr>
            <w:r w:rsidRPr="00DC0527">
              <w:rPr>
                <w:sz w:val="20"/>
                <w:szCs w:val="20"/>
              </w:rPr>
              <w:t>940370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077484C7" w14:textId="77777777" w:rsidR="00EB64DA" w:rsidRPr="00DC0527" w:rsidRDefault="00EB64DA" w:rsidP="00DC0527">
            <w:pPr>
              <w:jc w:val="left"/>
              <w:rPr>
                <w:sz w:val="20"/>
                <w:szCs w:val="20"/>
              </w:rPr>
            </w:pPr>
            <w:r w:rsidRPr="00DC0527">
              <w:rPr>
                <w:sz w:val="20"/>
                <w:szCs w:val="20"/>
              </w:rPr>
              <w:t>31091430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1C166DA2" w14:textId="77777777" w:rsidR="00EB64DA" w:rsidRPr="00DC0527" w:rsidRDefault="00EB64DA" w:rsidP="00DC0527">
            <w:pPr>
              <w:jc w:val="left"/>
              <w:rPr>
                <w:sz w:val="20"/>
                <w:szCs w:val="20"/>
              </w:rPr>
            </w:pPr>
            <w:r w:rsidRPr="00DC0527">
              <w:rPr>
                <w:sz w:val="20"/>
                <w:szCs w:val="20"/>
              </w:rPr>
              <w:t>Furniture of plastics (excluding medical, surgical, dental or veterinary furniture — cases and cabinets specially designed for hi-fi systems, videos and televisions)</w:t>
            </w:r>
          </w:p>
        </w:tc>
      </w:tr>
      <w:tr w:rsidR="00EB64DA" w:rsidRPr="004D0C63" w14:paraId="092F4369" w14:textId="77777777" w:rsidTr="003D4266">
        <w:trPr>
          <w:trHeight w:val="315"/>
        </w:trPr>
        <w:tc>
          <w:tcPr>
            <w:tcW w:w="4952" w:type="dxa"/>
            <w:tcBorders>
              <w:top w:val="single" w:sz="6" w:space="0" w:color="CCCCCC"/>
              <w:left w:val="single" w:sz="6" w:space="0" w:color="CCCCCC"/>
              <w:bottom w:val="single" w:sz="6" w:space="0" w:color="CCCCCC"/>
              <w:right w:val="single" w:sz="6" w:space="0" w:color="D4D4D4"/>
            </w:tcBorders>
            <w:tcMar>
              <w:top w:w="30" w:type="dxa"/>
              <w:left w:w="45" w:type="dxa"/>
              <w:bottom w:w="30" w:type="dxa"/>
              <w:right w:w="45" w:type="dxa"/>
            </w:tcMar>
            <w:vAlign w:val="center"/>
            <w:hideMark/>
          </w:tcPr>
          <w:p w14:paraId="65CC9743" w14:textId="77777777" w:rsidR="00EB64DA" w:rsidRPr="00DC0527" w:rsidRDefault="00EB64DA" w:rsidP="00DC0527">
            <w:pPr>
              <w:jc w:val="left"/>
              <w:rPr>
                <w:sz w:val="20"/>
                <w:szCs w:val="20"/>
              </w:rPr>
            </w:pPr>
            <w:r w:rsidRPr="00DC0527">
              <w:rPr>
                <w:sz w:val="20"/>
                <w:szCs w:val="20"/>
              </w:rPr>
              <w:t>Furniture: materials n.e.s. in heading no. 9403, including cane, osier, bamboo or similar materials</w:t>
            </w:r>
          </w:p>
        </w:tc>
        <w:tc>
          <w:tcPr>
            <w:tcW w:w="732" w:type="dxa"/>
            <w:tcBorders>
              <w:top w:val="single" w:sz="6" w:space="0" w:color="CCCCCC"/>
              <w:left w:val="single" w:sz="6" w:space="0" w:color="CCCCCC"/>
              <w:bottom w:val="single" w:sz="6" w:space="0" w:color="D4D4D4"/>
              <w:right w:val="single" w:sz="6" w:space="0" w:color="D4D4D4"/>
            </w:tcBorders>
            <w:tcMar>
              <w:top w:w="30" w:type="dxa"/>
              <w:left w:w="45" w:type="dxa"/>
              <w:bottom w:w="30" w:type="dxa"/>
              <w:right w:w="45" w:type="dxa"/>
            </w:tcMar>
            <w:vAlign w:val="center"/>
            <w:hideMark/>
          </w:tcPr>
          <w:p w14:paraId="74D3C399" w14:textId="77777777" w:rsidR="00EB64DA" w:rsidRPr="00DC0527" w:rsidRDefault="00EB64DA" w:rsidP="00DC0527">
            <w:pPr>
              <w:jc w:val="left"/>
              <w:rPr>
                <w:sz w:val="20"/>
                <w:szCs w:val="20"/>
              </w:rPr>
            </w:pPr>
            <w:r w:rsidRPr="00DC0527">
              <w:rPr>
                <w:sz w:val="20"/>
                <w:szCs w:val="20"/>
              </w:rPr>
              <w:t>940380</w:t>
            </w:r>
          </w:p>
        </w:tc>
        <w:tc>
          <w:tcPr>
            <w:tcW w:w="1121" w:type="dxa"/>
            <w:tcBorders>
              <w:top w:val="single" w:sz="6" w:space="0" w:color="CCCCCC"/>
              <w:left w:val="single" w:sz="6" w:space="0" w:color="CCCCCC"/>
              <w:bottom w:val="single" w:sz="6" w:space="0" w:color="D4D4D4"/>
              <w:right w:val="single" w:sz="6" w:space="0" w:color="D0D0D0"/>
            </w:tcBorders>
            <w:tcMar>
              <w:top w:w="30" w:type="dxa"/>
              <w:left w:w="45" w:type="dxa"/>
              <w:bottom w:w="30" w:type="dxa"/>
              <w:right w:w="45" w:type="dxa"/>
            </w:tcMar>
            <w:vAlign w:val="center"/>
            <w:hideMark/>
          </w:tcPr>
          <w:p w14:paraId="7B03B1C0" w14:textId="77777777" w:rsidR="00EB64DA" w:rsidRPr="00DC0527" w:rsidRDefault="00EB64DA" w:rsidP="00DC0527">
            <w:pPr>
              <w:jc w:val="left"/>
              <w:rPr>
                <w:sz w:val="20"/>
                <w:szCs w:val="20"/>
              </w:rPr>
            </w:pPr>
            <w:r w:rsidRPr="00DC0527">
              <w:rPr>
                <w:sz w:val="20"/>
                <w:szCs w:val="20"/>
              </w:rPr>
              <w:t>31091450</w:t>
            </w:r>
          </w:p>
        </w:tc>
        <w:tc>
          <w:tcPr>
            <w:tcW w:w="8788" w:type="dxa"/>
            <w:tcBorders>
              <w:top w:val="single" w:sz="6" w:space="0" w:color="CCCCCC"/>
              <w:left w:val="single" w:sz="6" w:space="0" w:color="CCCCCC"/>
              <w:bottom w:val="single" w:sz="6" w:space="0" w:color="D0D0D0"/>
              <w:right w:val="single" w:sz="6" w:space="0" w:color="CCCCCC"/>
            </w:tcBorders>
            <w:tcMar>
              <w:top w:w="30" w:type="dxa"/>
              <w:left w:w="0" w:type="dxa"/>
              <w:bottom w:w="30" w:type="dxa"/>
              <w:right w:w="0" w:type="dxa"/>
            </w:tcMar>
            <w:vAlign w:val="center"/>
            <w:hideMark/>
          </w:tcPr>
          <w:p w14:paraId="57C7059D" w14:textId="77777777" w:rsidR="00EB64DA" w:rsidRPr="00DC0527" w:rsidRDefault="00EB64DA" w:rsidP="00DC0527">
            <w:pPr>
              <w:jc w:val="left"/>
              <w:rPr>
                <w:sz w:val="20"/>
                <w:szCs w:val="20"/>
              </w:rPr>
            </w:pPr>
            <w:r w:rsidRPr="00DC0527">
              <w:rPr>
                <w:sz w:val="20"/>
                <w:szCs w:val="20"/>
              </w:rPr>
              <w:t>Furniture of materials other than metal, wood or plastic (excluding seats, cases and cabinets specially designed for hi-fi systems, videos and televisions)</w:t>
            </w:r>
          </w:p>
        </w:tc>
      </w:tr>
    </w:tbl>
    <w:p w14:paraId="0C0E3E21" w14:textId="77777777" w:rsidR="0059571B" w:rsidRPr="004D0C63" w:rsidRDefault="0059571B" w:rsidP="00F85C35">
      <w:pPr>
        <w:sectPr w:rsidR="0059571B" w:rsidRPr="004D0C63" w:rsidSect="0059571B">
          <w:pgSz w:w="16838" w:h="11906" w:orient="landscape" w:code="9"/>
          <w:pgMar w:top="1440" w:right="1440" w:bottom="1440" w:left="1440" w:header="709" w:footer="709" w:gutter="0"/>
          <w:cols w:space="708"/>
          <w:docGrid w:linePitch="360"/>
        </w:sectPr>
      </w:pPr>
    </w:p>
    <w:p w14:paraId="795A8970" w14:textId="0BEFE2F9" w:rsidR="003412F7" w:rsidRPr="004D0C63" w:rsidRDefault="003412F7" w:rsidP="00DC0527">
      <w:pPr>
        <w:pStyle w:val="Heading2"/>
      </w:pPr>
      <w:bookmarkStart w:id="5" w:name="_Toc236230879"/>
      <w:r w:rsidRPr="004D0C63">
        <w:lastRenderedPageBreak/>
        <w:t>Starting data</w:t>
      </w:r>
      <w:bookmarkEnd w:id="5"/>
    </w:p>
    <w:p w14:paraId="0F62901C" w14:textId="61171FAB" w:rsidR="00FB03F5" w:rsidRPr="004D0C63" w:rsidRDefault="003F4762" w:rsidP="00F85C35">
      <w:r w:rsidRPr="004D0C63">
        <w:t>Starting data</w:t>
      </w:r>
      <w:r w:rsidR="00911BEE" w:rsidRPr="004D0C63">
        <w:t xml:space="preserve"> is obtained </w:t>
      </w:r>
      <w:r w:rsidR="00DE2B7D" w:rsidRPr="004D0C63">
        <w:t>from BACI</w:t>
      </w:r>
      <w:r w:rsidR="007A7B57" w:rsidRPr="004D0C63">
        <w:t xml:space="preserve"> and PRODCOM.</w:t>
      </w:r>
      <w:r w:rsidR="005963CF" w:rsidRPr="004D0C63">
        <w:t xml:space="preserve"> </w:t>
      </w:r>
      <w:r w:rsidR="007A7B57" w:rsidRPr="004D0C63">
        <w:t xml:space="preserve">For BACI we </w:t>
      </w:r>
      <w:r w:rsidR="005963CF" w:rsidRPr="004D0C63">
        <w:t>use the HS92</w:t>
      </w:r>
      <w:r w:rsidR="003E064D" w:rsidRPr="004D0C63">
        <w:t xml:space="preserve"> data from 2026, version 1 </w:t>
      </w:r>
      <w:r w:rsidR="00D05A19" w:rsidRPr="004D0C63">
        <w:fldChar w:fldCharType="begin"/>
      </w:r>
      <w:r w:rsidR="00D05A19" w:rsidRPr="004D0C63">
        <w:instrText xml:space="preserve"> ADDIN ZOTERO_ITEM CSL_CITATION {"citationID":"sP4jHgl3","properties":{"unsorted":false,"formattedCitation":"(CEPII, 2026)","plainCitation":"(CEPII, 2026)","noteIndex":0},"citationItems":[{"id":1554,"uris":["http://zotero.org/users/16823286/items/3CCCWYGX"],"itemData":{"id":1554,"type":"dataset","number":"BACI_HS92_Y202601","title":"BACI International Trade Database","URL":"https://www.cepii.fr/DATA_DOWNLOAD/baci/doc/baci_webpage.html","version":"1","author":[{"literal":"CEPII"}],"issued":{"date-parts":[["2026"]]}}}],"schema":"https://github.com/citation-style-language/schema/raw/master/csl-citation.json"} </w:instrText>
      </w:r>
      <w:r w:rsidR="00D05A19" w:rsidRPr="004D0C63">
        <w:fldChar w:fldCharType="separate"/>
      </w:r>
      <w:r w:rsidR="00D05A19" w:rsidRPr="004D0C63">
        <w:rPr>
          <w:rFonts w:ascii="Aptos" w:hAnsi="Aptos"/>
        </w:rPr>
        <w:t>(CEPII, 2026)</w:t>
      </w:r>
      <w:r w:rsidR="00D05A19" w:rsidRPr="004D0C63">
        <w:fldChar w:fldCharType="end"/>
      </w:r>
      <w:r w:rsidR="007A7B57" w:rsidRPr="004D0C63">
        <w:t>. P</w:t>
      </w:r>
      <w:r w:rsidR="00DE2B7D" w:rsidRPr="004D0C63">
        <w:t>roduction</w:t>
      </w:r>
      <w:r w:rsidR="00633FC1" w:rsidRPr="004D0C63">
        <w:t xml:space="preserve"> data</w:t>
      </w:r>
      <w:r w:rsidR="00DE2B7D" w:rsidRPr="004D0C63">
        <w:t xml:space="preserve"> is taken from the PRODCOM database </w:t>
      </w:r>
      <w:r w:rsidR="00DE2B7D" w:rsidRPr="004D0C63">
        <w:fldChar w:fldCharType="begin"/>
      </w:r>
      <w:r w:rsidR="001D2D0D" w:rsidRPr="004D0C63">
        <w:instrText xml:space="preserve"> ADDIN ZOTERO_ITEM CSL_CITATION {"citationID":"fuuo6RHg","properties":{"unsorted":false,"formattedCitation":"(Eurostat, 2026b)","plainCitation":"(Eurostat, 2026b)","noteIndex":0},"citationItems":[{"id":1364,"uris":["http://zotero.org/users/16823286/items/P9GZLI7I"],"itemData":{"id":1364,"type":"dataset","number":"ds-059358","title":"Sold production, exports and imports","URL":"https://ec.europa.eu/eurostat/databrowser/view/ds-059358/legacyMultiFreq/table?lang=en&amp;category=prom","author":[{"literal":"Eurostat"}],"issued":{"date-parts":[["2026"]]}}}],"schema":"https://github.com/citation-style-language/schema/raw/master/csl-citation.json"} </w:instrText>
      </w:r>
      <w:r w:rsidR="00DE2B7D" w:rsidRPr="004D0C63">
        <w:fldChar w:fldCharType="separate"/>
      </w:r>
      <w:r w:rsidR="001D2D0D" w:rsidRPr="004D0C63">
        <w:rPr>
          <w:rFonts w:ascii="Aptos" w:hAnsi="Aptos"/>
        </w:rPr>
        <w:t>(Eurostat, 2026b)</w:t>
      </w:r>
      <w:r w:rsidR="00DE2B7D" w:rsidRPr="004D0C63">
        <w:fldChar w:fldCharType="end"/>
      </w:r>
      <w:r w:rsidR="00DE2B7D" w:rsidRPr="004D0C63">
        <w:t>.</w:t>
      </w:r>
      <w:r w:rsidR="007B25E7" w:rsidRPr="004D0C63">
        <w:t xml:space="preserve"> </w:t>
      </w:r>
      <w:r w:rsidR="007F18E1" w:rsidRPr="004D0C63">
        <w:t>Both PRODCOM and BACI</w:t>
      </w:r>
      <w:r w:rsidR="007B25E7" w:rsidRPr="004D0C63">
        <w:t xml:space="preserve"> report </w:t>
      </w:r>
      <w:r w:rsidR="00396C00" w:rsidRPr="004D0C63">
        <w:t>data at the country and product level</w:t>
      </w:r>
      <w:r w:rsidR="00DB58F5" w:rsidRPr="004D0C63">
        <w:t xml:space="preserve"> in both physical and monetary units. PRODCOM</w:t>
      </w:r>
      <w:r w:rsidR="00396C00" w:rsidRPr="004D0C63">
        <w:t xml:space="preserve"> reports production amounts in number of items and euro, while BACI reports </w:t>
      </w:r>
      <w:r w:rsidR="009F66F2" w:rsidRPr="004D0C63">
        <w:t>imports and exports in kg and in USD (</w:t>
      </w:r>
      <w:r w:rsidR="00A527A6" w:rsidRPr="004D0C63">
        <w:fldChar w:fldCharType="begin"/>
      </w:r>
      <w:r w:rsidR="00A527A6" w:rsidRPr="004D0C63">
        <w:instrText xml:space="preserve"> REF _Ref232508355 \h </w:instrText>
      </w:r>
      <w:r w:rsidR="00A527A6" w:rsidRPr="004D0C63">
        <w:fldChar w:fldCharType="separate"/>
      </w:r>
      <w:r w:rsidR="00A527A6" w:rsidRPr="004D0C63">
        <w:t>Figure S2</w:t>
      </w:r>
      <w:r w:rsidR="00A527A6" w:rsidRPr="004D0C63">
        <w:fldChar w:fldCharType="end"/>
      </w:r>
      <w:r w:rsidR="009F66F2" w:rsidRPr="004D0C63">
        <w:t>).</w:t>
      </w:r>
    </w:p>
    <w:p w14:paraId="5664AE5A" w14:textId="4359782A" w:rsidR="00D674F3" w:rsidRPr="004D0C63" w:rsidRDefault="00D674F3" w:rsidP="00F85C35">
      <w:r w:rsidRPr="004D0C63">
        <w:rPr>
          <w:noProof/>
        </w:rPr>
        <w:drawing>
          <wp:inline distT="0" distB="0" distL="0" distR="0" wp14:anchorId="089CB448" wp14:editId="76CB3786">
            <wp:extent cx="6454140" cy="2813707"/>
            <wp:effectExtent l="0" t="0" r="3810" b="5715"/>
            <wp:docPr id="1458640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9581" cy="2824798"/>
                    </a:xfrm>
                    <a:prstGeom prst="rect">
                      <a:avLst/>
                    </a:prstGeom>
                    <a:noFill/>
                  </pic:spPr>
                </pic:pic>
              </a:graphicData>
            </a:graphic>
          </wp:inline>
        </w:drawing>
      </w:r>
    </w:p>
    <w:p w14:paraId="6F01BEFB" w14:textId="16310858" w:rsidR="006C5766" w:rsidRPr="004D0C63" w:rsidRDefault="00A527A6" w:rsidP="00F85C35">
      <w:pPr>
        <w:pStyle w:val="Caption"/>
      </w:pPr>
      <w:bookmarkStart w:id="6" w:name="_Ref232508355"/>
      <w:r w:rsidRPr="004D0C63">
        <w:t>Figure S</w:t>
      </w:r>
      <w:fldSimple w:instr=" SEQ Figure_S \* ARABIC ">
        <w:r w:rsidR="00A939E8" w:rsidRPr="004D0C63">
          <w:t>2</w:t>
        </w:r>
      </w:fldSimple>
      <w:bookmarkEnd w:id="6"/>
      <w:r w:rsidRPr="004D0C63">
        <w:t xml:space="preserve">. </w:t>
      </w:r>
      <w:r w:rsidR="003412F7" w:rsidRPr="004D0C63">
        <w:t xml:space="preserve">Graphical representation of the available </w:t>
      </w:r>
      <w:r w:rsidR="009F66F2" w:rsidRPr="004D0C63">
        <w:t>input data</w:t>
      </w:r>
      <w:r w:rsidR="000010CA" w:rsidRPr="004D0C63">
        <w:t>.</w:t>
      </w:r>
      <w:r w:rsidR="00545F49" w:rsidRPr="004D0C63">
        <w:t xml:space="preserve"> The </w:t>
      </w:r>
      <w:r w:rsidR="00ED2067" w:rsidRPr="004D0C63">
        <w:t>symbol ‘</w:t>
      </w:r>
      <w:r w:rsidR="0095058A">
        <w:t>#’</w:t>
      </w:r>
      <w:r w:rsidR="00545F49" w:rsidRPr="004D0C63">
        <w:t xml:space="preserve"> represents number of items.</w:t>
      </w:r>
    </w:p>
    <w:p w14:paraId="1FF5C432" w14:textId="757C18AD" w:rsidR="00D674F3" w:rsidRPr="004D0C63" w:rsidRDefault="00394FE4" w:rsidP="00DC0527">
      <w:pPr>
        <w:pStyle w:val="Heading2"/>
      </w:pPr>
      <w:bookmarkStart w:id="7" w:name="_Toc236230880"/>
      <w:r w:rsidRPr="004D0C63">
        <w:t>PRODCOM data cleaning</w:t>
      </w:r>
      <w:bookmarkEnd w:id="7"/>
    </w:p>
    <w:p w14:paraId="48EF6EE7" w14:textId="04FDAE26" w:rsidR="00225555" w:rsidRPr="004D0C63" w:rsidRDefault="00473967" w:rsidP="00F85C35">
      <w:r w:rsidRPr="004D0C63">
        <w:t>The first step in our methodology is processing the PRODCOM data. The data-cleaning process for the PRODCOM production data was performed in Python 3.12</w:t>
      </w:r>
      <w:r w:rsidR="00AC2BCE" w:rsidRPr="004D0C63">
        <w:t>.</w:t>
      </w:r>
    </w:p>
    <w:p w14:paraId="67E107A1" w14:textId="73CADF8F" w:rsidR="00F645B3" w:rsidRPr="00DC0527" w:rsidRDefault="00F645B3" w:rsidP="00F85C35">
      <w:pPr>
        <w:rPr>
          <w:b/>
          <w:bCs/>
        </w:rPr>
      </w:pPr>
      <w:r w:rsidRPr="00DC0527">
        <w:rPr>
          <w:b/>
          <w:bCs/>
        </w:rPr>
        <w:t xml:space="preserve">STEP 1: UNIT PRICE – estimate missing data in number of items </w:t>
      </w:r>
    </w:p>
    <w:p w14:paraId="67349BFD" w14:textId="1A49912F" w:rsidR="00FB4F54" w:rsidRPr="004D0C63" w:rsidRDefault="001D2D0D" w:rsidP="00F85C35">
      <w:r w:rsidRPr="004D0C63">
        <w:t>First</w:t>
      </w:r>
      <w:r w:rsidR="00C43FAB" w:rsidRPr="004D0C63">
        <w:t>,</w:t>
      </w:r>
      <w:r w:rsidRPr="004D0C63">
        <w:t xml:space="preserve"> monetary values (</w:t>
      </w:r>
      <w:r w:rsidRPr="004D0C63">
        <w:rPr>
          <w:i/>
          <w:iCs/>
        </w:rPr>
        <w:t>V</w:t>
      </w:r>
      <w:r w:rsidRPr="004D0C63">
        <w:t>) are deflated to the common year 2015 using</w:t>
      </w:r>
      <w:r w:rsidR="00C43FAB" w:rsidRPr="004D0C63">
        <w:t xml:space="preserve"> the</w:t>
      </w:r>
      <w:r w:rsidRPr="004D0C63">
        <w:t xml:space="preserve"> </w:t>
      </w:r>
      <w:r w:rsidR="00A95B28" w:rsidRPr="004D0C63">
        <w:t xml:space="preserve">average annual </w:t>
      </w:r>
      <w:r w:rsidR="005C283E" w:rsidRPr="004D0C63">
        <w:t>inflation index</w:t>
      </w:r>
      <w:r w:rsidR="00111D35" w:rsidRPr="004D0C63">
        <w:t xml:space="preserve"> for “furniture and </w:t>
      </w:r>
      <w:r w:rsidR="00086A82" w:rsidRPr="004D0C63">
        <w:t>furnishings</w:t>
      </w:r>
      <w:r w:rsidR="00111D35" w:rsidRPr="004D0C63">
        <w:t xml:space="preserve">” </w:t>
      </w:r>
      <w:r w:rsidR="00086A82" w:rsidRPr="004D0C63">
        <w:t xml:space="preserve">under the </w:t>
      </w:r>
      <w:r w:rsidR="00E1705C" w:rsidRPr="004D0C63">
        <w:t xml:space="preserve">Classification of Individual Consumption by Purpose </w:t>
      </w:r>
      <w:r w:rsidR="00086A82" w:rsidRPr="004D0C63">
        <w:t xml:space="preserve">(COICOP) with </w:t>
      </w:r>
      <w:r w:rsidR="00E1705C" w:rsidRPr="004D0C63">
        <w:t xml:space="preserve">the </w:t>
      </w:r>
      <w:r w:rsidR="00086A82" w:rsidRPr="004D0C63">
        <w:t xml:space="preserve">code </w:t>
      </w:r>
      <w:r w:rsidR="00111D35" w:rsidRPr="004D0C63">
        <w:t>CP0511</w:t>
      </w:r>
      <w:r w:rsidRPr="004D0C63">
        <w:t xml:space="preserve"> </w:t>
      </w:r>
      <w:r w:rsidRPr="004D0C63">
        <w:fldChar w:fldCharType="begin"/>
      </w:r>
      <w:r w:rsidRPr="004D0C63">
        <w:instrText xml:space="preserve"> ADDIN ZOTERO_ITEM CSL_CITATION {"citationID":"AX9OekjH","properties":{"unsorted":false,"formattedCitation":"(Eurostat, 2026a)","plainCitation":"(Eurostat, 2026a)","noteIndex":0},"citationItems":[{"id":1399,"uris":["http://zotero.org/users/16823286/items/TQJIMP25"],"itemData":{"id":1399,"type":"dataset","DOI":"https://doi.org/10.2908/PRC_HICP_AIND","number":"prc_hicp_aind","title":"HICP - annual data (average index and rate of change)","URL":"https://ec.europa.eu/eurostat/databrowser/view/prc_hicp_aind/default/table?lang=en","author":[{"literal":"Eurostat"}],"issued":{"date-parts":[["2026"]]}}}],"schema":"https://github.com/citation-style-language/schema/raw/master/csl-citation.json"} </w:instrText>
      </w:r>
      <w:r w:rsidRPr="004D0C63">
        <w:fldChar w:fldCharType="separate"/>
      </w:r>
      <w:r w:rsidRPr="004D0C63">
        <w:rPr>
          <w:rFonts w:ascii="Aptos" w:hAnsi="Aptos"/>
        </w:rPr>
        <w:t>(Eurostat, 2026a)</w:t>
      </w:r>
      <w:r w:rsidRPr="004D0C63">
        <w:fldChar w:fldCharType="end"/>
      </w:r>
      <w:r w:rsidR="00086A82" w:rsidRPr="004D0C63">
        <w:t>.</w:t>
      </w:r>
      <w:r w:rsidR="003D6A1B" w:rsidRPr="004D0C63">
        <w:t xml:space="preserve"> The database provides an index (</w:t>
      </w:r>
      <w:r w:rsidR="003D6A1B" w:rsidRPr="004D0C63">
        <w:rPr>
          <w:i/>
          <w:iCs/>
        </w:rPr>
        <w:t>I</w:t>
      </w:r>
      <w:r w:rsidR="003D6A1B" w:rsidRPr="004D0C63">
        <w:t>)</w:t>
      </w:r>
      <w:r w:rsidR="0083621C" w:rsidRPr="004D0C63">
        <w:t>,</w:t>
      </w:r>
      <w:r w:rsidR="003D6A1B" w:rsidRPr="004D0C63">
        <w:t xml:space="preserve"> per year (</w:t>
      </w:r>
      <w:r w:rsidR="003D6A1B" w:rsidRPr="004D0C63">
        <w:rPr>
          <w:i/>
          <w:iCs/>
        </w:rPr>
        <w:t>t</w:t>
      </w:r>
      <w:r w:rsidR="003D6A1B" w:rsidRPr="004D0C63">
        <w:t>)</w:t>
      </w:r>
      <w:r w:rsidR="0083621C" w:rsidRPr="004D0C63">
        <w:t>, and</w:t>
      </w:r>
      <w:r w:rsidR="003D6A1B" w:rsidRPr="004D0C63">
        <w:t xml:space="preserve"> per country (</w:t>
      </w:r>
      <w:r w:rsidR="003D6A1B" w:rsidRPr="004D0C63">
        <w:rPr>
          <w:i/>
          <w:iCs/>
        </w:rPr>
        <w:t>c</w:t>
      </w:r>
      <w:r w:rsidR="003D6A1B" w:rsidRPr="004D0C63">
        <w:t>), such that for each product (</w:t>
      </w:r>
      <w:r w:rsidR="003D6A1B" w:rsidRPr="004D0C63">
        <w:rPr>
          <w:i/>
          <w:iCs/>
        </w:rPr>
        <w:t>p</w:t>
      </w:r>
      <w:r w:rsidR="003D6A1B" w:rsidRPr="004D0C63">
        <w:t xml:space="preserve">) produced we deflate value </w:t>
      </w:r>
      <w:r w:rsidR="00616813" w:rsidRPr="004D0C63">
        <w:t>as follows:</w:t>
      </w:r>
    </w:p>
    <w:p w14:paraId="19DA9C71" w14:textId="41EAA121" w:rsidR="00A47237" w:rsidRPr="004D0C63" w:rsidRDefault="00000000" w:rsidP="00F85C35">
      <w:pPr>
        <w:rPr>
          <w:rFonts w:eastAsiaTheme="minorEastAsia"/>
        </w:rPr>
      </w:pPr>
      <m:oMathPara>
        <m:oMath>
          <m:sSubSup>
            <m:sSubSupPr>
              <m:ctrlPr>
                <w:rPr>
                  <w:rFonts w:ascii="Cambria Math" w:hAnsi="Cambria Math"/>
                </w:rPr>
              </m:ctrlPr>
            </m:sSubSup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up>
              <m:r>
                <m:rPr>
                  <m:sty m:val="p"/>
                </m:rPr>
                <w:rPr>
                  <w:rFonts w:ascii="Cambria Math" w:hAnsi="Cambria Math"/>
                </w:rPr>
                <m:t>2015​</m:t>
              </m:r>
            </m:sup>
          </m:sSubSup>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f>
            <m:fPr>
              <m:ctrlPr>
                <w:rPr>
                  <w:rFonts w:ascii="Cambria Math" w:hAnsi="Cambria Math"/>
                </w:rPr>
              </m:ctrlPr>
            </m:fPr>
            <m:num>
              <m:r>
                <m:rPr>
                  <m:sty m:val="p"/>
                </m:rPr>
                <w:rPr>
                  <w:rFonts w:ascii="Cambria Math" w:hAnsi="Cambria Math"/>
                </w:rPr>
                <m:t>100</m:t>
              </m:r>
            </m:num>
            <m:den>
              <m:sSub>
                <m:sSubPr>
                  <m:ctrlPr>
                    <w:rPr>
                      <w:rFonts w:ascii="Cambria Math" w:hAnsi="Cambria Math"/>
                    </w:rPr>
                  </m:ctrlPr>
                </m:sSubPr>
                <m:e>
                  <m:r>
                    <w:rPr>
                      <w:rFonts w:ascii="Cambria Math" w:hAnsi="Cambria Math"/>
                    </w:rPr>
                    <m:t>I</m:t>
                  </m:r>
                </m:e>
                <m:sub>
                  <m:r>
                    <w:rPr>
                      <w:rFonts w:ascii="Cambria Math" w:hAnsi="Cambria Math"/>
                    </w:rPr>
                    <m:t>t</m:t>
                  </m:r>
                  <m:r>
                    <m:rPr>
                      <m:sty m:val="p"/>
                    </m:rPr>
                    <w:rPr>
                      <w:rFonts w:ascii="Cambria Math" w:hAnsi="Cambria Math"/>
                    </w:rPr>
                    <m:t>,</m:t>
                  </m:r>
                  <m:r>
                    <w:rPr>
                      <w:rFonts w:ascii="Cambria Math" w:hAnsi="Cambria Math"/>
                    </w:rPr>
                    <m:t>c</m:t>
                  </m:r>
                </m:sub>
              </m:sSub>
            </m:den>
          </m:f>
          <m:r>
            <m:rPr>
              <m:sty m:val="p"/>
            </m:rPr>
            <w:rPr>
              <w:rFonts w:ascii="Cambria Math" w:hAnsi="Cambria Math"/>
            </w:rPr>
            <m:t>​</m:t>
          </m:r>
        </m:oMath>
      </m:oMathPara>
    </w:p>
    <w:p w14:paraId="2CFD68A6" w14:textId="6B9A1136" w:rsidR="00A06F27" w:rsidRPr="004D0C63" w:rsidRDefault="00E5365E" w:rsidP="00F85C35">
      <w:r w:rsidRPr="004D0C63">
        <w:t xml:space="preserve">Where </w:t>
      </w:r>
      <m:oMath>
        <m:sSubSup>
          <m:sSubSupPr>
            <m:ctrlPr>
              <w:rPr>
                <w:rFonts w:ascii="Cambria Math" w:hAnsi="Cambria Math"/>
              </w:rPr>
            </m:ctrlPr>
          </m:sSubSupPr>
          <m:e>
            <m:r>
              <w:rPr>
                <w:rFonts w:ascii="Cambria Math" w:hAnsi="Cambria Math"/>
              </w:rPr>
              <m:t>V</m:t>
            </m:r>
          </m:e>
          <m:sub>
            <m:r>
              <w:rPr>
                <w:rFonts w:ascii="Cambria Math" w:hAnsi="Cambria Math"/>
              </w:rPr>
              <m:t>t,c,p</m:t>
            </m:r>
          </m:sub>
          <m:sup>
            <m:r>
              <w:rPr>
                <w:rFonts w:ascii="Cambria Math" w:hAnsi="Cambria Math"/>
              </w:rPr>
              <m:t>2015</m:t>
            </m:r>
          </m:sup>
        </m:sSubSup>
      </m:oMath>
      <w:r w:rsidR="004D3041" w:rsidRPr="004D0C63">
        <w:t>is the inflation-adjusted production value.</w:t>
      </w:r>
    </w:p>
    <w:p w14:paraId="78FE297C" w14:textId="7FEF454F" w:rsidR="004D3041" w:rsidRPr="004D0C63" w:rsidRDefault="004D3041" w:rsidP="00F85C35">
      <w:r w:rsidRPr="004D0C63">
        <w:t>A unit price</w:t>
      </w:r>
      <w:r w:rsidR="00473967" w:rsidRPr="004D0C63">
        <w:t xml:space="preserve"> (UP)</w:t>
      </w:r>
      <w:r w:rsidR="009C1E7F" w:rsidRPr="004D0C63">
        <w:t xml:space="preserve"> (i.e. the price of a single item)</w:t>
      </w:r>
      <w:r w:rsidRPr="004D0C63">
        <w:t xml:space="preserve"> is then defined for each year-product-country observation as the ratio between the deflated value of production and the corresponding </w:t>
      </w:r>
      <w:r w:rsidR="009C1E7F" w:rsidRPr="004D0C63">
        <w:t>number of items</w:t>
      </w:r>
      <w:r w:rsidR="00B22462" w:rsidRPr="004D0C63">
        <w:t xml:space="preserve"> (</w:t>
      </w:r>
      <w:r w:rsidR="00B22462" w:rsidRPr="004D0C63">
        <w:rPr>
          <w:i/>
          <w:iCs/>
        </w:rPr>
        <w:t>Q</w:t>
      </w:r>
      <w:r w:rsidR="00B22462" w:rsidRPr="004D0C63">
        <w:t>)</w:t>
      </w:r>
      <w:r w:rsidR="009C1E7F" w:rsidRPr="004D0C63">
        <w:t>:</w:t>
      </w:r>
    </w:p>
    <w:p w14:paraId="03DD2A37" w14:textId="77777777" w:rsidR="00B22462" w:rsidRPr="004D0C63" w:rsidRDefault="00B22462" w:rsidP="00F85C35">
      <m:oMathPara>
        <m:oMath>
          <m:r>
            <w:rPr>
              <w:rFonts w:ascii="Cambria Math" w:hAnsi="Cambria Math"/>
            </w:rPr>
            <m:t>U</m:t>
          </m:r>
          <m:sSub>
            <m:sSubPr>
              <m:ctrlPr>
                <w:rPr>
                  <w:rFonts w:ascii="Cambria Math" w:hAnsi="Cambria Math"/>
                </w:rPr>
              </m:ctrlPr>
            </m:sSubPr>
            <m:e>
              <m:r>
                <w:rPr>
                  <w:rFonts w:ascii="Cambria Math" w:hAnsi="Cambria Math"/>
                </w:rPr>
                <m:t>P</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up>
                  <m:r>
                    <m:rPr>
                      <m:sty m:val="p"/>
                    </m:rPr>
                    <w:rPr>
                      <w:rFonts w:ascii="Cambria Math" w:hAnsi="Cambria Math"/>
                    </w:rPr>
                    <m:t>2015</m:t>
                  </m:r>
                </m:sup>
              </m:sSubSup>
            </m:num>
            <m:den>
              <m:sSub>
                <m:sSubPr>
                  <m:ctrlPr>
                    <w:rPr>
                      <w:rFonts w:ascii="Cambria Math" w:hAnsi="Cambria Math"/>
                    </w:rPr>
                  </m:ctrlPr>
                </m:sSubPr>
                <m:e>
                  <m:r>
                    <w:rPr>
                      <w:rFonts w:ascii="Cambria Math" w:hAnsi="Cambria Math"/>
                    </w:rPr>
                    <m:t>Q</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den>
          </m:f>
        </m:oMath>
      </m:oMathPara>
    </w:p>
    <w:p w14:paraId="334D6B01" w14:textId="71EDBCB6" w:rsidR="00B22462" w:rsidRPr="004D0C63" w:rsidRDefault="00B95026" w:rsidP="00F85C35">
      <w:r w:rsidRPr="004D0C63">
        <w:t>Results are restricted to UPs with positive, non-zero, and finite values</w:t>
      </w:r>
      <w:r w:rsidR="007D2077" w:rsidRPr="004D0C63">
        <w:t xml:space="preserve">. For each country–product combination, </w:t>
      </w:r>
      <w:r w:rsidR="00AE0C5C" w:rsidRPr="004D0C63">
        <w:t xml:space="preserve">we obtain </w:t>
      </w:r>
      <w:r w:rsidR="007D2077" w:rsidRPr="004D0C63">
        <w:t xml:space="preserve">a time series of unit prices. This time series represents the UP of single products </w:t>
      </w:r>
      <w:r w:rsidR="007D2077" w:rsidRPr="004D0C63">
        <w:lastRenderedPageBreak/>
        <w:t xml:space="preserve">in specific countries </w:t>
      </w:r>
      <w:r w:rsidR="00111925" w:rsidRPr="004D0C63">
        <w:t xml:space="preserve">(e.g. the unit price of swivel chairs in Spain) </w:t>
      </w:r>
      <w:r w:rsidR="007D2077" w:rsidRPr="004D0C63">
        <w:t>throughout the years</w:t>
      </w:r>
      <w:r w:rsidR="00111925" w:rsidRPr="004D0C63">
        <w:t>.</w:t>
      </w:r>
      <w:r w:rsidR="007D2077" w:rsidRPr="004D0C63">
        <w:t xml:space="preserve"> </w:t>
      </w:r>
      <w:r w:rsidR="00AE0C5C" w:rsidRPr="004D0C63">
        <w:t xml:space="preserve">We use Huber regression to obtain </w:t>
      </w:r>
      <w:r w:rsidR="009B6B7F" w:rsidRPr="004D0C63">
        <w:t>a model function</w:t>
      </w:r>
      <w:r w:rsidR="00CB43E8" w:rsidRPr="004D0C63">
        <w:t xml:space="preserve"> </w:t>
      </w:r>
      <m:oMath>
        <m:r>
          <w:rPr>
            <w:rFonts w:ascii="Cambria Math" w:hAnsi="Cambria Math"/>
          </w:rPr>
          <m:t>H</m:t>
        </m:r>
        <m:d>
          <m:dPr>
            <m:ctrlPr>
              <w:rPr>
                <w:rFonts w:ascii="Cambria Math" w:hAnsi="Cambria Math"/>
              </w:rPr>
            </m:ctrlPr>
          </m:dPr>
          <m:e>
            <m:r>
              <w:rPr>
                <w:rFonts w:ascii="Cambria Math" w:hAnsi="Cambria Math"/>
              </w:rPr>
              <m:t>t</m:t>
            </m:r>
          </m:e>
        </m:d>
      </m:oMath>
      <w:r w:rsidR="00CB43E8" w:rsidRPr="004D0C63">
        <w:t>such that</w:t>
      </w:r>
      <w:r w:rsidR="009B6B7F" w:rsidRPr="004D0C63">
        <w:t xml:space="preserve">: </w:t>
      </w:r>
    </w:p>
    <w:p w14:paraId="092CD6E7" w14:textId="76CAD43E" w:rsidR="00621FAF" w:rsidRPr="004D0C63" w:rsidRDefault="00621FAF" w:rsidP="00F85C35">
      <m:oMathPara>
        <m:oMath>
          <m:r>
            <w:rPr>
              <w:rFonts w:ascii="Cambria Math" w:hAnsi="Cambria Math"/>
            </w:rPr>
            <m:t>U</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oMath>
      </m:oMathPara>
    </w:p>
    <w:p w14:paraId="5E9B1E02" w14:textId="275E3F20" w:rsidR="00E4783D" w:rsidRPr="004D0C63" w:rsidRDefault="005571CC" w:rsidP="00F85C35">
      <w:r w:rsidRPr="004D0C63">
        <w:t>To</w:t>
      </w:r>
      <w:r w:rsidR="00D5170E" w:rsidRPr="004D0C63">
        <w:t xml:space="preserve"> perform Huber regression, a </w:t>
      </w:r>
      <w:r w:rsidR="005D5EA6" w:rsidRPr="004D0C63">
        <w:t xml:space="preserve">Huber </w:t>
      </w:r>
      <w:r w:rsidR="00D5170E" w:rsidRPr="004D0C63">
        <w:t>loss threshold</w:t>
      </w:r>
      <w:r w:rsidR="00D925DF" w:rsidRPr="004D0C63">
        <w:t xml:space="preserve"> (or robustness parameter</w:t>
      </w:r>
      <w:r w:rsidR="00F444B4" w:rsidRPr="004D0C63">
        <w:t>)</w:t>
      </w:r>
      <w:r w:rsidR="00D5170E" w:rsidRPr="004D0C63">
        <w:t xml:space="preserve"> must be </w:t>
      </w:r>
      <w:r w:rsidR="00400180" w:rsidRPr="004D0C63">
        <w:t>specified</w:t>
      </w:r>
      <w:r w:rsidR="004542B7" w:rsidRPr="004D0C63">
        <w:t xml:space="preserve"> to determine the severity of outlier penalization. </w:t>
      </w:r>
      <w:r w:rsidR="00805E68" w:rsidRPr="004D0C63">
        <w:t xml:space="preserve">It must be higher than 1, the smaller </w:t>
      </w:r>
      <w:r w:rsidR="005D5EA6" w:rsidRPr="004D0C63">
        <w:t>this parameter</w:t>
      </w:r>
      <w:r w:rsidR="00085222" w:rsidRPr="004D0C63">
        <w:t xml:space="preserve">, </w:t>
      </w:r>
      <w:r w:rsidR="00D47553" w:rsidRPr="004D0C63">
        <w:t xml:space="preserve">the more aggressively </w:t>
      </w:r>
      <w:r w:rsidR="005D5EA6" w:rsidRPr="004D0C63">
        <w:t>large residuals are</w:t>
      </w:r>
      <w:r w:rsidR="00D47553" w:rsidRPr="004D0C63">
        <w:t xml:space="preserve"> </w:t>
      </w:r>
      <w:r w:rsidRPr="004D0C63">
        <w:t>downweighed</w:t>
      </w:r>
      <w:r w:rsidR="00D47553" w:rsidRPr="004D0C63">
        <w:t xml:space="preserve">. </w:t>
      </w:r>
      <w:r w:rsidR="00E4783D" w:rsidRPr="004D0C63">
        <w:t>We determine this dynamically for every UP time series as:</w:t>
      </w:r>
    </w:p>
    <w:p w14:paraId="2B1A4D4F" w14:textId="378C9EC9" w:rsidR="009A49E5" w:rsidRPr="004D0C63" w:rsidRDefault="0094556A" w:rsidP="00F85C35">
      <m:oMathPara>
        <m:oMath>
          <m:r>
            <w:rPr>
              <w:rFonts w:ascii="Cambria Math" w:hAnsi="Cambria Math"/>
            </w:rPr>
            <m:t>Huber</m:t>
          </m:r>
          <m:r>
            <m:rPr>
              <m:sty m:val="p"/>
            </m:rPr>
            <w:rPr>
              <w:rFonts w:ascii="Cambria Math" w:hAnsi="Cambria Math"/>
            </w:rPr>
            <m:t xml:space="preserve"> </m:t>
          </m:r>
          <m:sSub>
            <m:sSubPr>
              <m:ctrlPr>
                <w:rPr>
                  <w:rFonts w:ascii="Cambria Math" w:hAnsi="Cambria Math"/>
                </w:rPr>
              </m:ctrlPr>
            </m:sSubPr>
            <m:e>
              <m:r>
                <w:rPr>
                  <w:rFonts w:ascii="Cambria Math" w:hAnsi="Cambria Math"/>
                </w:rPr>
                <m:t>loss</m:t>
              </m:r>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max</m:t>
          </m:r>
          <m:d>
            <m:dPr>
              <m:ctrlPr>
                <w:rPr>
                  <w:rFonts w:ascii="Cambria Math" w:hAnsi="Cambria Math"/>
                </w:rPr>
              </m:ctrlPr>
            </m:dPr>
            <m:e>
              <m:r>
                <m:rPr>
                  <m:sty m:val="p"/>
                </m:rPr>
                <w:rPr>
                  <w:rFonts w:ascii="Cambria Math" w:hAnsi="Cambria Math"/>
                </w:rPr>
                <m:t>1.35,</m:t>
              </m:r>
              <m:f>
                <m:fPr>
                  <m:ctrlPr>
                    <w:rPr>
                      <w:rFonts w:ascii="Cambria Math" w:hAnsi="Cambria Math"/>
                    </w:rPr>
                  </m:ctrlPr>
                </m:fPr>
                <m:num>
                  <m:r>
                    <w:rPr>
                      <w:rFonts w:ascii="Cambria Math" w:hAnsi="Cambria Math"/>
                    </w:rPr>
                    <m:t>MAD</m:t>
                  </m:r>
                  <m:d>
                    <m:dPr>
                      <m:ctrlPr>
                        <w:rPr>
                          <w:rFonts w:ascii="Cambria Math" w:hAnsi="Cambria Math"/>
                        </w:rPr>
                      </m:ctrlPr>
                    </m:dPr>
                    <m:e>
                      <m:r>
                        <w:rPr>
                          <w:rFonts w:ascii="Cambria Math" w:hAnsi="Cambria Math"/>
                        </w:rPr>
                        <m:t>U</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e>
                  </m:d>
                </m:num>
                <m:den>
                  <m:r>
                    <w:rPr>
                      <w:rFonts w:ascii="Cambria Math" w:hAnsi="Cambria Math"/>
                    </w:rPr>
                    <m:t>max</m:t>
                  </m:r>
                  <m:d>
                    <m:dPr>
                      <m:ctrlPr>
                        <w:rPr>
                          <w:rFonts w:ascii="Cambria Math" w:hAnsi="Cambria Math"/>
                        </w:rPr>
                      </m:ctrlPr>
                    </m:dPr>
                    <m:e>
                      <m:r>
                        <w:rPr>
                          <w:rFonts w:ascii="Cambria Math" w:hAnsi="Cambria Math"/>
                        </w:rPr>
                        <m:t>U</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e>
                  </m:d>
                  <m:r>
                    <m:rPr>
                      <m:sty m:val="p"/>
                    </m:rPr>
                    <w:rPr>
                      <w:rFonts w:ascii="Cambria Math" w:hAnsi="Cambria Math"/>
                    </w:rPr>
                    <m:t>-</m:t>
                  </m:r>
                  <m:r>
                    <w:rPr>
                      <w:rFonts w:ascii="Cambria Math" w:hAnsi="Cambria Math"/>
                    </w:rPr>
                    <m:t>min</m:t>
                  </m:r>
                  <m:d>
                    <m:dPr>
                      <m:ctrlPr>
                        <w:rPr>
                          <w:rFonts w:ascii="Cambria Math" w:hAnsi="Cambria Math"/>
                        </w:rPr>
                      </m:ctrlPr>
                    </m:dPr>
                    <m:e>
                      <m:r>
                        <w:rPr>
                          <w:rFonts w:ascii="Cambria Math" w:hAnsi="Cambria Math"/>
                        </w:rPr>
                        <m:t>U</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e>
                  </m:d>
                </m:den>
              </m:f>
              <m:r>
                <m:rPr>
                  <m:sty m:val="p"/>
                </m:rPr>
                <w:rPr>
                  <w:rFonts w:ascii="Cambria Math" w:hAnsi="Cambria Math"/>
                </w:rPr>
                <m:t>*10</m:t>
              </m:r>
            </m:e>
          </m:d>
        </m:oMath>
      </m:oMathPara>
    </w:p>
    <w:p w14:paraId="74A718B1" w14:textId="0536168B" w:rsidR="00D47553" w:rsidRPr="004D0C63" w:rsidRDefault="00D47553" w:rsidP="00F85C35">
      <w:r w:rsidRPr="004D0C63">
        <w:t xml:space="preserve">Where MAD is the median absolute </w:t>
      </w:r>
      <w:r w:rsidR="000D3C93" w:rsidRPr="004D0C63">
        <w:t>deviation</w:t>
      </w:r>
      <w:r w:rsidRPr="004D0C63">
        <w:t>.</w:t>
      </w:r>
      <w:r w:rsidR="008F3960" w:rsidRPr="004D0C63">
        <w:t xml:space="preserve"> This is a reasonable way to define </w:t>
      </w:r>
      <w:r w:rsidR="00206323" w:rsidRPr="004D0C63">
        <w:t>Huber loss</w:t>
      </w:r>
      <w:r w:rsidR="008F3960" w:rsidRPr="004D0C63">
        <w:t xml:space="preserve"> because it adapts </w:t>
      </w:r>
      <w:r w:rsidR="00206323" w:rsidRPr="004D0C63">
        <w:t xml:space="preserve">to </w:t>
      </w:r>
      <w:r w:rsidR="008F3960" w:rsidRPr="004D0C63">
        <w:t>the relative dispersion of UP time series, ensuring that the influence of outliers is scaled according to the variability of the data</w:t>
      </w:r>
      <w:r w:rsidR="00116595" w:rsidRPr="004D0C63">
        <w:t xml:space="preserve"> </w:t>
      </w:r>
      <w:r w:rsidR="00F10C34" w:rsidRPr="004D0C63">
        <w:fldChar w:fldCharType="begin"/>
      </w:r>
      <w:r w:rsidR="00F10C34" w:rsidRPr="004D0C63">
        <w:instrText xml:space="preserve"> ADDIN ZOTERO_ITEM CSL_CITATION {"citationID":"sfPLbZJE","properties":{"unsorted":false,"formattedCitation":"(Sun et al., 2020)","plainCitation":"(Sun et al., 2020)","noteIndex":0},"citationItems":[{"id":1561,"uris":["http://zotero.org/users/16823286/items/SDUEUP65"],"itemData":{"id":1561,"type":"article-journal","abstract":"Big data can easily be contaminated by outliers or contain variables with heavy-tailed distributions, which makes many conventional methods inadequate. To address this challenge, we propose the adaptive Huber regression for robust estimation and inference. The key observation is that the robustification parameter should adapt to the sample size, dimension and moments for optimal tradeoff between bias and robustness. Our theoretical framework deals with heavy-tailed distributions with bounded (1 + δ)-th moment for any δ &gt; 0. We establish a sharp phase transition for robust estimation of regression parameters in both low and high dimensions: when δ ≥ 1, the estimator admits a sub-Gaussian-type deviation bound without sub-Gaussian assumptions on the data, while only a slower rate is available in the regime 0 &lt; δ &lt; 1 and the transition is smooth and optimal. In addition, we extend the methodology to allow both heavy-tailed predictors and observation noise. Simulation studies lend further support to the theory. In a genetic study of cancer cell lines that exhibit heavy-tailedness, the proposed methods are shown to be more robust and predictive.","container-title":"Journal of the American Statistical Association","DOI":"10.1080/01621459.2018.1543124","ISSN":"0162-1459","issue":"529","journalAbbreviation":"J Am Stat Assoc","page":"254-265","PMID":"33139964","PMCID":"PMC7603940","source":"PubMed Central","title":"Adaptive Huber Regression","volume":"115","author":[{"family":"Sun","given":"Qiang"},{"family":"Zhou","given":"Wen-Xin"},{"family":"Fan","given":"Jianqing"}],"issued":{"date-parts":[["2020"]]}}}],"schema":"https://github.com/citation-style-language/schema/raw/master/csl-citation.json"} </w:instrText>
      </w:r>
      <w:r w:rsidR="00F10C34" w:rsidRPr="004D0C63">
        <w:fldChar w:fldCharType="separate"/>
      </w:r>
      <w:r w:rsidR="00F10C34" w:rsidRPr="004D0C63">
        <w:rPr>
          <w:rFonts w:ascii="Aptos" w:hAnsi="Aptos"/>
        </w:rPr>
        <w:t>(Sun et al., 2020)</w:t>
      </w:r>
      <w:r w:rsidR="00F10C34" w:rsidRPr="004D0C63">
        <w:fldChar w:fldCharType="end"/>
      </w:r>
      <w:r w:rsidR="008F3960" w:rsidRPr="004D0C63">
        <w:t>. We set a min</w:t>
      </w:r>
      <w:r w:rsidR="009F2EB2" w:rsidRPr="004D0C63">
        <w:t>imum</w:t>
      </w:r>
      <w:r w:rsidR="008F3960" w:rsidRPr="004D0C63">
        <w:t xml:space="preserve"> of 1.35 as a standard</w:t>
      </w:r>
      <w:r w:rsidR="009F2EB2" w:rsidRPr="004D0C63">
        <w:t xml:space="preserve"> value</w:t>
      </w:r>
      <w:r w:rsidR="0094556A" w:rsidRPr="004D0C63">
        <w:t xml:space="preserve"> for Huber loss</w:t>
      </w:r>
      <w:r w:rsidR="00C0182D" w:rsidRPr="004D0C63">
        <w:t xml:space="preserve"> </w:t>
      </w:r>
      <w:r w:rsidR="00C0182D" w:rsidRPr="004D0C63">
        <w:fldChar w:fldCharType="begin"/>
      </w:r>
      <w:r w:rsidR="00C0182D" w:rsidRPr="004D0C63">
        <w:instrText xml:space="preserve"> ADDIN ZOTERO_ITEM CSL_CITATION {"citationID":"qOBktq8X","properties":{"unsorted":false,"formattedCitation":"(Huber, 1964)","plainCitation":"(Huber, 1964)","noteIndex":0},"citationItems":[{"id":1296,"uris":["http://zotero.org/users/16823286/items/KUMGPRT6"],"itemData":{"id":1296,"type":"article-journal","abstract":"This paper contains a new approach toward a theory of robust estimation; it treats in detail the asymptotic theory of estimating a location parameter for contaminated normal distributions, and exhibits estimators--intermediaries between sample mean and sample median--that are asymptotically most robust (in a sense to be specified) among all translation invariant estimators. For the general background, see Tukey (1960) (p. 448 ff.) Let $x_1, \\cdots, x_n$ be independent random variables with common distribution function $F(t - \\xi)$. The problem is to estimate the location parameter $\\xi$, but with the complication that the prototype distribution $F(t)$ is only approximately known. I shall primarily be concerned with the model of indeterminacy $F = (1 - \\epsilon)\\Phi + \\epsilon H$, where $0 \\leqq \\epsilon &lt; 1$ is a known number, $\\Phi(t) = (2\\pi)^{-\\frac{1}{2}} \\int^t_{-\\infty} \\exp(-\\frac{1}{2}s^2) ds$ is the standard normal cumulative and $H$ is an unknown contaminating distribution. This model arises for instance if the observations are assumed to be normal with variance 1, but a fraction $\\epsilon$ of them is affected by gross errors. Later on, I shall also consider other models of indeterminacy, e.g., $\\sup_t |F(t) - \\Phi(t)| \\leqq \\epsilon$. Some inconvenience is caused by the fact that location and scale parameters are not uniquely determined: in general, for fixed $\\epsilon$, there will be several values of $\\xi$ and $\\sigma$ such that $\\sup_t|F(t) - \\Phi((t - \\xi)/\\sigma)| \\leqq \\epsilon$, and similarly for the contaminated case. Although this inherent and unavoidable indeterminacy is small if $\\epsilon$ is small and is rather irrelevant for practical purposes, it poses awkward problems for the theory, especially for optimality questions. To remove this difficulty, one may either (i) restrict attention to symmetric distributions, and estimate the location of the center of symmetry (this works for $\\xi$ but not for $\\sigma$); or (ii) one may define the parameter to be estimated in terms of the estimator itself, namely by its asymptotic value for sample size $n \\rightarrow \\infty$; or (iii) one may define the parameters by arbitrarily chosen functionals of the distribution (e.g., by the expectation, or the median of $F$). All three possibilities have unsatisfactory aspects, and I shall usually choose the variant which is mathematically most convenient. It is interesting to look back to the very origin of the theory of estimation, namely to Gauss and his theory of least squares. Gauss was fully aware that his main reason for assuming an underlying normal distribution and a quadratic loss function was mathematical, i.e., computational, convenience. In later times, this was often forgotten, partly because of the central limit theorem. However, if one wants to be honest, the central limit theorem can at most explain why many distributions occurring in practice are approximately normal. The stress is on the word \"approximately.\" This raises a question which could have been asked already by Gauss, but which was, as far as I know, only raised a few years ago (notably by Tukey): What happens if the true distribution deviates slightly from the assumed normal one? As is now well known, the sample mean then may have a catastrophically bad performance: seemingly quite mild deviations may already explode its variance. Tukey and others proposed several more robust substitutes--trimmed means, Winsorized means, etc.--and explored their performance for a few typical violations of normality. A general theory of robust estimation is still lacking; it is hoped that the present paper will furnish the first few steps toward such a theory. At the core of the method of least squares lies the idea to minimize the sum of the squared \"errors,\" that is, to adjust the unknown parameters such that the sum of the squares of the differences between observed and computed values is minimized. In the simplest case, with which we are concerned here, namely the estimation of a location parameter, one has to minimize the expression $\\sum_i (x_i - T)^2$; this is of course achieved by the sample mean $T = \\sum_i x_i/n$. I should like to emphasize that no loss function is involved here; I am only describing how the least squares estimator is defined, and neither the underlying family of distributions nor the true value of the parameter to be estimated enters so far. It is quite natural to ask whether one can obtain more robustness by minimizing another function of the errors than the sum of their squares. We shall therefore concentrate our attention to estimators that can be defined by a minimum principle of the form (for a location parameter): $T = T_n(x_1, \\cdots, x_n) minimizes \\sum_i \\rho(x_i - T),$ \\begin{equation*} \\tag{M} where \\rho is a non-constant function. \\end{equation*} Of course, this definition generalizes at once to more general least squares type problems, where several parameters have to be determined. This class of estimators contains in particular (i) the sample mean $(\\rho(t) = t^2)$, (ii) the sample median $(\\rho(t) = |t|)$, and more generally, (iii) all maximum likelihood estimators $(\\rho(t) = -\\log f(t)$, where $f$ is the assumed density of the untranslated distribution). These ($M$)-estimators, as I shall call them for short, have rather pleasant asymptotic properties; sufficient conditions for asymptotic normality and an explicit expression for their asymptotic variance will be given. How should one judge the robustness of an estimator $T_n(x) = T_n(x_1, \\cdots, x_n)$? Since ill effects from contamination are mainly felt for large sample sizes, it seems that one should primarily optimize large sample robustness properties. Therefore, a convenient measure of robustness for asymptotically normal estimators seems to be the supremum of the asymptotic variance $(n \\rightarrow \\infty)$ when $F$ ranges over some suitable set of underlying distributions, in particular over the set of all $F = (1 - \\epsilon)\\Phi + \\epsilon H$ for fixed $\\epsilon$ and symmetric $H$. On second thought, it turns out that the asymptotic variance is not only easier to handle, but that even for moderate values of $n$ it is a better measure of performance than the actual variance, because (i) the actual variance of an estimator depends very much on the behavior of the tails of $H$, and the supremum of the actual variance is infinite for any estimator whose value is always contained in the convex hull of the observations. (ii) If an estimator is asymptotically normal, then the important central part of its distribution and confidence intervals for moderate confidence levels can better be approximated in terms of the asymptotic variance than in terms of the actual variance. If we adopt this measure of robustness, and if we restrict attention to ($M$)-estimators, then it will be shown that the most robust estimator is uniquely determined and corresponds to the following $\\rho:\\rho(t) = \\frac{1}{2}t^2$ for $|t| &lt; k, \\rho(t) = k|t| - \\frac{1}{2}k^2$ for $|t| \\geqq k$, with $k$ depending on $\\epsilon$. This estimator is most robust even among all translation invariant estimators. Sample mean $(k = \\infty)$ and sample median $(k = 0)$ are limiting cases corresponding to $\\epsilon = 0$ and $\\epsilon = 1$, respectively, and the estimator is closely related and asymptotically equivalent to Winsorizing. I recall the definition of Winsorizing: assume that the observations have been ordered, $x_1 \\leqq x_2 \\leqq \\cdots \\leqq x_n$, then the statistic $T = n^{-1}(gx_{g + 1} + x_{g + 1} + x_{g + 2} + \\cdots + x_{n - h} + hx_{n - h})$ is called the Winsorized mean, obtained by Winsorizing the $g$ leftmost and the $h$ rightmost observations. The above most robust ($M$)-estimators can be described by the same formula, except that in the first and in the last summand, the factors $x_{g + 1}$ and $x_{n - h}$ have to be replaced by some numbers $u, v$ satisfying $x_g \\leqq u \\leqq x_{g + 1}$ and $x_{n - h} \\leqq v \\leqq x_{n - h + 1}$, respectively; $g, h, u$ and $v$ depend on the sample. In fact, this ($M$)-estimator is the maximum likelihood estimator corresponding to a unique least favorable distribution $F_0$ with density $f_0(t) = (1 - \\epsilon)(2\\pi)^{-\\frac{1}{2}}e^{-\\rho(t)}$. This $f_0$ behaves like a normal density for small $t$, like an exponential density for large $t$. At least for me, this was rather surprising--I would have expected an $f_0$ with much heavier tails. This result is a particular case of a more general one that can be stated roughly as follows: Assume that $F$ belongs to some convex set $C$ of distribution functions. Then the most robust ($M$)-estimator for the set $C$ coincides with the maximum likelihood estimator for the unique $F_0 \\varepsilon C$ which has the smallest Fisher information number $I(F) = \\int (f'/f)^2f dt$ among all $F \\varepsilon C$. Miscellaneous related problems will also be treated: the case of non-symmetric contaminating distributions; the most robust estimator for the model of indeterminacy $\\sup_t|F(t) - \\Phi(t)| \\leqq \\epsilon$; robust estimation of a scale parameter; how to estimate location, if scale and $\\epsilon$ are unknown; numerical computation of the estimators; more general estimators, e.g., minimizing $\\sum_{i &lt; j} \\rho(x_i - T, x_j - T)$, where $\\rho$ is a function of two arguments. Questions of small sample size theory will not be touched in this paper.","container-title":"The Annals of Mathematical Statistics","DOI":"10.1214/aoms/1177703732","ISSN":"0003-4851, 2168-8990","issue":"1","language":"en","page":"73-101","publisher":"Institute of Mathematical Statistics","source":"Project Euclid","title":"Robust Estimation of a Location Parameter","volume":"35","author":[{"family":"Huber","given":"Peter J."}],"issued":{"date-parts":[["1964",3]]}}}],"schema":"https://github.com/citation-style-language/schema/raw/master/csl-citation.json"} </w:instrText>
      </w:r>
      <w:r w:rsidR="00C0182D" w:rsidRPr="004D0C63">
        <w:fldChar w:fldCharType="separate"/>
      </w:r>
      <w:r w:rsidR="00C0182D" w:rsidRPr="004D0C63">
        <w:rPr>
          <w:rFonts w:ascii="Aptos" w:hAnsi="Aptos"/>
        </w:rPr>
        <w:t>(Huber, 1964)</w:t>
      </w:r>
      <w:r w:rsidR="00C0182D" w:rsidRPr="004D0C63">
        <w:fldChar w:fldCharType="end"/>
      </w:r>
      <w:r w:rsidR="0094556A" w:rsidRPr="004D0C63">
        <w:t>.</w:t>
      </w:r>
    </w:p>
    <w:p w14:paraId="002CC02D" w14:textId="15BCB4E6" w:rsidR="00EF7F28" w:rsidRPr="004D0C63" w:rsidRDefault="00EF7F28" w:rsidP="00F85C35">
      <w:r w:rsidRPr="004D0C63">
        <w:t xml:space="preserve">Only time series with at least two valid observations are used for model estimation. </w:t>
      </w:r>
      <w:r w:rsidR="00581EF6" w:rsidRPr="004D0C63">
        <w:t>Then, m</w:t>
      </w:r>
      <w:r w:rsidRPr="004D0C63">
        <w:t xml:space="preserve">issing </w:t>
      </w:r>
      <w:r w:rsidR="00581EF6" w:rsidRPr="004D0C63">
        <w:t>UP</w:t>
      </w:r>
      <w:r w:rsidRPr="004D0C63">
        <w:t xml:space="preserve"> are estimated </w:t>
      </w:r>
      <w:r w:rsidR="00581EF6" w:rsidRPr="004D0C63">
        <w:t xml:space="preserve">by fitting the Huber </w:t>
      </w:r>
      <w:r w:rsidR="00DC1BEB" w:rsidRPr="004D0C63">
        <w:t xml:space="preserve">function </w:t>
      </w:r>
      <m:oMath>
        <m:sSub>
          <m:sSubPr>
            <m:ctrlPr>
              <w:rPr>
                <w:rFonts w:ascii="Cambria Math" w:hAnsi="Cambria Math"/>
              </w:rPr>
            </m:ctrlPr>
          </m:sSubPr>
          <m:e>
            <m:r>
              <w:rPr>
                <w:rFonts w:ascii="Cambria Math" w:hAnsi="Cambria Math"/>
              </w:rPr>
              <m:t>H</m:t>
            </m:r>
          </m:e>
          <m:sub>
            <m:r>
              <w:rPr>
                <w:rFonts w:ascii="Cambria Math" w:hAnsi="Cambria Math"/>
              </w:rPr>
              <m:t>c,p</m:t>
            </m:r>
          </m:sub>
        </m:sSub>
        <m:d>
          <m:dPr>
            <m:ctrlPr>
              <w:rPr>
                <w:rFonts w:ascii="Cambria Math" w:hAnsi="Cambria Math"/>
              </w:rPr>
            </m:ctrlPr>
          </m:dPr>
          <m:e>
            <m:r>
              <w:rPr>
                <w:rFonts w:ascii="Cambria Math" w:hAnsi="Cambria Math"/>
              </w:rPr>
              <m:t>t</m:t>
            </m:r>
          </m:e>
        </m:d>
      </m:oMath>
      <w:r w:rsidR="006436F2" w:rsidRPr="004D0C63">
        <w:t xml:space="preserve"> on the missing year </w:t>
      </w:r>
      <w:r w:rsidR="00CD636F" w:rsidRPr="004D0C63">
        <w:t>(</w:t>
      </w:r>
      <m:oMath>
        <m:sSub>
          <m:sSubPr>
            <m:ctrlPr>
              <w:rPr>
                <w:rFonts w:ascii="Cambria Math" w:hAnsi="Cambria Math"/>
              </w:rPr>
            </m:ctrlPr>
          </m:sSubPr>
          <m:e>
            <m:r>
              <w:rPr>
                <w:rFonts w:ascii="Cambria Math" w:hAnsi="Cambria Math"/>
              </w:rPr>
              <m:t>t</m:t>
            </m:r>
          </m:e>
          <m:sub>
            <m:r>
              <w:rPr>
                <w:rFonts w:ascii="Cambria Math" w:hAnsi="Cambria Math"/>
              </w:rPr>
              <m:t>missing</m:t>
            </m:r>
          </m:sub>
        </m:sSub>
        <m:r>
          <w:rPr>
            <w:rFonts w:ascii="Cambria Math" w:hAnsi="Cambria Math"/>
          </w:rPr>
          <m:t>)</m:t>
        </m:r>
      </m:oMath>
      <w:r w:rsidR="00C231B6" w:rsidRPr="004D0C63">
        <w:t>:</w:t>
      </w:r>
    </w:p>
    <w:p w14:paraId="04AEC1AF" w14:textId="2AE72FC1" w:rsidR="00621FAF" w:rsidRPr="004D0C63" w:rsidRDefault="00000000" w:rsidP="00F85C35">
      <m:oMathPara>
        <m:oMath>
          <m:sSub>
            <m:sSubPr>
              <m:ctrlPr>
                <w:rPr>
                  <w:rFonts w:ascii="Cambria Math" w:hAnsi="Cambria Math"/>
                </w:rPr>
              </m:ctrlPr>
            </m:sSubPr>
            <m:e>
              <m:acc>
                <m:accPr>
                  <m:chr m:val="ˆ"/>
                  <m:ctrlPr>
                    <w:rPr>
                      <w:rFonts w:ascii="Cambria Math" w:hAnsi="Cambria Math"/>
                    </w:rPr>
                  </m:ctrlPr>
                </m:accPr>
                <m:e>
                  <m:r>
                    <w:rPr>
                      <w:rFonts w:ascii="Cambria Math" w:hAnsi="Cambria Math"/>
                    </w:rPr>
                    <m:t>UP</m:t>
                  </m:r>
                </m:e>
              </m:acc>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missing</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missing</m:t>
                  </m:r>
                </m:sub>
              </m:sSub>
            </m:e>
          </m:d>
        </m:oMath>
      </m:oMathPara>
    </w:p>
    <w:p w14:paraId="07E64446" w14:textId="78679475" w:rsidR="00796D58" w:rsidRPr="004D0C63" w:rsidRDefault="00CD636F" w:rsidP="00F85C35">
      <w:r w:rsidRPr="004D0C63">
        <w:t xml:space="preserve">Because we know that the </w:t>
      </w:r>
      <w:r w:rsidR="00365A8B" w:rsidRPr="004D0C63">
        <w:t xml:space="preserve">regression has a certain error </w:t>
      </w:r>
      <w:r w:rsidR="00BB4EB4" w:rsidRPr="004D0C63">
        <w:t xml:space="preserve">in the way it approximates the trend of UPs we keep into consideration the uncertainty of our </w:t>
      </w:r>
      <w:r w:rsidR="00796D58" w:rsidRPr="004D0C63">
        <w:t>estimation in the following way. We calculate the prediction errors</w:t>
      </w:r>
      <w:r w:rsidR="009F0CA2" w:rsidRPr="004D0C63">
        <w:t xml:space="preserve"> (residuals)</w:t>
      </w:r>
      <w:r w:rsidR="00796D58" w:rsidRPr="004D0C63">
        <w:t>:</w:t>
      </w:r>
    </w:p>
    <w:p w14:paraId="6348866D" w14:textId="77777777" w:rsidR="00654B58" w:rsidRPr="004D0C63" w:rsidRDefault="00000000" w:rsidP="00F85C35">
      <m:oMathPara>
        <m:oMath>
          <m:sSub>
            <m:sSubPr>
              <m:ctrlPr>
                <w:rPr>
                  <w:rFonts w:ascii="Cambria Math" w:hAnsi="Cambria Math"/>
                </w:rPr>
              </m:ctrlPr>
            </m:sSubPr>
            <m:e>
              <m:r>
                <w:rPr>
                  <w:rFonts w:ascii="Cambria Math" w:hAnsi="Cambria Math"/>
                </w:rPr>
                <m:t>r</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UP</m:t>
          </m:r>
          <m:sSub>
            <m:sSubPr>
              <m:ctrlPr>
                <w:rPr>
                  <w:rFonts w:ascii="Cambria Math" w:hAnsi="Cambria Math"/>
                </w:rPr>
              </m:ctrlPr>
            </m:sSubPr>
            <m:e>
              <m:d>
                <m:dPr>
                  <m:ctrlPr>
                    <w:rPr>
                      <w:rFonts w:ascii="Cambria Math" w:hAnsi="Cambria Math"/>
                    </w:rPr>
                  </m:ctrlPr>
                </m:dPr>
                <m:e>
                  <m:r>
                    <w:rPr>
                      <w:rFonts w:ascii="Cambria Math" w:hAnsi="Cambria Math"/>
                    </w:rPr>
                    <m:t>t</m:t>
                  </m:r>
                </m:e>
              </m:d>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H</m:t>
          </m:r>
          <m:sSub>
            <m:sSubPr>
              <m:ctrlPr>
                <w:rPr>
                  <w:rFonts w:ascii="Cambria Math" w:hAnsi="Cambria Math"/>
                </w:rPr>
              </m:ctrlPr>
            </m:sSubPr>
            <m:e>
              <m:d>
                <m:dPr>
                  <m:ctrlPr>
                    <w:rPr>
                      <w:rFonts w:ascii="Cambria Math" w:hAnsi="Cambria Math"/>
                    </w:rPr>
                  </m:ctrlPr>
                </m:dPr>
                <m:e>
                  <m:r>
                    <w:rPr>
                      <w:rFonts w:ascii="Cambria Math" w:hAnsi="Cambria Math"/>
                    </w:rPr>
                    <m:t>t</m:t>
                  </m:r>
                </m:e>
              </m:d>
            </m:e>
            <m:sub>
              <m:r>
                <w:rPr>
                  <w:rFonts w:ascii="Cambria Math" w:hAnsi="Cambria Math"/>
                </w:rPr>
                <m:t>c</m:t>
              </m:r>
              <m:r>
                <m:rPr>
                  <m:sty m:val="p"/>
                </m:rPr>
                <w:rPr>
                  <w:rFonts w:ascii="Cambria Math" w:hAnsi="Cambria Math"/>
                </w:rPr>
                <m:t>,</m:t>
              </m:r>
              <m:r>
                <w:rPr>
                  <w:rFonts w:ascii="Cambria Math" w:hAnsi="Cambria Math"/>
                </w:rPr>
                <m:t>p</m:t>
              </m:r>
            </m:sub>
          </m:sSub>
        </m:oMath>
      </m:oMathPara>
    </w:p>
    <w:p w14:paraId="42C1C129" w14:textId="70050A9D" w:rsidR="00654B58" w:rsidRPr="004D0C63" w:rsidRDefault="00E459B5" w:rsidP="00F85C35">
      <w:r w:rsidRPr="004D0C63">
        <w:t xml:space="preserve">We then estimate that the </w:t>
      </w:r>
      <w:r w:rsidR="00E92B99" w:rsidRPr="004D0C63">
        <w:t xml:space="preserve">missing value will also not exactly match the Huber prediction fully and have some residual. </w:t>
      </w:r>
      <w:r w:rsidR="00420221" w:rsidRPr="004D0C63">
        <w:t>Therefore,</w:t>
      </w:r>
      <w:r w:rsidR="00E92B99" w:rsidRPr="004D0C63">
        <w:t xml:space="preserve"> we calculate the missing UP from a normal distribution centered at the Huber prediction with variance equal to the variance of the residuals:</w:t>
      </w:r>
    </w:p>
    <w:p w14:paraId="5FA8E6E6" w14:textId="2705E259" w:rsidR="00725A6A" w:rsidRPr="004D0C63" w:rsidRDefault="00000000" w:rsidP="00F85C35">
      <w:pPr>
        <w:rPr>
          <w:rFonts w:eastAsiaTheme="minorEastAsia"/>
        </w:rPr>
      </w:pPr>
      <m:oMathPara>
        <m:oMath>
          <m:sSub>
            <m:sSubPr>
              <m:ctrlPr>
                <w:rPr>
                  <w:rFonts w:ascii="Cambria Math" w:hAnsi="Cambria Math"/>
                </w:rPr>
              </m:ctrlPr>
            </m:sSubPr>
            <m:e>
              <m:acc>
                <m:accPr>
                  <m:chr m:val="ˆ"/>
                  <m:ctrlPr>
                    <w:rPr>
                      <w:rFonts w:ascii="Cambria Math" w:hAnsi="Cambria Math"/>
                    </w:rPr>
                  </m:ctrlPr>
                </m:accPr>
                <m:e>
                  <m:r>
                    <w:rPr>
                      <w:rFonts w:ascii="Cambria Math" w:hAnsi="Cambria Math"/>
                    </w:rPr>
                    <m:t>UP</m:t>
                  </m:r>
                </m:e>
              </m:acc>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missing</m:t>
                  </m:r>
                </m:sub>
              </m:sSub>
            </m:e>
          </m:d>
          <m:r>
            <m:rPr>
              <m:scr m:val="script"/>
              <m:sty m:val="p"/>
            </m:rP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missing</m:t>
                      </m:r>
                    </m:sub>
                  </m:sSub>
                </m:e>
              </m:d>
              <m:r>
                <m:rPr>
                  <m:sty m:val="p"/>
                </m:rPr>
                <w:rPr>
                  <w:rFonts w:ascii="Cambria Math" w:hAnsi="Cambria Math"/>
                </w:rPr>
                <m:t>,</m:t>
              </m:r>
              <m:r>
                <w:rPr>
                  <w:rFonts w:ascii="Cambria Math" w:hAnsi="Cambria Math"/>
                </w:rPr>
                <m:t>Var</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t</m:t>
                  </m:r>
                  <m:r>
                    <m:rPr>
                      <m:sty m:val="p"/>
                    </m:rPr>
                    <w:rPr>
                      <w:rFonts w:ascii="Cambria Math" w:hAnsi="Cambria Math"/>
                    </w:rPr>
                    <m:t>)</m:t>
                  </m:r>
                </m:e>
              </m:d>
            </m:e>
          </m:d>
        </m:oMath>
      </m:oMathPara>
    </w:p>
    <w:p w14:paraId="6ABE64AD" w14:textId="10F5298B" w:rsidR="00DA1CF8" w:rsidRPr="004D0C63" w:rsidRDefault="00DA1CF8" w:rsidP="00F85C35">
      <w:r w:rsidRPr="004D0C63">
        <w:t>Finally, we can derive the missing ph</w:t>
      </w:r>
      <w:r w:rsidR="00D7199B" w:rsidRPr="004D0C63">
        <w:t>ysical quantities from the newly estimated UP:</w:t>
      </w:r>
    </w:p>
    <w:p w14:paraId="36E5FA53" w14:textId="77777777" w:rsidR="00A15D01" w:rsidRPr="004D0C63" w:rsidRDefault="00000000" w:rsidP="00F85C35">
      <m:oMathPara>
        <m:oMath>
          <m:sSub>
            <m:sSubPr>
              <m:ctrlPr>
                <w:rPr>
                  <w:rFonts w:ascii="Cambria Math" w:hAnsi="Cambria Math"/>
                </w:rPr>
              </m:ctrlPr>
            </m:sSubPr>
            <m:e>
              <m:r>
                <w:rPr>
                  <w:rFonts w:ascii="Cambria Math" w:hAnsi="Cambria Math"/>
                </w:rPr>
                <m:t>Q</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up>
                  <m:r>
                    <m:rPr>
                      <m:sty m:val="p"/>
                    </m:rPr>
                    <w:rPr>
                      <w:rFonts w:ascii="Cambria Math" w:hAnsi="Cambria Math"/>
                    </w:rPr>
                    <m:t>2015</m:t>
                  </m:r>
                </m:sup>
              </m:sSubSup>
            </m:num>
            <m:den>
              <m:sSub>
                <m:sSubPr>
                  <m:ctrlPr>
                    <w:rPr>
                      <w:rFonts w:ascii="Cambria Math" w:hAnsi="Cambria Math"/>
                    </w:rPr>
                  </m:ctrlPr>
                </m:sSubPr>
                <m:e>
                  <m:acc>
                    <m:accPr>
                      <m:chr m:val="ˆ"/>
                      <m:ctrlPr>
                        <w:rPr>
                          <w:rFonts w:ascii="Cambria Math" w:hAnsi="Cambria Math"/>
                        </w:rPr>
                      </m:ctrlPr>
                    </m:accPr>
                    <m:e>
                      <m:r>
                        <w:rPr>
                          <w:rFonts w:ascii="Cambria Math" w:hAnsi="Cambria Math"/>
                        </w:rPr>
                        <m:t>UP</m:t>
                      </m:r>
                    </m:e>
                  </m:acc>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den>
          </m:f>
        </m:oMath>
      </m:oMathPara>
    </w:p>
    <w:p w14:paraId="39EAA1BE" w14:textId="43C35022" w:rsidR="00E22FF5" w:rsidRPr="00DC0527" w:rsidRDefault="001B43C3" w:rsidP="00F85C35">
      <w:pPr>
        <w:rPr>
          <w:b/>
          <w:bCs/>
        </w:rPr>
      </w:pPr>
      <w:r w:rsidRPr="00DC0527">
        <w:rPr>
          <w:b/>
          <w:bCs/>
        </w:rPr>
        <w:t xml:space="preserve">STEP 2: PRODUCTION TO EXPORT RATIO – estimate confidential data in euro </w:t>
      </w:r>
    </w:p>
    <w:p w14:paraId="6ABB29E3" w14:textId="58237A29" w:rsidR="007B60FB" w:rsidRPr="004D0C63" w:rsidRDefault="00713033" w:rsidP="00F85C35">
      <w:pPr>
        <w:rPr>
          <w:rFonts w:eastAsiaTheme="minorEastAsia"/>
        </w:rPr>
      </w:pPr>
      <w:r w:rsidRPr="004D0C63">
        <w:t xml:space="preserve">We reconstruct confidential data based on the example of </w:t>
      </w:r>
      <w:r w:rsidR="00AF39D3" w:rsidRPr="004D0C63">
        <w:fldChar w:fldCharType="begin"/>
      </w:r>
      <w:r w:rsidR="00AF39D3" w:rsidRPr="004D0C63">
        <w:instrText xml:space="preserve"> ADDIN ZOTERO_ITEM CSL_CITATION {"citationID":"hnb6jLYj","properties":{"unsorted":false,"formattedCitation":"(Huisman et al., 2017)","plainCitation":"(Huisman et al., 2017)","noteIndex":0},"citationItems":[{"id":15,"uris":["http://zotero.org/users/16823286/items/XZZRQBEF"],"itemData":{"id":15,"type":"report","call-number":"641999","language":"en","number":"Deliverable 3.3","publisher":"United Nations University","source":"Zotero","title":"Prospecting Secondary raw materials in the Urban mine and Mining waste - Product Stocks and Flows","author":[{"family":"Huisman","given":"Jaco"},{"family":"Habib","given":"Hina"},{"family":"Baldé","given":"Kees"},{"family":"Straalen","given":"Vincent","dropping-particle":"van"},{"family":"Chancerel","given":"Perrine"},{"family":"Chanson","given":"Claude"},{"family":"Söderman","given":"Maria"},{"family":"Kushnir","given":"Duncan"}],"issued":{"date-parts":[["2017"]]}}}],"schema":"https://github.com/citation-style-language/schema/raw/master/csl-citation.json"} </w:instrText>
      </w:r>
      <w:r w:rsidR="00AF39D3" w:rsidRPr="004D0C63">
        <w:fldChar w:fldCharType="separate"/>
      </w:r>
      <w:r w:rsidR="00AF39D3" w:rsidRPr="004D0C63">
        <w:rPr>
          <w:rFonts w:ascii="Aptos" w:hAnsi="Aptos"/>
        </w:rPr>
        <w:t>(Huisman et al., 2017)</w:t>
      </w:r>
      <w:r w:rsidR="00AF39D3" w:rsidRPr="004D0C63">
        <w:fldChar w:fldCharType="end"/>
      </w:r>
      <w:r w:rsidR="00F6549D" w:rsidRPr="004D0C63">
        <w:t xml:space="preserve"> </w:t>
      </w:r>
      <w:r w:rsidR="0033507A" w:rsidRPr="004D0C63">
        <w:t>and</w:t>
      </w:r>
      <w:r w:rsidR="00F6549D" w:rsidRPr="004D0C63">
        <w:t xml:space="preserve"> on the evidence that export amounts are good proxies for production</w:t>
      </w:r>
      <w:r w:rsidR="004A6513" w:rsidRPr="004D0C63">
        <w:t xml:space="preserve"> </w:t>
      </w:r>
      <w:r w:rsidR="004A6513" w:rsidRPr="004D0C63">
        <w:fldChar w:fldCharType="begin"/>
      </w:r>
      <w:r w:rsidR="004A6513" w:rsidRPr="004D0C63">
        <w:instrText xml:space="preserve"> ADDIN ZOTERO_ITEM CSL_CITATION {"citationID":"4OQEQFUx","properties":{"unsorted":false,"formattedCitation":"(Saltarelli et al., 2020)","plainCitation":"(Saltarelli et al., 2020)","noteIndex":0},"citationItems":[{"id":39,"uris":["http://zotero.org/users/16823286/items/JLHVZD4U"],"itemData":{"id":39,"type":"article-journal","abstract":"Recent works leverage export data to assess country production structure and ultimately country relative competitiveness. These works mostly rely only on the exported part of the total country output for reasons of data availability, homogeneity, and quality. Here we use the World Input-Output Database (WIOD), which offers cross-country harmonized data that accounts both for domestic production and export, to investigate to what extent export is a proxy for domestic production. We ﬁnd that export mirrors remarkably well domestic production for manufacturing sectors or sectors related to physical goods. Conversely, this relation fades away for service related sectors. We found those relations consistently across most of the 40 countries for which data are available.","container-title":"Frontiers in Physics","DOI":"10.3389/fphy.2020.00180","ISSN":"2296-424X","journalAbbreviation":"Front. Phys.","language":"en","page":"180","source":"DOI.org (Crossref)","title":"Is Export a Probe for Domestic Production?","volume":"8","author":[{"family":"Saltarelli","given":"Francesco"},{"family":"Cimini","given":"Valeria"},{"family":"Tacchella","given":"Andrea"},{"family":"Zaccaria","given":"Andrea"},{"family":"Cristelli","given":"Matthieu"}],"issued":{"date-parts":[["2020",6,26]]}}}],"schema":"https://github.com/citation-style-language/schema/raw/master/csl-citation.json"} </w:instrText>
      </w:r>
      <w:r w:rsidR="004A6513" w:rsidRPr="004D0C63">
        <w:fldChar w:fldCharType="separate"/>
      </w:r>
      <w:r w:rsidR="004A6513" w:rsidRPr="004D0C63">
        <w:rPr>
          <w:rFonts w:ascii="Aptos" w:hAnsi="Aptos"/>
        </w:rPr>
        <w:t>(Saltarelli et al., 2020)</w:t>
      </w:r>
      <w:r w:rsidR="004A6513" w:rsidRPr="004D0C63">
        <w:fldChar w:fldCharType="end"/>
      </w:r>
      <w:r w:rsidR="00F6549D" w:rsidRPr="004D0C63">
        <w:t xml:space="preserve">. Let </w:t>
      </w:r>
      <m:oMath>
        <m:sSubSup>
          <m:sSubSupPr>
            <m:ctrlPr>
              <w:rPr>
                <w:rFonts w:ascii="Cambria Math" w:hAnsi="Cambria Math"/>
              </w:rPr>
            </m:ctrlPr>
          </m:sSubSupPr>
          <m:e>
            <m:r>
              <w:rPr>
                <w:rFonts w:ascii="Cambria Math" w:hAnsi="Cambria Math"/>
              </w:rPr>
              <m:t>V</m:t>
            </m:r>
          </m:e>
          <m:sub>
            <m:r>
              <w:rPr>
                <w:rFonts w:ascii="Cambria Math" w:hAnsi="Cambria Math"/>
              </w:rPr>
              <m:t>t,c,p</m:t>
            </m:r>
          </m:sub>
          <m:sup>
            <m:r>
              <w:rPr>
                <w:rFonts w:ascii="Cambria Math" w:hAnsi="Cambria Math"/>
              </w:rPr>
              <m:t>P</m:t>
            </m:r>
          </m:sup>
        </m:sSubSup>
      </m:oMath>
      <w:r w:rsidR="00F6549D" w:rsidRPr="004D0C63">
        <w:t xml:space="preserve"> denote </w:t>
      </w:r>
      <w:r w:rsidR="00985EDF" w:rsidRPr="004D0C63">
        <w:t xml:space="preserve">production values from PRODCOM and </w:t>
      </w:r>
      <m:oMath>
        <m:sSubSup>
          <m:sSubSupPr>
            <m:ctrlPr>
              <w:rPr>
                <w:rFonts w:ascii="Cambria Math" w:hAnsi="Cambria Math"/>
              </w:rPr>
            </m:ctrlPr>
          </m:sSubSupPr>
          <m:e>
            <m:r>
              <w:rPr>
                <w:rFonts w:ascii="Cambria Math" w:hAnsi="Cambria Math"/>
              </w:rPr>
              <m:t>V</m:t>
            </m:r>
          </m:e>
          <m:sub>
            <m:r>
              <w:rPr>
                <w:rFonts w:ascii="Cambria Math" w:hAnsi="Cambria Math"/>
              </w:rPr>
              <m:t>t,c,p</m:t>
            </m:r>
          </m:sub>
          <m:sup>
            <m:r>
              <w:rPr>
                <w:rFonts w:ascii="Cambria Math" w:hAnsi="Cambria Math"/>
              </w:rPr>
              <m:t>E</m:t>
            </m:r>
          </m:sup>
        </m:sSubSup>
      </m:oMath>
      <w:r w:rsidR="00985EDF" w:rsidRPr="004D0C63">
        <w:t>export values from BACI for country c, product p, and year t both expressed in euros.</w:t>
      </w:r>
      <w:r w:rsidR="00985EDF" w:rsidRPr="004D0C63">
        <w:rPr>
          <w:rFonts w:eastAsiaTheme="minorEastAsia"/>
        </w:rPr>
        <w:t xml:space="preserve"> </w:t>
      </w:r>
    </w:p>
    <w:p w14:paraId="44266C2B" w14:textId="4F825239" w:rsidR="00AC2BCE" w:rsidRPr="004D0C63" w:rsidRDefault="00985EDF" w:rsidP="00F85C35">
      <w:r w:rsidRPr="004D0C63">
        <w:t>Export</w:t>
      </w:r>
      <w:r w:rsidR="00AC2BCE" w:rsidRPr="004D0C63">
        <w:t xml:space="preserve"> data from BACI are first converted from USD to euros using average annual exchange rates provided by the European Central Bank </w:t>
      </w:r>
      <w:r w:rsidR="00AC2BCE" w:rsidRPr="004D0C63">
        <w:fldChar w:fldCharType="begin"/>
      </w:r>
      <w:r w:rsidR="00AC2BCE" w:rsidRPr="004D0C63">
        <w:instrText xml:space="preserve"> ADDIN ZOTERO_ITEM CSL_CITATION {"citationID":"j0yG6Rqa","properties":{"unsorted":false,"formattedCitation":"(European Central Bank, 2026)","plainCitation":"(European Central Bank, 2026)","noteIndex":0},"citationItems":[{"id":1298,"uris":["http://zotero.org/users/16823286/items/N4H5GL6S"],"itemData":{"id":1298,"type":"article-journal","abstract":"The European Central Bank (ECB) is the central bank of the European Union countries which have adopted the euro. Our main task is to maintain price stability in the euro area and so preserve the purchasing power of the single currency.","language":"en","source":"www.ecb.europa.eu","title":"Euro exchange rates charts","URL":"https://www.ecb.europa.eu/stats/policy_and_exchange_rates/euro_reference_exchange_rates/html/eurofxref-graph-usd.en.html","author":[{"literal":"European Central Bank"}],"accessed":{"date-parts":[["2026",3,17]]},"issued":{"date-parts":[["2026",3,16]]}}}],"schema":"https://github.com/citation-style-language/schema/raw/master/csl-citation.json"} </w:instrText>
      </w:r>
      <w:r w:rsidR="00AC2BCE" w:rsidRPr="004D0C63">
        <w:fldChar w:fldCharType="separate"/>
      </w:r>
      <w:r w:rsidR="00004428" w:rsidRPr="004D0C63">
        <w:rPr>
          <w:rFonts w:ascii="Aptos" w:hAnsi="Aptos"/>
        </w:rPr>
        <w:t>(European Central Bank, 2026)</w:t>
      </w:r>
      <w:r w:rsidR="00AC2BCE" w:rsidRPr="004D0C63">
        <w:fldChar w:fldCharType="end"/>
      </w:r>
      <w:r w:rsidR="00AC2BCE" w:rsidRPr="004D0C63">
        <w:t xml:space="preserve">. For the years before introduction of euro in 2001 the fixed rate from that year is used to convert monetary values to euro, in line with the approach followed by PRODCOM for European national currencies before 2001 </w:t>
      </w:r>
      <w:r w:rsidR="00AC2BCE" w:rsidRPr="004D0C63">
        <w:lastRenderedPageBreak/>
        <w:fldChar w:fldCharType="begin"/>
      </w:r>
      <w:r w:rsidR="003122ED" w:rsidRPr="004D0C63">
        <w:instrText xml:space="preserve"> ADDIN ZOTERO_ITEM CSL_CITATION {"citationID":"h6bx7cl8","properties":{"unsorted":false,"formattedCitation":"(Eurostat, 2023)","plainCitation":"(Eurostat, 2023)","noteIndex":0},"citationItems":[{"id":38,"uris":["http://zotero.org/users/16823286/items/V4LYXCP6"],"itemData":{"id":38,"type":"book","language":"en","publisher":"Publications Office","publisher-place":"LU","source":"DOI.org (CSL JSON)","title":"European business statistics user’s manual for PRODCOM: 2023 edition","title-short":"European business statistics user’s manual for PRODCOM","URL":"https://data.europa.eu/doi/10.2785/39767","author":[{"literal":"Eurostat"}],"accessed":{"date-parts":[["2026",1,22]]},"issued":{"date-parts":[["2023"]]}}}],"schema":"https://github.com/citation-style-language/schema/raw/master/csl-citation.json"} </w:instrText>
      </w:r>
      <w:r w:rsidR="00AC2BCE" w:rsidRPr="004D0C63">
        <w:fldChar w:fldCharType="separate"/>
      </w:r>
      <w:r w:rsidR="00004428" w:rsidRPr="004D0C63">
        <w:rPr>
          <w:rFonts w:ascii="Aptos" w:hAnsi="Aptos"/>
        </w:rPr>
        <w:t>(Eurostat, 2023)</w:t>
      </w:r>
      <w:r w:rsidR="00AC2BCE" w:rsidRPr="004D0C63">
        <w:fldChar w:fldCharType="end"/>
      </w:r>
      <w:r w:rsidR="00AC2BCE" w:rsidRPr="004D0C63">
        <w:t>.</w:t>
      </w:r>
      <w:r w:rsidRPr="004D0C63">
        <w:t xml:space="preserve"> </w:t>
      </w:r>
      <w:r w:rsidR="00305274" w:rsidRPr="004D0C63">
        <w:t>Also,</w:t>
      </w:r>
      <w:r w:rsidRPr="004D0C63">
        <w:t xml:space="preserve"> </w:t>
      </w:r>
      <w:r w:rsidR="00AC2BCE" w:rsidRPr="004D0C63">
        <w:t xml:space="preserve">HS codes are converted into PRODOCM codes to align export and production data and calculate the ratio. Full correspondence between the two classifications is ensured by PRODCOM </w:t>
      </w:r>
      <w:r w:rsidR="00AC2BCE" w:rsidRPr="004D0C63">
        <w:fldChar w:fldCharType="begin"/>
      </w:r>
      <w:r w:rsidR="003122ED" w:rsidRPr="004D0C63">
        <w:instrText xml:space="preserve"> ADDIN ZOTERO_ITEM CSL_CITATION {"citationID":"RIjQ66CC","properties":{"unsorted":false,"formattedCitation":"(Eurostat, 2023)","plainCitation":"(Eurostat, 2023)","noteIndex":0},"citationItems":[{"id":38,"uris":["http://zotero.org/users/16823286/items/V4LYXCP6"],"itemData":{"id":38,"type":"book","language":"en","publisher":"Publications Office","publisher-place":"LU","source":"DOI.org (CSL JSON)","title":"European business statistics user’s manual for PRODCOM: 2023 edition","title-short":"European business statistics user’s manual for PRODCOM","URL":"https://data.europa.eu/doi/10.2785/39767","author":[{"literal":"Eurostat"}],"accessed":{"date-parts":[["2026",1,22]]},"issued":{"date-parts":[["2023"]]}}}],"schema":"https://github.com/citation-style-language/schema/raw/master/csl-citation.json"} </w:instrText>
      </w:r>
      <w:r w:rsidR="00AC2BCE" w:rsidRPr="004D0C63">
        <w:fldChar w:fldCharType="separate"/>
      </w:r>
      <w:r w:rsidR="00004428" w:rsidRPr="004D0C63">
        <w:rPr>
          <w:rFonts w:ascii="Aptos" w:hAnsi="Aptos"/>
        </w:rPr>
        <w:t>(Eurostat, 2023)</w:t>
      </w:r>
      <w:r w:rsidR="00AC2BCE" w:rsidRPr="004D0C63">
        <w:fldChar w:fldCharType="end"/>
      </w:r>
      <w:r w:rsidR="00AC2BCE" w:rsidRPr="004D0C63">
        <w:t xml:space="preserve">. If one HS code has multiple correspondence in the PRODCOM classification, trade amounts are divided across the PRODCOM categories according to specific proportions based on production amounts. </w:t>
      </w:r>
    </w:p>
    <w:p w14:paraId="0239C93F" w14:textId="3FA53AC3" w:rsidR="00E5416E" w:rsidRPr="004D0C63" w:rsidRDefault="00E5416E" w:rsidP="00F85C35">
      <w:r w:rsidRPr="004D0C63">
        <w:t xml:space="preserve">Once both </w:t>
      </w:r>
      <m:oMath>
        <m:sSubSup>
          <m:sSubSupPr>
            <m:ctrlPr>
              <w:rPr>
                <w:rFonts w:ascii="Cambria Math" w:hAnsi="Cambria Math"/>
              </w:rPr>
            </m:ctrlPr>
          </m:sSubSupPr>
          <m:e>
            <m:r>
              <w:rPr>
                <w:rFonts w:ascii="Cambria Math" w:hAnsi="Cambria Math"/>
              </w:rPr>
              <m:t>V</m:t>
            </m:r>
          </m:e>
          <m:sub>
            <m:r>
              <w:rPr>
                <w:rFonts w:ascii="Cambria Math" w:hAnsi="Cambria Math"/>
              </w:rPr>
              <m:t>t,c,p</m:t>
            </m:r>
          </m:sub>
          <m:sup>
            <m:r>
              <w:rPr>
                <w:rFonts w:ascii="Cambria Math" w:hAnsi="Cambria Math"/>
              </w:rPr>
              <m:t>P</m:t>
            </m:r>
          </m:sup>
        </m:sSubSup>
      </m:oMath>
      <w:r w:rsidRPr="004D0C63">
        <w:t xml:space="preserve">and </w:t>
      </w:r>
      <m:oMath>
        <m:sSubSup>
          <m:sSubSupPr>
            <m:ctrlPr>
              <w:rPr>
                <w:rFonts w:ascii="Cambria Math" w:hAnsi="Cambria Math"/>
              </w:rPr>
            </m:ctrlPr>
          </m:sSubSupPr>
          <m:e>
            <m:r>
              <w:rPr>
                <w:rFonts w:ascii="Cambria Math" w:hAnsi="Cambria Math"/>
              </w:rPr>
              <m:t>V</m:t>
            </m:r>
          </m:e>
          <m:sub>
            <m:r>
              <w:rPr>
                <w:rFonts w:ascii="Cambria Math" w:hAnsi="Cambria Math"/>
              </w:rPr>
              <m:t>t,c,p</m:t>
            </m:r>
          </m:sub>
          <m:sup>
            <m:r>
              <w:rPr>
                <w:rFonts w:ascii="Cambria Math" w:hAnsi="Cambria Math"/>
              </w:rPr>
              <m:t>E</m:t>
            </m:r>
          </m:sup>
        </m:sSubSup>
      </m:oMath>
      <w:r w:rsidRPr="004D0C63">
        <w:t xml:space="preserve">are expressed in the same monetary unit and </w:t>
      </w:r>
      <w:r w:rsidR="007B60FB" w:rsidRPr="004D0C63">
        <w:t>product category convention we calculate the ratio of the two as:</w:t>
      </w:r>
    </w:p>
    <w:p w14:paraId="0763C1D7" w14:textId="62CE4480" w:rsidR="007B60FB" w:rsidRPr="004D0C63" w:rsidRDefault="00000000" w:rsidP="00F85C35">
      <w:pPr>
        <w:rPr>
          <w:rFonts w:eastAsiaTheme="minorEastAsia"/>
        </w:rPr>
      </w:pPr>
      <m:oMathPara>
        <m:oMath>
          <m:sSub>
            <m:sSubPr>
              <m:ctrlPr>
                <w:rPr>
                  <w:rFonts w:ascii="Cambria Math" w:hAnsi="Cambria Math"/>
                </w:rPr>
              </m:ctrlPr>
            </m:sSubPr>
            <m:e>
              <m:r>
                <w:rPr>
                  <w:rFonts w:ascii="Cambria Math" w:hAnsi="Cambria Math"/>
                </w:rPr>
                <m:t>R</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up>
                  <m:r>
                    <w:rPr>
                      <w:rFonts w:ascii="Cambria Math" w:hAnsi="Cambria Math"/>
                    </w:rPr>
                    <m:t>E</m:t>
                  </m:r>
                </m:sup>
              </m:sSubSup>
            </m:num>
            <m:den>
              <m:sSubSup>
                <m:sSubSupPr>
                  <m:ctrlPr>
                    <w:rPr>
                      <w:rFonts w:ascii="Cambria Math" w:hAnsi="Cambria Math"/>
                    </w:rPr>
                  </m:ctrlPr>
                </m:sSubSup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up>
                  <m:r>
                    <w:rPr>
                      <w:rFonts w:ascii="Cambria Math" w:hAnsi="Cambria Math"/>
                    </w:rPr>
                    <m:t>P</m:t>
                  </m:r>
                </m:sup>
              </m:sSubSup>
            </m:den>
          </m:f>
        </m:oMath>
      </m:oMathPara>
    </w:p>
    <w:p w14:paraId="07169648" w14:textId="0FDACADD" w:rsidR="007B60FB" w:rsidRPr="004D0C63" w:rsidRDefault="00A879A1" w:rsidP="00F85C35">
      <w:r w:rsidRPr="004D0C63">
        <w:t xml:space="preserve">We then obtain a time series of ratios for every country and product. </w:t>
      </w:r>
      <w:r w:rsidR="00A61A57" w:rsidRPr="004D0C63">
        <w:t>Because missing ratios are estimated with Huber regression, which is a linear regressor, we apply a log transform:</w:t>
      </w:r>
    </w:p>
    <w:p w14:paraId="2C228708" w14:textId="04EDB9D0" w:rsidR="00A61A57" w:rsidRPr="004D0C63" w:rsidRDefault="00000000" w:rsidP="00F85C35">
      <m:oMathPara>
        <m:oMath>
          <m:sSub>
            <m:sSubPr>
              <m:ctrlPr>
                <w:rPr>
                  <w:rFonts w:ascii="Cambria Math" w:hAnsi="Cambria Math"/>
                </w:rPr>
              </m:ctrlPr>
            </m:sSubPr>
            <m:e>
              <m:r>
                <w:rPr>
                  <w:rFonts w:ascii="Cambria Math" w:hAnsi="Cambria Math"/>
                </w:rPr>
                <m:t>r</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log</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e>
          </m:d>
        </m:oMath>
      </m:oMathPara>
    </w:p>
    <w:p w14:paraId="336676EA" w14:textId="4A1DA724" w:rsidR="00152542" w:rsidRPr="004D0C63" w:rsidRDefault="00B0437A" w:rsidP="00F85C35">
      <w:r w:rsidRPr="004D0C63">
        <w:t xml:space="preserve">This is because log transforms turn the multiplicative variation of ratios into additive variation </w:t>
      </w:r>
      <w:r w:rsidR="004A4CB5" w:rsidRPr="004D0C63">
        <w:t xml:space="preserve">which is what linear regression is better suited for </w:t>
      </w:r>
      <w:r w:rsidR="00D02E52" w:rsidRPr="004D0C63">
        <w:fldChar w:fldCharType="begin"/>
      </w:r>
      <w:r w:rsidR="00AF39D3" w:rsidRPr="004D0C63">
        <w:instrText xml:space="preserve"> ADDIN ZOTERO_ITEM CSL_CITATION {"citationID":"iUkePtnj","properties":{"unsorted":false,"formattedCitation":"(Feng et al., 2014)","plainCitation":"(Feng et al., 2014)","noteIndex":0},"citationItems":[{"id":1555,"uris":["http://zotero.org/users/16823286/items/5PB6N2RD"],"itemData":{"id":1555,"type":"article-journal","abstract":"The log-transformation is widely used in biomedical and psychosocial research to deal with skewed data. This paper highlights serious problems in this classic approach for dealing with skewed data. Despite the common belief that the log transformation can decrease the variability of data and make data conform more closely to the normal distribution, this is usually not the case. Moreover, the results of standard statistical tests performed on log-transformed data are often not relevant for the original, non-transformed data.We demonstrate these problems by presenting examples that use simulated data. We conclude that if used at all, data transformations must be applied very cautiously. We recommend that in most circumstances researchers abandon these traditional methods of dealing with skewed data and, instead, use newer analytic methods that are not dependent on the distribution the data, such as generalized estimating equations (GEE).","container-title":"Shanghai Archives of Psychiatry","DOI":"10.3969/j.issn.1002-0829.2014.02.009","ISSN":"1002-0829","issue":"2","journalAbbreviation":"Shanghai Arch Psychiatry","page":"105-109","PMID":"25092958","PMCID":"PMC4120293","source":"PubMed Central","title":"Log-transformation and its implications for data analysis","volume":"26","author":[{"family":"Feng","given":"Changyong"},{"family":"Wang","given":"Hongyue"},{"family":"Lu","given":"Naiji"},{"family":"Chen","given":"Tian"},{"family":"He","given":"Hua"},{"family":"Lu","given":"Ying"},{"family":"Tu","given":"Xin M."}],"issued":{"date-parts":[["2014",4]]}}}],"schema":"https://github.com/citation-style-language/schema/raw/master/csl-citation.json"} </w:instrText>
      </w:r>
      <w:r w:rsidR="00D02E52" w:rsidRPr="004D0C63">
        <w:fldChar w:fldCharType="separate"/>
      </w:r>
      <w:r w:rsidR="00AF39D3" w:rsidRPr="004D0C63">
        <w:rPr>
          <w:rFonts w:ascii="Aptos" w:hAnsi="Aptos"/>
        </w:rPr>
        <w:t>(Feng et al., 2014)</w:t>
      </w:r>
      <w:r w:rsidR="00D02E52" w:rsidRPr="004D0C63">
        <w:fldChar w:fldCharType="end"/>
      </w:r>
      <w:r w:rsidR="00BE07C3" w:rsidRPr="004D0C63">
        <w:t>.</w:t>
      </w:r>
      <w:r w:rsidR="00FE14C0" w:rsidRPr="004D0C63">
        <w:t xml:space="preserve"> </w:t>
      </w:r>
    </w:p>
    <w:p w14:paraId="664A9EAC" w14:textId="1489CA6A" w:rsidR="00B0437A" w:rsidRPr="004D0C63" w:rsidRDefault="00FE14C0" w:rsidP="00F85C35">
      <w:r w:rsidRPr="004D0C63">
        <w:t xml:space="preserve">We </w:t>
      </w:r>
      <w:r w:rsidR="007C660A" w:rsidRPr="004D0C63">
        <w:t xml:space="preserve">model the time series of log ratios </w:t>
      </w:r>
      <w:r w:rsidR="00152542" w:rsidRPr="004D0C63">
        <w:t>using Huber regression (</w:t>
      </w:r>
      <w:r w:rsidR="00152542" w:rsidRPr="004D0C63">
        <w:rPr>
          <w:i/>
          <w:iCs/>
        </w:rPr>
        <w:t>H(t)</w:t>
      </w:r>
      <w:r w:rsidR="00152542" w:rsidRPr="004D0C63">
        <w:t xml:space="preserve">) </w:t>
      </w:r>
      <w:r w:rsidR="00426ABF" w:rsidRPr="004D0C63">
        <w:t>via</w:t>
      </w:r>
      <w:r w:rsidR="00152542" w:rsidRPr="004D0C63">
        <w:t xml:space="preserve"> the same calculations for Huber loss as described in STEP 1.</w:t>
      </w:r>
    </w:p>
    <w:p w14:paraId="79AE167F" w14:textId="4DB6E213" w:rsidR="00152542" w:rsidRPr="004D0C63" w:rsidRDefault="00000000" w:rsidP="00F85C35">
      <m:oMathPara>
        <m:oMath>
          <m:sSub>
            <m:sSubPr>
              <m:ctrlPr>
                <w:rPr>
                  <w:rFonts w:ascii="Cambria Math" w:hAnsi="Cambria Math"/>
                </w:rPr>
              </m:ctrlPr>
            </m:sSubPr>
            <m:e>
              <m:r>
                <w:rPr>
                  <w:rFonts w:ascii="Cambria Math" w:hAnsi="Cambria Math"/>
                </w:rPr>
                <m:t>r</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oMath>
      </m:oMathPara>
    </w:p>
    <w:p w14:paraId="2CF49628" w14:textId="3D74F811" w:rsidR="00152542" w:rsidRPr="004D0C63" w:rsidRDefault="00152542" w:rsidP="00F85C35">
      <m:oMathPara>
        <m:oMath>
          <m:r>
            <w:rPr>
              <w:rFonts w:ascii="Cambria Math" w:hAnsi="Cambria Math"/>
            </w:rPr>
            <m:t>Huber</m:t>
          </m:r>
          <m:r>
            <m:rPr>
              <m:sty m:val="p"/>
            </m:rPr>
            <w:rPr>
              <w:rFonts w:ascii="Cambria Math" w:hAnsi="Cambria Math"/>
            </w:rPr>
            <m:t xml:space="preserve"> </m:t>
          </m:r>
          <m:sSub>
            <m:sSubPr>
              <m:ctrlPr>
                <w:rPr>
                  <w:rFonts w:ascii="Cambria Math" w:hAnsi="Cambria Math"/>
                </w:rPr>
              </m:ctrlPr>
            </m:sSubPr>
            <m:e>
              <m:r>
                <w:rPr>
                  <w:rFonts w:ascii="Cambria Math" w:hAnsi="Cambria Math"/>
                </w:rPr>
                <m:t>loss</m:t>
              </m:r>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max</m:t>
          </m:r>
          <m:d>
            <m:dPr>
              <m:ctrlPr>
                <w:rPr>
                  <w:rFonts w:ascii="Cambria Math" w:hAnsi="Cambria Math"/>
                </w:rPr>
              </m:ctrlPr>
            </m:dPr>
            <m:e>
              <m:r>
                <m:rPr>
                  <m:sty m:val="p"/>
                </m:rPr>
                <w:rPr>
                  <w:rFonts w:ascii="Cambria Math" w:hAnsi="Cambria Math"/>
                </w:rPr>
                <m:t>1.35,</m:t>
              </m:r>
              <m:f>
                <m:fPr>
                  <m:ctrlPr>
                    <w:rPr>
                      <w:rFonts w:ascii="Cambria Math" w:hAnsi="Cambria Math"/>
                    </w:rPr>
                  </m:ctrlPr>
                </m:fPr>
                <m:num>
                  <m:r>
                    <w:rPr>
                      <w:rFonts w:ascii="Cambria Math" w:hAnsi="Cambria Math"/>
                    </w:rPr>
                    <m:t>MAD</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e>
                  </m:d>
                </m:num>
                <m:den>
                  <m:r>
                    <w:rPr>
                      <w:rFonts w:ascii="Cambria Math" w:hAnsi="Cambria Math"/>
                    </w:rPr>
                    <m:t>max</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e>
                  </m:d>
                  <m:r>
                    <m:rPr>
                      <m:sty m:val="p"/>
                    </m:rPr>
                    <w:rPr>
                      <w:rFonts w:ascii="Cambria Math" w:hAnsi="Cambria Math"/>
                    </w:rPr>
                    <m:t>-</m:t>
                  </m:r>
                  <m:r>
                    <w:rPr>
                      <w:rFonts w:ascii="Cambria Math" w:hAnsi="Cambria Math"/>
                    </w:rPr>
                    <m:t>min</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e>
                  </m:d>
                </m:den>
              </m:f>
              <m:r>
                <m:rPr>
                  <m:sty m:val="p"/>
                </m:rPr>
                <w:rPr>
                  <w:rFonts w:ascii="Cambria Math" w:hAnsi="Cambria Math"/>
                </w:rPr>
                <m:t>*10</m:t>
              </m:r>
            </m:e>
          </m:d>
        </m:oMath>
      </m:oMathPara>
    </w:p>
    <w:p w14:paraId="6B1729D6" w14:textId="15CD7203" w:rsidR="00D711FF" w:rsidRPr="004D0C63" w:rsidRDefault="00000000" w:rsidP="00F85C35">
      <m:oMathPara>
        <m:oMath>
          <m:sSub>
            <m:sSubPr>
              <m:ctrlPr>
                <w:rPr>
                  <w:rFonts w:ascii="Cambria Math" w:hAnsi="Cambria Math"/>
                </w:rPr>
              </m:ctrlPr>
            </m:sSubPr>
            <m:e>
              <m:r>
                <w:rPr>
                  <w:rFonts w:ascii="Cambria Math" w:hAnsi="Cambria Math"/>
                </w:rPr>
                <m:t>residuals</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UP</m:t>
          </m:r>
          <m:sSub>
            <m:sSubPr>
              <m:ctrlPr>
                <w:rPr>
                  <w:rFonts w:ascii="Cambria Math" w:hAnsi="Cambria Math"/>
                </w:rPr>
              </m:ctrlPr>
            </m:sSubPr>
            <m:e>
              <m:d>
                <m:dPr>
                  <m:ctrlPr>
                    <w:rPr>
                      <w:rFonts w:ascii="Cambria Math" w:hAnsi="Cambria Math"/>
                    </w:rPr>
                  </m:ctrlPr>
                </m:dPr>
                <m:e>
                  <m:r>
                    <w:rPr>
                      <w:rFonts w:ascii="Cambria Math" w:hAnsi="Cambria Math"/>
                    </w:rPr>
                    <m:t>t</m:t>
                  </m:r>
                </m:e>
              </m:d>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H</m:t>
          </m:r>
          <m:sSub>
            <m:sSubPr>
              <m:ctrlPr>
                <w:rPr>
                  <w:rFonts w:ascii="Cambria Math" w:hAnsi="Cambria Math"/>
                </w:rPr>
              </m:ctrlPr>
            </m:sSubPr>
            <m:e>
              <m:d>
                <m:dPr>
                  <m:ctrlPr>
                    <w:rPr>
                      <w:rFonts w:ascii="Cambria Math" w:hAnsi="Cambria Math"/>
                    </w:rPr>
                  </m:ctrlPr>
                </m:dPr>
                <m:e>
                  <m:r>
                    <w:rPr>
                      <w:rFonts w:ascii="Cambria Math" w:hAnsi="Cambria Math"/>
                    </w:rPr>
                    <m:t>t</m:t>
                  </m:r>
                </m:e>
              </m:d>
            </m:e>
            <m:sub>
              <m:r>
                <w:rPr>
                  <w:rFonts w:ascii="Cambria Math" w:hAnsi="Cambria Math"/>
                </w:rPr>
                <m:t>c</m:t>
              </m:r>
              <m:r>
                <m:rPr>
                  <m:sty m:val="p"/>
                </m:rPr>
                <w:rPr>
                  <w:rFonts w:ascii="Cambria Math" w:hAnsi="Cambria Math"/>
                </w:rPr>
                <m:t>,</m:t>
              </m:r>
              <m:r>
                <w:rPr>
                  <w:rFonts w:ascii="Cambria Math" w:hAnsi="Cambria Math"/>
                </w:rPr>
                <m:t>p</m:t>
              </m:r>
            </m:sub>
          </m:sSub>
        </m:oMath>
      </m:oMathPara>
    </w:p>
    <w:p w14:paraId="73612E51" w14:textId="3F7E1463" w:rsidR="00D711FF" w:rsidRPr="004D0C63" w:rsidRDefault="00000000" w:rsidP="00F85C35">
      <w:pPr>
        <w:rPr>
          <w:rFonts w:eastAsiaTheme="minorEastAsia"/>
        </w:rPr>
      </w:pPr>
      <m:oMathPara>
        <m:oMath>
          <m:sSub>
            <m:sSubPr>
              <m:ctrlPr>
                <w:rPr>
                  <w:rFonts w:ascii="Cambria Math" w:hAnsi="Cambria Math"/>
                </w:rPr>
              </m:ctrlPr>
            </m:sSubPr>
            <m:e>
              <m:acc>
                <m:accPr>
                  <m:chr m:val="ˆ"/>
                  <m:ctrlPr>
                    <w:rPr>
                      <w:rFonts w:ascii="Cambria Math" w:hAnsi="Cambria Math"/>
                    </w:rPr>
                  </m:ctrlPr>
                </m:accPr>
                <m:e>
                  <m:r>
                    <w:rPr>
                      <w:rFonts w:ascii="Cambria Math" w:hAnsi="Cambria Math"/>
                    </w:rPr>
                    <m:t>r</m:t>
                  </m:r>
                </m:e>
              </m:acc>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missing</m:t>
                  </m:r>
                </m:sub>
              </m:sSub>
            </m:e>
          </m:d>
          <m:r>
            <m:rPr>
              <m:scr m:val="script"/>
              <m:sty m:val="p"/>
            </m:rP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missing</m:t>
                      </m:r>
                    </m:sub>
                  </m:sSub>
                </m:e>
              </m:d>
              <m:r>
                <m:rPr>
                  <m:sty m:val="p"/>
                </m:rPr>
                <w:rPr>
                  <w:rFonts w:ascii="Cambria Math" w:hAnsi="Cambria Math"/>
                </w:rPr>
                <m:t>,</m:t>
              </m:r>
              <m:r>
                <w:rPr>
                  <w:rFonts w:ascii="Cambria Math" w:hAnsi="Cambria Math"/>
                </w:rPr>
                <m:t>Var</m:t>
              </m:r>
              <m:d>
                <m:dPr>
                  <m:ctrlPr>
                    <w:rPr>
                      <w:rFonts w:ascii="Cambria Math" w:hAnsi="Cambria Math"/>
                    </w:rPr>
                  </m:ctrlPr>
                </m:dPr>
                <m:e>
                  <m:sSub>
                    <m:sSubPr>
                      <m:ctrlPr>
                        <w:rPr>
                          <w:rFonts w:ascii="Cambria Math" w:hAnsi="Cambria Math"/>
                        </w:rPr>
                      </m:ctrlPr>
                    </m:sSubPr>
                    <m:e>
                      <m:r>
                        <w:rPr>
                          <w:rFonts w:ascii="Cambria Math" w:hAnsi="Cambria Math"/>
                        </w:rPr>
                        <m:t>residuals</m:t>
                      </m:r>
                    </m:e>
                    <m:sub>
                      <m:r>
                        <w:rPr>
                          <w:rFonts w:ascii="Cambria Math" w:hAnsi="Cambria Math"/>
                        </w:rPr>
                        <m:t>c</m:t>
                      </m:r>
                      <m:r>
                        <m:rPr>
                          <m:sty m:val="p"/>
                        </m:rPr>
                        <w:rPr>
                          <w:rFonts w:ascii="Cambria Math" w:hAnsi="Cambria Math"/>
                        </w:rPr>
                        <m:t>,</m:t>
                      </m:r>
                      <m:r>
                        <w:rPr>
                          <w:rFonts w:ascii="Cambria Math" w:hAnsi="Cambria Math"/>
                        </w:rPr>
                        <m:t>p</m:t>
                      </m:r>
                    </m:sub>
                  </m:sSub>
                </m:e>
              </m:d>
            </m:e>
          </m:d>
        </m:oMath>
      </m:oMathPara>
    </w:p>
    <w:p w14:paraId="7E30E287" w14:textId="41D02780" w:rsidR="00D711FF" w:rsidRPr="004D0C63" w:rsidRDefault="00303FEB" w:rsidP="00F85C35">
      <w:r w:rsidRPr="004D0C63">
        <w:t xml:space="preserve">We then recover the original ratio and calculate the </w:t>
      </w:r>
      <w:r w:rsidR="00944EDF" w:rsidRPr="004D0C63">
        <w:t xml:space="preserve">confidential </w:t>
      </w:r>
      <w:r w:rsidR="002E4C22" w:rsidRPr="004D0C63">
        <w:t xml:space="preserve">production </w:t>
      </w:r>
      <w:r w:rsidRPr="004D0C63">
        <w:t>euro values</w:t>
      </w:r>
      <w:r w:rsidR="00CC146D" w:rsidRPr="004D0C63">
        <w:t>:</w:t>
      </w:r>
    </w:p>
    <w:p w14:paraId="6A7AF71A" w14:textId="77777777" w:rsidR="002E4C22" w:rsidRPr="004D0C63" w:rsidRDefault="00000000" w:rsidP="00F85C35">
      <m:oMathPara>
        <m:oMath>
          <m:sSub>
            <m:sSubPr>
              <m:ctrlPr>
                <w:rPr>
                  <w:rFonts w:ascii="Cambria Math" w:hAnsi="Cambria Math"/>
                </w:rPr>
              </m:ctrlPr>
            </m:sSubPr>
            <m:e>
              <m:acc>
                <m:accPr>
                  <m:chr m:val="ˆ"/>
                  <m:ctrlPr>
                    <w:rPr>
                      <w:rFonts w:ascii="Cambria Math" w:hAnsi="Cambria Math"/>
                    </w:rPr>
                  </m:ctrlPr>
                </m:accPr>
                <m:e>
                  <m:r>
                    <w:rPr>
                      <w:rFonts w:ascii="Cambria Math" w:hAnsi="Cambria Math"/>
                    </w:rPr>
                    <m:t>R</m:t>
                  </m:r>
                </m:e>
              </m:acc>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rPr>
                  </m:ctrlPr>
                </m:sSubPr>
                <m:e>
                  <m:acc>
                    <m:accPr>
                      <m:chr m:val="ˆ"/>
                      <m:ctrlPr>
                        <w:rPr>
                          <w:rFonts w:ascii="Cambria Math" w:hAnsi="Cambria Math"/>
                        </w:rPr>
                      </m:ctrlPr>
                    </m:accPr>
                    <m:e>
                      <m:r>
                        <w:rPr>
                          <w:rFonts w:ascii="Cambria Math" w:hAnsi="Cambria Math"/>
                        </w:rPr>
                        <m:t>r</m:t>
                      </m:r>
                    </m:e>
                  </m:acc>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e>
          </m:d>
        </m:oMath>
      </m:oMathPara>
    </w:p>
    <w:p w14:paraId="395B74B3" w14:textId="7BAB020F" w:rsidR="002374ED" w:rsidRPr="004D0C63" w:rsidRDefault="00000000" w:rsidP="00F85C35">
      <m:oMathPara>
        <m:oMath>
          <m:sSubSup>
            <m:sSubSupPr>
              <m:ctrlPr>
                <w:rPr>
                  <w:rFonts w:ascii="Cambria Math" w:hAnsi="Cambria Math"/>
                </w:rPr>
              </m:ctrlPr>
            </m:sSubSupPr>
            <m:e>
              <m:acc>
                <m:accPr>
                  <m:chr m:val="ˆ"/>
                  <m:ctrlPr>
                    <w:rPr>
                      <w:rFonts w:ascii="Cambria Math" w:hAnsi="Cambria Math"/>
                    </w:rPr>
                  </m:ctrlPr>
                </m:accPr>
                <m:e>
                  <m:r>
                    <w:rPr>
                      <w:rFonts w:ascii="Cambria Math" w:hAnsi="Cambria Math"/>
                    </w:rPr>
                    <m:t>V</m:t>
                  </m:r>
                </m:e>
              </m:acc>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up>
              <m:r>
                <w:rPr>
                  <w:rFonts w:ascii="Cambria Math" w:hAnsi="Cambria Math"/>
                </w:rPr>
                <m:t>P</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up>
                  <m:r>
                    <w:rPr>
                      <w:rFonts w:ascii="Cambria Math" w:hAnsi="Cambria Math"/>
                    </w:rPr>
                    <m:t>E</m:t>
                  </m:r>
                </m:sup>
              </m:sSubSup>
            </m:num>
            <m:den>
              <m:sSub>
                <m:sSubPr>
                  <m:ctrlPr>
                    <w:rPr>
                      <w:rFonts w:ascii="Cambria Math" w:hAnsi="Cambria Math"/>
                    </w:rPr>
                  </m:ctrlPr>
                </m:sSubPr>
                <m:e>
                  <m:acc>
                    <m:accPr>
                      <m:chr m:val="ˆ"/>
                      <m:ctrlPr>
                        <w:rPr>
                          <w:rFonts w:ascii="Cambria Math" w:hAnsi="Cambria Math"/>
                        </w:rPr>
                      </m:ctrlPr>
                    </m:accPr>
                    <m:e>
                      <m:r>
                        <w:rPr>
                          <w:rFonts w:ascii="Cambria Math" w:hAnsi="Cambria Math"/>
                        </w:rPr>
                        <m:t>R</m:t>
                      </m:r>
                    </m:e>
                  </m:acc>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den>
          </m:f>
        </m:oMath>
      </m:oMathPara>
    </w:p>
    <w:p w14:paraId="2B796782" w14:textId="19072420" w:rsidR="00944EDF" w:rsidRPr="004D0C63" w:rsidRDefault="00944EDF" w:rsidP="00F85C35">
      <w:r w:rsidRPr="004D0C63">
        <w:t>We then repeat STEP 1 to recover</w:t>
      </w:r>
      <w:r w:rsidR="00540992" w:rsidRPr="004D0C63">
        <w:t xml:space="preserve"> quantities in number of items from the newly estimated monetary values.</w:t>
      </w:r>
    </w:p>
    <w:p w14:paraId="38592783" w14:textId="77777777" w:rsidR="00632313" w:rsidRPr="00DC0527" w:rsidRDefault="00632313" w:rsidP="00F85C35">
      <w:pPr>
        <w:rPr>
          <w:b/>
          <w:bCs/>
        </w:rPr>
      </w:pPr>
      <w:r w:rsidRPr="00DC0527">
        <w:rPr>
          <w:b/>
          <w:bCs/>
        </w:rPr>
        <w:t xml:space="preserve">STEP 3: MEDIAN ABSOLUTE DEVIATION &amp; RESIDUALS – identify outliers </w:t>
      </w:r>
    </w:p>
    <w:p w14:paraId="6D0059D3" w14:textId="331A13BB" w:rsidR="00A06B25" w:rsidRPr="004D0C63" w:rsidRDefault="00A06B25" w:rsidP="00F85C35">
      <w:r w:rsidRPr="004D0C63">
        <w:t>We use two separate methods for outlier detection</w:t>
      </w:r>
      <w:r w:rsidR="009938ED" w:rsidRPr="004D0C63">
        <w:t xml:space="preserve">. We perform both methodologies on time series of monetary values and physical quantities for production </w:t>
      </w:r>
      <w:r w:rsidR="001200C9" w:rsidRPr="004D0C63">
        <w:t xml:space="preserve">of each product in each country. </w:t>
      </w:r>
      <w:r w:rsidR="001D5FF3" w:rsidRPr="004D0C63">
        <w:t xml:space="preserve">The two methods are: a local Median Absolute Deviation (MAD) </w:t>
      </w:r>
      <w:r w:rsidR="000D3C93" w:rsidRPr="004D0C63">
        <w:t xml:space="preserve">approach </w:t>
      </w:r>
      <w:r w:rsidR="001D5FF3" w:rsidRPr="004D0C63">
        <w:fldChar w:fldCharType="begin"/>
      </w:r>
      <w:r w:rsidR="001D5FF3" w:rsidRPr="004D0C63">
        <w:instrText xml:space="preserve"> ADDIN ZOTERO_ITEM CSL_CITATION {"citationID":"x72y1zl2","properties":{"unsorted":false,"formattedCitation":"(Huisman et al., 2017)","plainCitation":"(Huisman et al., 2017)","noteIndex":0},"citationItems":[{"id":15,"uris":["http://zotero.org/users/16823286/items/XZZRQBEF"],"itemData":{"id":15,"type":"report","call-number":"641999","language":"en","number":"Deliverable 3.3","publisher":"United Nations University","source":"Zotero","title":"Prospecting Secondary raw materials in the Urban mine and Mining waste - Product Stocks and Flows","author":[{"family":"Huisman","given":"Jaco"},{"family":"Habib","given":"Hina"},{"family":"Baldé","given":"Kees"},{"family":"Straalen","given":"Vincent","dropping-particle":"van"},{"family":"Chancerel","given":"Perrine"},{"family":"Chanson","given":"Claude"},{"family":"Söderman","given":"Maria"},{"family":"Kushnir","given":"Duncan"}],"issued":{"date-parts":[["2017"]]}}}],"schema":"https://github.com/citation-style-language/schema/raw/master/csl-citation.json"} </w:instrText>
      </w:r>
      <w:r w:rsidR="001D5FF3" w:rsidRPr="004D0C63">
        <w:fldChar w:fldCharType="separate"/>
      </w:r>
      <w:r w:rsidR="001D5FF3" w:rsidRPr="004D0C63">
        <w:rPr>
          <w:rFonts w:ascii="Aptos" w:hAnsi="Aptos"/>
        </w:rPr>
        <w:t>(Huisman et al., 2017)</w:t>
      </w:r>
      <w:r w:rsidR="001D5FF3" w:rsidRPr="004D0C63">
        <w:fldChar w:fldCharType="end"/>
      </w:r>
      <w:r w:rsidR="001D5FF3" w:rsidRPr="004D0C63">
        <w:t xml:space="preserve"> and a global regression residual-based approach </w:t>
      </w:r>
      <w:r w:rsidR="001D5FF3" w:rsidRPr="004D0C63">
        <w:fldChar w:fldCharType="begin"/>
      </w:r>
      <w:r w:rsidR="001D5FF3" w:rsidRPr="004D0C63">
        <w:instrText xml:space="preserve"> ADDIN ZOTERO_ITEM CSL_CITATION {"citationID":"gQfp7ePl","properties":{"unsorted":false,"formattedCitation":"(Napolano et al., 2025)","plainCitation":"(Napolano et al., 2025)","noteIndex":0},"citationItems":[{"id":13,"uris":["http://zotero.org/users/16823286/items/2NTSW6T8"],"itemData":{"id":13,"type":"article-journal","abstract":"Textile production and consumption has been increasing over time, along with an increase in waste production. However, there is a substantial gap in knowledge about the textile flows. The European Union has set ambitious target in relation to circularity of the textile sector. Hence, it is essential to understand the complex system of textile production, consumption and disposal to identify the most effective pathways towards circularity. To the best of our knowledge, an overview of textiles flows throughout the whole EU textiles value chain, including both products manufacturing and end of life, remains elusive. To address this gap, this study presents a Dynamic Probabilistic Mass Flow Analysis (DPMFA) of textiles in the EU-27 in the year 2019 (reference year) and 2035 (baseline). It is estimated that annually 11 Mt of used and waste textiles are generated in the EU, of which approximately 80% are either incinerated or landfilled (8.5 Mt).","container-title":"Resources, Conservation and Recycling","DOI":"10.1016/j.resconrec.2024.107888","ISSN":"09213449","journalAbbreviation":"Resources, Conservation and Recycling","language":"en","page":"107888","source":"DOI.org (Crossref)","title":"Understanding textile value chains: Dynamic Probabilistic Material Flow Analysis of textile in the European Union","title-short":"Understanding textile value chains","volume":"212","author":[{"family":"Napolano","given":"Loredana"},{"family":"Foschi","given":"Jacopo"},{"family":"Caldeira","given":"Carla"},{"family":"Huygens","given":"Dries"},{"family":"Sala","given":"Serenella"}],"issued":{"date-parts":[["2025",1]]}}}],"schema":"https://github.com/citation-style-language/schema/raw/master/csl-citation.json"} </w:instrText>
      </w:r>
      <w:r w:rsidR="001D5FF3" w:rsidRPr="004D0C63">
        <w:fldChar w:fldCharType="separate"/>
      </w:r>
      <w:r w:rsidR="001D5FF3" w:rsidRPr="004D0C63">
        <w:rPr>
          <w:rFonts w:ascii="Aptos" w:hAnsi="Aptos"/>
        </w:rPr>
        <w:t>(Napolano et al., 2025)</w:t>
      </w:r>
      <w:r w:rsidR="001D5FF3" w:rsidRPr="004D0C63">
        <w:fldChar w:fldCharType="end"/>
      </w:r>
      <w:r w:rsidR="001D5FF3" w:rsidRPr="004D0C63">
        <w:t>.</w:t>
      </w:r>
    </w:p>
    <w:p w14:paraId="23C81BB1" w14:textId="782A4C65" w:rsidR="002364AB" w:rsidRPr="004D0C63" w:rsidRDefault="00AC2BCE" w:rsidP="00F85C35">
      <w:r w:rsidRPr="004D0C63">
        <w:t xml:space="preserve">The </w:t>
      </w:r>
      <w:r w:rsidR="00951259" w:rsidRPr="004D0C63">
        <w:t>MAD</w:t>
      </w:r>
      <w:r w:rsidRPr="004D0C63">
        <w:t xml:space="preserve"> has been adapted for this study with a sliding window of 5 years</w:t>
      </w:r>
      <w:commentRangeStart w:id="8"/>
      <w:r w:rsidRPr="004D0C63">
        <w:t>.</w:t>
      </w:r>
      <w:commentRangeEnd w:id="8"/>
      <w:r w:rsidR="002364AB" w:rsidRPr="004D0C63">
        <w:rPr>
          <w:rStyle w:val="CommentReference"/>
          <w:sz w:val="22"/>
          <w:szCs w:val="24"/>
        </w:rPr>
        <w:commentReference w:id="8"/>
      </w:r>
      <w:r w:rsidRPr="004D0C63">
        <w:t xml:space="preserve"> This time range has been identified as appropriate by visual inspection to respect the trends in production and improve reliability </w:t>
      </w:r>
      <w:r w:rsidRPr="004D0C63">
        <w:lastRenderedPageBreak/>
        <w:t xml:space="preserve">of the method. </w:t>
      </w:r>
      <w:r w:rsidR="004C2B01" w:rsidRPr="004D0C63">
        <w:t xml:space="preserve">Let </w:t>
      </w:r>
      <m:oMath>
        <m:sSub>
          <m:sSubPr>
            <m:ctrlPr>
              <w:rPr>
                <w:rFonts w:ascii="Cambria Math" w:hAnsi="Cambria Math"/>
              </w:rPr>
            </m:ctrlPr>
          </m:sSubPr>
          <m:e>
            <m:r>
              <w:rPr>
                <w:rFonts w:ascii="Cambria Math" w:hAnsi="Cambria Math"/>
              </w:rPr>
              <m:t>P</m:t>
            </m:r>
          </m:e>
          <m:sub>
            <m:r>
              <w:rPr>
                <w:rFonts w:ascii="Cambria Math" w:hAnsi="Cambria Math"/>
              </w:rPr>
              <m:t>t,c,p,u</m:t>
            </m:r>
          </m:sub>
        </m:sSub>
      </m:oMath>
      <w:r w:rsidR="002364AB" w:rsidRPr="004D0C63">
        <w:t xml:space="preserve"> denote production value for a specific country </w:t>
      </w:r>
      <w:r w:rsidR="00EB4F5A" w:rsidRPr="004D0C63">
        <w:rPr>
          <w:i/>
          <w:iCs/>
        </w:rPr>
        <w:t>c</w:t>
      </w:r>
      <w:r w:rsidR="00EB4F5A" w:rsidRPr="004D0C63">
        <w:t xml:space="preserve">, year </w:t>
      </w:r>
      <w:r w:rsidR="00EB4F5A" w:rsidRPr="004D0C63">
        <w:rPr>
          <w:i/>
          <w:iCs/>
        </w:rPr>
        <w:t>t</w:t>
      </w:r>
      <w:r w:rsidR="00EB4F5A" w:rsidRPr="004D0C63">
        <w:t xml:space="preserve">, product </w:t>
      </w:r>
      <w:r w:rsidR="00EB4F5A" w:rsidRPr="004D0C63">
        <w:rPr>
          <w:i/>
          <w:iCs/>
        </w:rPr>
        <w:t>p</w:t>
      </w:r>
      <w:r w:rsidR="00EB4F5A" w:rsidRPr="004D0C63">
        <w:t xml:space="preserve">, expressed in unit </w:t>
      </w:r>
      <w:r w:rsidR="00EB4F5A" w:rsidRPr="004D0C63">
        <w:rPr>
          <w:i/>
          <w:iCs/>
        </w:rPr>
        <w:t>u</w:t>
      </w:r>
      <w:r w:rsidR="00EB4F5A" w:rsidRPr="004D0C63">
        <w:t xml:space="preserve"> (either euro or number of items). Then we define a rolling window</w:t>
      </w:r>
      <w:r w:rsidR="00FC7969" w:rsidRPr="004D0C63">
        <w:t xml:space="preserve"> (</w:t>
      </w:r>
      <w:r w:rsidR="00FC7969" w:rsidRPr="004D0C63">
        <w:rPr>
          <w:i/>
          <w:iCs/>
        </w:rPr>
        <w:t>w</w:t>
      </w:r>
      <w:r w:rsidR="00FC7969" w:rsidRPr="004D0C63">
        <w:t>)</w:t>
      </w:r>
      <w:r w:rsidR="00EB4F5A" w:rsidRPr="004D0C63">
        <w:t xml:space="preserve"> such that:</w:t>
      </w:r>
    </w:p>
    <w:p w14:paraId="11CF1980" w14:textId="1712839A" w:rsidR="00951259" w:rsidRPr="004D0C63" w:rsidRDefault="00000000" w:rsidP="00F85C35">
      <m:oMathPara>
        <m:oMath>
          <m:sSub>
            <m:sSubPr>
              <m:ctrlPr>
                <w:rPr>
                  <w:rFonts w:ascii="Cambria Math" w:hAnsi="Cambria Math"/>
                </w:rPr>
              </m:ctrlPr>
            </m:sSubPr>
            <m:e>
              <m:r>
                <m:rPr>
                  <m:scr m:val="script"/>
                  <m:sty m:val="p"/>
                </m:rPr>
                <w:rPr>
                  <w:rFonts w:ascii="Cambria Math" w:hAnsi="Cambria Math"/>
                </w:rPr>
                <m:t>W</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w</m:t>
              </m:r>
              <m:r>
                <m:rPr>
                  <m:sty m:val="p"/>
                </m:rPr>
                <w:rPr>
                  <w:rFonts w:ascii="Cambria Math" w:hAnsi="Cambria Math"/>
                </w:rPr>
                <m:t>-1</m:t>
              </m:r>
            </m:sub>
          </m:sSub>
        </m:oMath>
      </m:oMathPara>
    </w:p>
    <w:p w14:paraId="4FB958F1" w14:textId="59A74117" w:rsidR="00951259" w:rsidRPr="004D0C63" w:rsidRDefault="00951259" w:rsidP="00F85C35">
      <w:r w:rsidRPr="004D0C63">
        <w:t>For each window, the local median (</w:t>
      </w:r>
      <w:r w:rsidRPr="004D0C63">
        <w:rPr>
          <w:i/>
          <w:iCs/>
        </w:rPr>
        <w:t>m</w:t>
      </w:r>
      <w:r w:rsidRPr="004D0C63">
        <w:t>) and MAD are computed as:</w:t>
      </w:r>
    </w:p>
    <w:p w14:paraId="05E2B37F" w14:textId="76304B1E" w:rsidR="00951259" w:rsidRPr="004D0C63" w:rsidRDefault="00000000" w:rsidP="00F85C35">
      <m:oMathPara>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r>
            <m:rPr>
              <m:sty m:val="p"/>
            </m:rPr>
            <w:rPr>
              <w:rFonts w:ascii="Cambria Math" w:hAnsi="Cambria Math"/>
            </w:rPr>
            <m:t>=median</m:t>
          </m:r>
          <m:d>
            <m:dPr>
              <m:ctrlPr>
                <w:rPr>
                  <w:rFonts w:ascii="Cambria Math" w:hAnsi="Cambria Math"/>
                </w:rPr>
              </m:ctrlPr>
            </m:dPr>
            <m:e>
              <m:sSub>
                <m:sSubPr>
                  <m:ctrlPr>
                    <w:rPr>
                      <w:rFonts w:ascii="Cambria Math" w:hAnsi="Cambria Math"/>
                    </w:rPr>
                  </m:ctrlPr>
                </m:sSubPr>
                <m:e>
                  <m:r>
                    <m:rPr>
                      <m:scr m:val="script"/>
                      <m:sty m:val="p"/>
                    </m:rPr>
                    <w:rPr>
                      <w:rFonts w:ascii="Cambria Math" w:hAnsi="Cambria Math"/>
                    </w:rPr>
                    <m:t>W</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e>
          </m:d>
        </m:oMath>
      </m:oMathPara>
    </w:p>
    <w:p w14:paraId="5C5C71EE" w14:textId="39E15AE4" w:rsidR="00FA1B8F" w:rsidRPr="004D0C63" w:rsidRDefault="00000000" w:rsidP="00F85C35">
      <w:pPr>
        <w:rPr>
          <w:rFonts w:eastAsiaTheme="minorEastAsia"/>
        </w:rPr>
      </w:pPr>
      <m:oMathPara>
        <m:oMath>
          <m:sSub>
            <m:sSubPr>
              <m:ctrlPr>
                <w:rPr>
                  <w:rFonts w:ascii="Cambria Math" w:hAnsi="Cambria Math"/>
                </w:rPr>
              </m:ctrlPr>
            </m:sSubPr>
            <m:e>
              <m:r>
                <m:rPr>
                  <m:sty m:val="p"/>
                </m:rPr>
                <w:rPr>
                  <w:rFonts w:ascii="Cambria Math" w:hAnsi="Cambria Math"/>
                </w:rPr>
                <m:t>MAD</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r>
            <m:rPr>
              <m:sty m:val="p"/>
            </m:rPr>
            <w:rPr>
              <w:rFonts w:ascii="Cambria Math" w:hAnsi="Cambria Math"/>
            </w:rPr>
            <m:t>=median</m:t>
          </m:r>
          <m:d>
            <m:dPr>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m:rPr>
                          <m:scr m:val="script"/>
                          <m:sty m:val="p"/>
                        </m:rPr>
                        <w:rPr>
                          <w:rFonts w:ascii="Cambria Math" w:hAnsi="Cambria Math"/>
                        </w:rPr>
                        <m:t>W</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e>
              </m:d>
            </m:e>
          </m:d>
        </m:oMath>
      </m:oMathPara>
    </w:p>
    <w:p w14:paraId="70EE1A5F" w14:textId="13EA47BA" w:rsidR="000E6F43" w:rsidRPr="004D0C63" w:rsidRDefault="00337A80" w:rsidP="00F85C35">
      <w:r w:rsidRPr="004D0C63">
        <w:t>When</w:t>
      </w:r>
      <w:r w:rsidR="000E6F43" w:rsidRPr="004D0C63">
        <w:t xml:space="preserve"> MAD is 0, </w:t>
      </w:r>
      <w:r w:rsidRPr="004D0C63">
        <w:t>we replace it with a</w:t>
      </w:r>
      <w:r w:rsidR="000E6F43" w:rsidRPr="004D0C63">
        <w:t xml:space="preserve"> global dispersion measure:</w:t>
      </w:r>
    </w:p>
    <w:p w14:paraId="2F3076B7" w14:textId="5FED3C36" w:rsidR="000E6F43" w:rsidRPr="004D0C63" w:rsidRDefault="00000000" w:rsidP="00F85C35">
      <m:oMathPara>
        <m:oMath>
          <m:sSub>
            <m:sSubPr>
              <m:ctrlPr>
                <w:rPr>
                  <w:rFonts w:ascii="Cambria Math" w:hAnsi="Cambria Math"/>
                </w:rPr>
              </m:ctrlPr>
            </m:sSubPr>
            <m:e>
              <m:r>
                <m:rPr>
                  <m:sty m:val="p"/>
                </m:rPr>
                <w:rPr>
                  <w:rFonts w:ascii="Cambria Math" w:hAnsi="Cambria Math"/>
                </w:rPr>
                <m:t>MAD</m:t>
              </m:r>
            </m:e>
            <m:sub>
              <m:r>
                <w:rPr>
                  <w:rFonts w:ascii="Cambria Math" w:hAnsi="Cambria Math"/>
                </w:rPr>
                <m:t>c,p,u</m:t>
              </m:r>
            </m:sub>
          </m:sSub>
          <m:r>
            <w:rPr>
              <w:rFonts w:ascii="Cambria Math" w:hAnsi="Cambria Math"/>
            </w:rPr>
            <m:t>=0.1⋅</m:t>
          </m:r>
          <m:r>
            <m:rPr>
              <m:sty m:val="p"/>
            </m:rPr>
            <w:rPr>
              <w:rFonts w:ascii="Cambria Math" w:hAnsi="Cambria Math"/>
            </w:rPr>
            <m:t>median</m:t>
          </m:r>
          <m:d>
            <m:dPr>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P</m:t>
                      </m:r>
                    </m:e>
                    <m:sub>
                      <m:r>
                        <w:rPr>
                          <w:rFonts w:ascii="Cambria Math" w:hAnsi="Cambria Math"/>
                        </w:rPr>
                        <m:t>c,p,u</m:t>
                      </m:r>
                    </m:sub>
                  </m:sSub>
                  <m:d>
                    <m:dPr>
                      <m:ctrlPr>
                        <w:rPr>
                          <w:rFonts w:ascii="Cambria Math" w:hAnsi="Cambria Math"/>
                        </w:rPr>
                      </m:ctrlPr>
                    </m:dPr>
                    <m:e>
                      <m:r>
                        <w:rPr>
                          <w:rFonts w:ascii="Cambria Math" w:hAnsi="Cambria Math"/>
                        </w:rPr>
                        <m:t>t</m:t>
                      </m:r>
                    </m:e>
                  </m:d>
                  <m:r>
                    <w:rPr>
                      <w:rFonts w:ascii="Cambria Math" w:hAnsi="Cambria Math"/>
                    </w:rPr>
                    <m:t>-</m:t>
                  </m:r>
                  <m:r>
                    <m:rPr>
                      <m:sty m:val="p"/>
                    </m:rPr>
                    <w:rPr>
                      <w:rFonts w:ascii="Cambria Math" w:hAnsi="Cambria Math"/>
                    </w:rPr>
                    <m:t>median</m:t>
                  </m:r>
                  <m:d>
                    <m:dPr>
                      <m:ctrlPr>
                        <w:rPr>
                          <w:rFonts w:ascii="Cambria Math" w:hAnsi="Cambria Math"/>
                        </w:rPr>
                      </m:ctrlPr>
                    </m:dPr>
                    <m:e>
                      <m:sSub>
                        <m:sSubPr>
                          <m:ctrlPr>
                            <w:rPr>
                              <w:rFonts w:ascii="Cambria Math" w:hAnsi="Cambria Math"/>
                            </w:rPr>
                          </m:ctrlPr>
                        </m:sSubPr>
                        <m:e>
                          <m:r>
                            <m:rPr>
                              <m:sty m:val="p"/>
                            </m:rPr>
                            <w:rPr>
                              <w:rFonts w:ascii="Cambria Math" w:hAnsi="Cambria Math"/>
                            </w:rPr>
                            <m:t>P</m:t>
                          </m:r>
                        </m:e>
                        <m:sub>
                          <m:r>
                            <w:rPr>
                              <w:rFonts w:ascii="Cambria Math" w:hAnsi="Cambria Math"/>
                            </w:rPr>
                            <m:t>c,p,u</m:t>
                          </m:r>
                        </m:sub>
                      </m:sSub>
                      <m:d>
                        <m:dPr>
                          <m:ctrlPr>
                            <w:rPr>
                              <w:rFonts w:ascii="Cambria Math" w:hAnsi="Cambria Math"/>
                            </w:rPr>
                          </m:ctrlPr>
                        </m:dPr>
                        <m:e>
                          <m:r>
                            <w:rPr>
                              <w:rFonts w:ascii="Cambria Math" w:hAnsi="Cambria Math"/>
                            </w:rPr>
                            <m:t>t</m:t>
                          </m:r>
                        </m:e>
                      </m:d>
                    </m:e>
                  </m:d>
                </m:e>
              </m:d>
            </m:e>
          </m:d>
        </m:oMath>
      </m:oMathPara>
    </w:p>
    <w:p w14:paraId="5C5A8C38" w14:textId="0DA41772" w:rsidR="000E6F43" w:rsidRPr="004D0C63" w:rsidRDefault="006D0674" w:rsidP="00F85C35">
      <w:r w:rsidRPr="004D0C63">
        <w:t xml:space="preserve">Then, setting </w:t>
      </w:r>
      <w:r w:rsidRPr="004D0C63">
        <w:rPr>
          <w:i/>
          <w:iCs/>
        </w:rPr>
        <w:t>k</w:t>
      </w:r>
      <w:r w:rsidRPr="004D0C63">
        <w:t xml:space="preserve"> as a fixed sensitivity parameter</w:t>
      </w:r>
      <w:r w:rsidR="00F618D5" w:rsidRPr="004D0C63">
        <w:t xml:space="preserve"> (equal to 3)</w:t>
      </w:r>
      <w:r w:rsidR="002B5467" w:rsidRPr="004D0C63">
        <w:t>, we check</w:t>
      </w:r>
      <w:r w:rsidR="00C4498B" w:rsidRPr="004D0C63">
        <w:t xml:space="preserve"> for every P in the window</w:t>
      </w:r>
      <w:r w:rsidR="000E6F43" w:rsidRPr="004D0C63">
        <w:t>:</w:t>
      </w:r>
    </w:p>
    <w:p w14:paraId="33862AE2" w14:textId="678F2FE6" w:rsidR="000E6F43" w:rsidRPr="004D0C63" w:rsidRDefault="00000000" w:rsidP="00F85C35">
      <m:oMathPara>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e>
          </m:d>
          <m:r>
            <m:rPr>
              <m:sty m:val="p"/>
            </m:rPr>
            <w:rPr>
              <w:rFonts w:ascii="Cambria Math" w:hAnsi="Cambria Math"/>
            </w:rPr>
            <m:t>&gt;</m:t>
          </m:r>
          <m:r>
            <w:rPr>
              <w:rFonts w:ascii="Cambria Math" w:hAnsi="Cambria Math"/>
            </w:rPr>
            <m:t>k</m:t>
          </m:r>
          <m:r>
            <m:rPr>
              <m:sty m:val="p"/>
            </m:rPr>
            <w:rPr>
              <w:rFonts w:ascii="Cambria Math" w:hAnsi="Cambria Math"/>
            </w:rPr>
            <m:t>⋅</m:t>
          </m:r>
          <m:sSub>
            <m:sSubPr>
              <m:ctrlPr>
                <w:rPr>
                  <w:rFonts w:ascii="Cambria Math" w:hAnsi="Cambria Math"/>
                </w:rPr>
              </m:ctrlPr>
            </m:sSubPr>
            <m:e>
              <m:r>
                <m:rPr>
                  <m:sty m:val="p"/>
                </m:rPr>
                <w:rPr>
                  <w:rFonts w:ascii="Cambria Math" w:hAnsi="Cambria Math"/>
                </w:rPr>
                <m:t>MAD</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oMath>
      </m:oMathPara>
    </w:p>
    <w:p w14:paraId="1CB8C552" w14:textId="00EC8859" w:rsidR="000E6F43" w:rsidRPr="004D0C63" w:rsidRDefault="00C4498B" w:rsidP="00F85C35">
      <w:r w:rsidRPr="004D0C63">
        <w:t xml:space="preserve">If it is true, we consider </w:t>
      </w:r>
      <m:oMath>
        <m:sSub>
          <m:sSubPr>
            <m:ctrlPr>
              <w:rPr>
                <w:rFonts w:ascii="Cambria Math" w:hAnsi="Cambria Math"/>
              </w:rPr>
            </m:ctrlPr>
          </m:sSubPr>
          <m:e>
            <m:r>
              <w:rPr>
                <w:rFonts w:ascii="Cambria Math" w:hAnsi="Cambria Math"/>
              </w:rPr>
              <m:t>P</m:t>
            </m:r>
          </m:e>
          <m:sub>
            <m:r>
              <w:rPr>
                <w:rFonts w:ascii="Cambria Math" w:hAnsi="Cambria Math"/>
              </w:rPr>
              <m:t>c,p,u,t</m:t>
            </m:r>
          </m:sub>
        </m:sSub>
      </m:oMath>
      <w:r w:rsidRPr="004D0C63">
        <w:t xml:space="preserve"> to be an outlier in the given window. </w:t>
      </w:r>
      <w:r w:rsidR="000E6F43" w:rsidRPr="004D0C63">
        <w:t xml:space="preserve">Because each observation appears in multiple overlapping windows, a voting scheme is applied. An observation is classified as an outlier under the MAD rule if it </w:t>
      </w:r>
      <w:r w:rsidRPr="004D0C63">
        <w:t xml:space="preserve">is an outlier in at least 60% of the </w:t>
      </w:r>
      <w:r w:rsidR="00FB1E45" w:rsidRPr="004D0C63">
        <w:t>windows it appears in.</w:t>
      </w:r>
    </w:p>
    <w:p w14:paraId="20194646" w14:textId="477E8238" w:rsidR="00FB1E45" w:rsidRPr="004D0C63" w:rsidRDefault="00370D07" w:rsidP="00F85C35">
      <w:r w:rsidRPr="004D0C63">
        <w:t xml:space="preserve">To calculate global </w:t>
      </w:r>
      <w:r w:rsidR="00530E3C" w:rsidRPr="004D0C63">
        <w:t>outliers,</w:t>
      </w:r>
      <w:r w:rsidRPr="004D0C63">
        <w:t xml:space="preserve"> we use distribution of residuals. A linear </w:t>
      </w:r>
      <w:r w:rsidR="00475EC7" w:rsidRPr="004D0C63">
        <w:t xml:space="preserve">function </w:t>
      </w:r>
      <w:r w:rsidR="00475EC7" w:rsidRPr="004D0C63">
        <w:rPr>
          <w:i/>
          <w:iCs/>
        </w:rPr>
        <w:t>f(t)</w:t>
      </w:r>
      <w:r w:rsidRPr="004D0C63">
        <w:t xml:space="preserve"> is estimated </w:t>
      </w:r>
      <w:r w:rsidR="00456D4B" w:rsidRPr="004D0C63">
        <w:t>using ordinary least square (OLS)</w:t>
      </w:r>
      <w:r w:rsidR="00475EC7" w:rsidRPr="004D0C63">
        <w:t xml:space="preserve"> to approximate production trend such that</w:t>
      </w:r>
      <w:r w:rsidRPr="004D0C63">
        <w:t>:</w:t>
      </w:r>
    </w:p>
    <w:p w14:paraId="75C99695" w14:textId="5B57198F" w:rsidR="006F143A" w:rsidRPr="004D0C63" w:rsidRDefault="00000000" w:rsidP="00F85C35">
      <m:oMathPara>
        <m:oMath>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ϵ</m:t>
          </m:r>
        </m:oMath>
      </m:oMathPara>
    </w:p>
    <w:p w14:paraId="05300116" w14:textId="489D59C2" w:rsidR="000036F3" w:rsidRPr="004D0C63" w:rsidRDefault="000036F3" w:rsidP="00F85C35">
      <w:r w:rsidRPr="004D0C63">
        <w:t>Residuals are calculated with respect to this estimated trend</w:t>
      </w:r>
    </w:p>
    <w:p w14:paraId="38512AF2" w14:textId="21C0BBFA" w:rsidR="006F143A" w:rsidRPr="004D0C63" w:rsidRDefault="006F143A" w:rsidP="00F85C35">
      <m:oMathPara>
        <m:oMath>
          <m:r>
            <w:rPr>
              <w:rFonts w:ascii="Cambria Math" w:hAnsi="Cambria Math"/>
            </w:rPr>
            <m:t>residual</m:t>
          </m:r>
          <m:sSub>
            <m:sSubPr>
              <m:ctrlPr>
                <w:rPr>
                  <w:rFonts w:ascii="Cambria Math" w:hAnsi="Cambria Math"/>
                </w:rPr>
              </m:ctrlPr>
            </m:sSubPr>
            <m:e>
              <m:r>
                <w:rPr>
                  <w:rFonts w:ascii="Cambria Math" w:hAnsi="Cambria Math"/>
                </w:rPr>
                <m:t>s</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oMath>
      </m:oMathPara>
    </w:p>
    <w:p w14:paraId="0807B55C" w14:textId="74BA66D8" w:rsidR="00B830A7" w:rsidRPr="004D0C63" w:rsidRDefault="00B830A7" w:rsidP="00F85C35">
      <w:r w:rsidRPr="004D0C63">
        <w:t xml:space="preserve">We calculate the interquartile range (IQR) of the residuals and define </w:t>
      </w:r>
      <w:r w:rsidR="001F1F6D" w:rsidRPr="004D0C63">
        <w:t>upper and lower bounds for outliers using the standard</w:t>
      </w:r>
      <w:r w:rsidR="00C02D93" w:rsidRPr="004D0C63">
        <w:t xml:space="preserve"> 1.5 IQR rule:</w:t>
      </w:r>
    </w:p>
    <w:p w14:paraId="7E63A026" w14:textId="4A2319F0" w:rsidR="006F143A" w:rsidRPr="004D0C63" w:rsidRDefault="00000000" w:rsidP="00F85C35">
      <m:oMath>
        <m:sSub>
          <m:sSubPr>
            <m:ctrlPr>
              <w:rPr>
                <w:rFonts w:ascii="Cambria Math" w:hAnsi="Cambria Math"/>
              </w:rPr>
            </m:ctrlPr>
          </m:sSubPr>
          <m:e>
            <m:r>
              <w:rPr>
                <w:rFonts w:ascii="Cambria Math" w:hAnsi="Cambria Math"/>
              </w:rPr>
              <m:t>Q</m:t>
            </m:r>
          </m:e>
          <m:sub>
            <m:r>
              <m:rPr>
                <m:sty m:val="p"/>
              </m:rPr>
              <w:rPr>
                <w:rFonts w:ascii="Cambria Math" w:hAnsi="Cambria Math"/>
              </w:rPr>
              <m:t>1</m:t>
            </m:r>
          </m:sub>
        </m:sSub>
        <m:r>
          <m:rPr>
            <m:sty m:val="p"/>
          </m:rPr>
          <w:rPr>
            <w:rFonts w:ascii="Cambria Math" w:hAnsi="Cambria Math"/>
          </w:rPr>
          <m:t>=quantile</m:t>
        </m:r>
        <m:d>
          <m:dPr>
            <m:ctrlPr>
              <w:rPr>
                <w:rFonts w:ascii="Cambria Math" w:hAnsi="Cambria Math"/>
              </w:rPr>
            </m:ctrlPr>
          </m:dPr>
          <m:e>
            <m:r>
              <w:rPr>
                <w:rFonts w:ascii="Cambria Math" w:hAnsi="Cambria Math"/>
              </w:rPr>
              <m:t>residual</m:t>
            </m:r>
            <m:sSub>
              <m:sSubPr>
                <m:ctrlPr>
                  <w:rPr>
                    <w:rFonts w:ascii="Cambria Math" w:hAnsi="Cambria Math"/>
                  </w:rPr>
                </m:ctrlPr>
              </m:sSubPr>
              <m:e>
                <m:r>
                  <w:rPr>
                    <w:rFonts w:ascii="Cambria Math" w:hAnsi="Cambria Math"/>
                  </w:rPr>
                  <m:t>s</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,0.25</m:t>
            </m:r>
          </m:e>
        </m:d>
        <m:r>
          <m:rPr>
            <m:sty m:val="p"/>
          </m:rPr>
          <w:rPr>
            <w:rFonts w:ascii="Cambria Math" w:hAnsi="Cambria Math"/>
          </w:rPr>
          <m:t>,</m:t>
        </m:r>
        <m:r>
          <m:rPr>
            <m:sty m:val="p"/>
          </m:rPr>
          <w:rPr>
            <w:rFonts w:ascii="Cambria Math" w:hAnsi="Cambria Math"/>
          </w:rPr>
          <m:t> </m:t>
        </m:r>
        <m:sSub>
          <m:sSubPr>
            <m:ctrlPr>
              <w:rPr>
                <w:rFonts w:ascii="Cambria Math" w:hAnsi="Cambria Math"/>
              </w:rPr>
            </m:ctrlPr>
          </m:sSubPr>
          <m:e>
            <m:r>
              <w:rPr>
                <w:rFonts w:ascii="Cambria Math" w:hAnsi="Cambria Math"/>
              </w:rPr>
              <m:t>Q</m:t>
            </m:r>
          </m:e>
          <m:sub>
            <m:r>
              <m:rPr>
                <m:sty m:val="p"/>
              </m:rPr>
              <w:rPr>
                <w:rFonts w:ascii="Cambria Math" w:hAnsi="Cambria Math"/>
              </w:rPr>
              <m:t>3</m:t>
            </m:r>
          </m:sub>
        </m:sSub>
        <m:r>
          <m:rPr>
            <m:sty m:val="p"/>
          </m:rPr>
          <w:rPr>
            <w:rFonts w:ascii="Cambria Math" w:hAnsi="Cambria Math"/>
          </w:rPr>
          <m:t>=quantile</m:t>
        </m:r>
        <m:d>
          <m:dPr>
            <m:ctrlPr>
              <w:rPr>
                <w:rFonts w:ascii="Cambria Math" w:hAnsi="Cambria Math"/>
              </w:rPr>
            </m:ctrlPr>
          </m:dPr>
          <m:e>
            <m:r>
              <w:rPr>
                <w:rFonts w:ascii="Cambria Math" w:hAnsi="Cambria Math"/>
              </w:rPr>
              <m:t>residual</m:t>
            </m:r>
            <m:sSub>
              <m:sSubPr>
                <m:ctrlPr>
                  <w:rPr>
                    <w:rFonts w:ascii="Cambria Math" w:hAnsi="Cambria Math"/>
                  </w:rPr>
                </m:ctrlPr>
              </m:sSubPr>
              <m:e>
                <m:r>
                  <w:rPr>
                    <w:rFonts w:ascii="Cambria Math" w:hAnsi="Cambria Math"/>
                  </w:rPr>
                  <m:t>s</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d>
              <m:dPr>
                <m:ctrlPr>
                  <w:rPr>
                    <w:rFonts w:ascii="Cambria Math" w:hAnsi="Cambria Math"/>
                  </w:rPr>
                </m:ctrlPr>
              </m:dPr>
              <m:e>
                <m:r>
                  <w:rPr>
                    <w:rFonts w:ascii="Cambria Math" w:hAnsi="Cambria Math"/>
                  </w:rPr>
                  <m:t>t</m:t>
                </m:r>
              </m:e>
            </m:d>
            <m:r>
              <m:rPr>
                <m:sty m:val="p"/>
              </m:rPr>
              <w:rPr>
                <w:rFonts w:ascii="Cambria Math" w:hAnsi="Cambria Math"/>
              </w:rPr>
              <m:t>,0.75</m:t>
            </m:r>
          </m:e>
        </m:d>
      </m:oMath>
      <w:r w:rsidR="006F143A" w:rsidRPr="004D0C63">
        <w:t xml:space="preserve"> </w:t>
      </w:r>
    </w:p>
    <w:p w14:paraId="02743977" w14:textId="37FF408F" w:rsidR="006F143A" w:rsidRPr="004D0C63" w:rsidRDefault="00000000" w:rsidP="00F85C35">
      <m:oMathPara>
        <m:oMath>
          <m:sSub>
            <m:sSubPr>
              <m:ctrlPr>
                <w:rPr>
                  <w:rFonts w:ascii="Cambria Math" w:hAnsi="Cambria Math"/>
                </w:rPr>
              </m:ctrlPr>
            </m:sSubPr>
            <m:e>
              <m:r>
                <m:rPr>
                  <m:sty m:val="p"/>
                </m:rPr>
                <w:rPr>
                  <w:rFonts w:ascii="Cambria Math" w:hAnsi="Cambria Math"/>
                </w:rPr>
                <m:t>IQR</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1</m:t>
              </m:r>
            </m:sub>
          </m:sSub>
        </m:oMath>
      </m:oMathPara>
    </w:p>
    <w:p w14:paraId="560B2631" w14:textId="58C911DE" w:rsidR="006F143A" w:rsidRPr="004D0C63" w:rsidRDefault="00000000" w:rsidP="00F85C35">
      <m:oMathPara>
        <m:oMath>
          <m:sSub>
            <m:sSubPr>
              <m:ctrlPr>
                <w:rPr>
                  <w:rFonts w:ascii="Cambria Math" w:hAnsi="Cambria Math"/>
                </w:rPr>
              </m:ctrlPr>
            </m:sSubPr>
            <m:e>
              <m:r>
                <w:rPr>
                  <w:rFonts w:ascii="Cambria Math" w:hAnsi="Cambria Math"/>
                </w:rPr>
                <m:t>L</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1</m:t>
              </m:r>
            </m:sub>
          </m:sSub>
          <m:r>
            <m:rPr>
              <m:sty m:val="p"/>
            </m:rPr>
            <w:rPr>
              <w:rFonts w:ascii="Cambria Math" w:hAnsi="Cambria Math"/>
            </w:rPr>
            <m:t>-1.5⋅</m:t>
          </m:r>
          <m:sSub>
            <m:sSubPr>
              <m:ctrlPr>
                <w:rPr>
                  <w:rFonts w:ascii="Cambria Math" w:hAnsi="Cambria Math"/>
                </w:rPr>
              </m:ctrlPr>
            </m:sSubPr>
            <m:e>
              <m:r>
                <m:rPr>
                  <m:sty m:val="p"/>
                </m:rPr>
                <w:rPr>
                  <w:rFonts w:ascii="Cambria Math" w:hAnsi="Cambria Math"/>
                </w:rPr>
                <m:t>IQR</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r>
                <m:rPr>
                  <m:sty m:val="p"/>
                </m:rPr>
                <w:rPr>
                  <w:rFonts w:ascii="Cambria Math" w:hAnsi="Cambria Math"/>
                </w:rPr>
                <m:t xml:space="preserve">          </m:t>
              </m:r>
            </m:sub>
          </m:sSub>
          <m:r>
            <w:rPr>
              <w:rFonts w:ascii="Cambria Math" w:hAnsi="Cambria Math"/>
            </w:rPr>
            <m:t>and</m:t>
          </m:r>
          <m:r>
            <m:rPr>
              <m:sty m:val="p"/>
            </m:rPr>
            <w:rPr>
              <w:rFonts w:ascii="Cambria Math" w:hAnsi="Cambria Math"/>
            </w:rPr>
            <m:t xml:space="preserve"> </m:t>
          </m:r>
          <m:r>
            <m:rPr>
              <m:sty m:val="p"/>
            </m:rPr>
            <w:rPr>
              <w:rFonts w:ascii="Cambria Math" w:hAnsi="Cambria Math"/>
            </w:rPr>
            <m:t> </m:t>
          </m:r>
          <m:sSub>
            <m:sSubPr>
              <m:ctrlPr>
                <w:rPr>
                  <w:rFonts w:ascii="Cambria Math" w:hAnsi="Cambria Math"/>
                </w:rPr>
              </m:ctrlPr>
            </m:sSubPr>
            <m:e>
              <m:r>
                <w:rPr>
                  <w:rFonts w:ascii="Cambria Math" w:hAnsi="Cambria Math"/>
                </w:rPr>
                <m:t>U</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3</m:t>
              </m:r>
            </m:sub>
          </m:sSub>
          <m:r>
            <m:rPr>
              <m:sty m:val="p"/>
            </m:rPr>
            <w:rPr>
              <w:rFonts w:ascii="Cambria Math" w:hAnsi="Cambria Math"/>
            </w:rPr>
            <m:t>+1.5⋅</m:t>
          </m:r>
          <m:sSub>
            <m:sSubPr>
              <m:ctrlPr>
                <w:rPr>
                  <w:rFonts w:ascii="Cambria Math" w:hAnsi="Cambria Math"/>
                </w:rPr>
              </m:ctrlPr>
            </m:sSubPr>
            <m:e>
              <m:r>
                <m:rPr>
                  <m:sty m:val="p"/>
                </m:rPr>
                <w:rPr>
                  <w:rFonts w:ascii="Cambria Math" w:hAnsi="Cambria Math"/>
                </w:rPr>
                <m:t>IQR</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oMath>
      </m:oMathPara>
    </w:p>
    <w:p w14:paraId="2A52657D" w14:textId="6CCD0A1C" w:rsidR="006F143A" w:rsidRPr="004D0C63" w:rsidRDefault="001F1F6D" w:rsidP="00F85C35">
      <w:r w:rsidRPr="004D0C63">
        <w:t xml:space="preserve">We define outliers all the values </w:t>
      </w:r>
      <m:oMath>
        <m:sSub>
          <m:sSubPr>
            <m:ctrlPr>
              <w:rPr>
                <w:rFonts w:ascii="Cambria Math" w:hAnsi="Cambria Math"/>
              </w:rPr>
            </m:ctrlPr>
          </m:sSubPr>
          <m:e>
            <m:r>
              <w:rPr>
                <w:rFonts w:ascii="Cambria Math" w:hAnsi="Cambria Math"/>
              </w:rPr>
              <m:t>P</m:t>
            </m:r>
          </m:e>
          <m:sub>
            <m:r>
              <w:rPr>
                <w:rFonts w:ascii="Cambria Math" w:hAnsi="Cambria Math"/>
              </w:rPr>
              <m:t>c,p,u,t</m:t>
            </m:r>
          </m:sub>
        </m:sSub>
        <m:r>
          <w:rPr>
            <w:rFonts w:ascii="Cambria Math" w:hAnsi="Cambria Math"/>
          </w:rPr>
          <m:t xml:space="preserve"> </m:t>
        </m:r>
      </m:oMath>
      <w:r w:rsidRPr="004D0C63">
        <w:t>for which the corresponding residual exceeds the upper and lower bounds:</w:t>
      </w:r>
    </w:p>
    <w:p w14:paraId="01003EAF" w14:textId="65E1C7B9" w:rsidR="006F143A" w:rsidRPr="004D0C63" w:rsidRDefault="006F143A" w:rsidP="00F85C35">
      <m:oMathPara>
        <m:oMath>
          <m:r>
            <w:rPr>
              <w:rFonts w:ascii="Cambria Math" w:hAnsi="Cambria Math"/>
            </w:rPr>
            <m:t>residual</m:t>
          </m:r>
          <m:sSub>
            <m:sSubPr>
              <m:ctrlPr>
                <w:rPr>
                  <w:rFonts w:ascii="Cambria Math" w:hAnsi="Cambria Math"/>
                </w:rPr>
              </m:ctrlPr>
            </m:sSubPr>
            <m:e>
              <m:r>
                <w:rPr>
                  <w:rFonts w:ascii="Cambria Math" w:hAnsi="Cambria Math"/>
                </w:rPr>
                <m:t>s</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t</m:t>
              </m:r>
            </m:sub>
          </m:sSub>
          <m:r>
            <m:rPr>
              <m:sty m:val="p"/>
            </m:rPr>
            <w:rPr>
              <w:rFonts w:ascii="Cambria Math" w:hAnsi="Cambria Math"/>
            </w:rPr>
            <m:t>&lt;</m:t>
          </m:r>
          <m:sSub>
            <m:sSubPr>
              <m:ctrlPr>
                <w:rPr>
                  <w:rFonts w:ascii="Cambria Math" w:hAnsi="Cambria Math"/>
                </w:rPr>
              </m:ctrlPr>
            </m:sSubPr>
            <m:e>
              <m:r>
                <w:rPr>
                  <w:rFonts w:ascii="Cambria Math" w:hAnsi="Cambria Math"/>
                </w:rPr>
                <m:t>L</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r>
            <m:rPr>
              <m:sty m:val="p"/>
            </m:rPr>
            <w:rPr>
              <w:rFonts w:ascii="Cambria Math" w:hAnsi="Cambria Math"/>
            </w:rPr>
            <m:t> </m:t>
          </m:r>
          <m:r>
            <m:rPr>
              <m:nor/>
            </m:rPr>
            <m:t>or</m:t>
          </m:r>
          <m:r>
            <m:rPr>
              <m:sty m:val="p"/>
            </m:rPr>
            <w:rPr>
              <w:rFonts w:ascii="Cambria Math" w:hAnsi="Cambria Math"/>
            </w:rPr>
            <m:t> </m:t>
          </m:r>
          <m:r>
            <w:rPr>
              <w:rFonts w:ascii="Cambria Math" w:hAnsi="Cambria Math"/>
            </w:rPr>
            <m:t>residual</m:t>
          </m:r>
          <m:sSub>
            <m:sSubPr>
              <m:ctrlPr>
                <w:rPr>
                  <w:rFonts w:ascii="Cambria Math" w:hAnsi="Cambria Math"/>
                </w:rPr>
              </m:ctrlPr>
            </m:sSubPr>
            <m:e>
              <m:r>
                <w:rPr>
                  <w:rFonts w:ascii="Cambria Math" w:hAnsi="Cambria Math"/>
                </w:rPr>
                <m:t>s</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t</m:t>
              </m:r>
            </m:sub>
          </m:sSub>
          <m:r>
            <m:rPr>
              <m:sty m:val="p"/>
            </m:rPr>
            <w:rPr>
              <w:rFonts w:ascii="Cambria Math" w:hAnsi="Cambria Math"/>
            </w:rPr>
            <m:t>&gt;</m:t>
          </m:r>
          <m:sSub>
            <m:sSubPr>
              <m:ctrlPr>
                <w:rPr>
                  <w:rFonts w:ascii="Cambria Math" w:hAnsi="Cambria Math"/>
                </w:rPr>
              </m:ctrlPr>
            </m:sSubPr>
            <m:e>
              <m:r>
                <w:rPr>
                  <w:rFonts w:ascii="Cambria Math" w:hAnsi="Cambria Math"/>
                </w:rPr>
                <m:t>U</m:t>
              </m:r>
            </m:e>
            <m:sub>
              <m:r>
                <w:rPr>
                  <w:rFonts w:ascii="Cambria Math" w:hAnsi="Cambria Math"/>
                </w:rPr>
                <m:t>c</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u</m:t>
              </m:r>
            </m:sub>
          </m:sSub>
        </m:oMath>
      </m:oMathPara>
    </w:p>
    <w:p w14:paraId="0D045AF4" w14:textId="08526795" w:rsidR="009D532E" w:rsidRPr="00DC0527" w:rsidRDefault="009D532E" w:rsidP="00F85C35">
      <w:pPr>
        <w:rPr>
          <w:b/>
          <w:bCs/>
        </w:rPr>
      </w:pPr>
      <w:r w:rsidRPr="00DC0527">
        <w:rPr>
          <w:b/>
          <w:bCs/>
        </w:rPr>
        <w:t>STEP 4: LINEAR INTERPOLATION – estimate missing data in euro</w:t>
      </w:r>
    </w:p>
    <w:p w14:paraId="28E1E099" w14:textId="0F938D2F" w:rsidR="00D94A79" w:rsidRPr="004D0C63" w:rsidRDefault="00A83670" w:rsidP="00F85C35">
      <w:r w:rsidRPr="004D0C63">
        <w:t xml:space="preserve">In this step we estimate euro values of production for each country, product, and year, by fitting an OLS through each time series </w:t>
      </w:r>
      <m:oMath>
        <m:sSub>
          <m:sSubPr>
            <m:ctrlPr>
              <w:rPr>
                <w:rFonts w:ascii="Cambria Math" w:hAnsi="Cambria Math"/>
              </w:rPr>
            </m:ctrlPr>
          </m:sSubPr>
          <m:e>
            <m:r>
              <w:rPr>
                <w:rFonts w:ascii="Cambria Math" w:hAnsi="Cambria Math"/>
              </w:rPr>
              <m:t>V</m:t>
            </m:r>
          </m:e>
          <m:sub>
            <m:r>
              <w:rPr>
                <w:rFonts w:ascii="Cambria Math" w:hAnsi="Cambria Math"/>
              </w:rPr>
              <m:t>c,p</m:t>
            </m:r>
          </m:sub>
        </m:sSub>
        <m:d>
          <m:dPr>
            <m:ctrlPr>
              <w:rPr>
                <w:rFonts w:ascii="Cambria Math" w:hAnsi="Cambria Math"/>
              </w:rPr>
            </m:ctrlPr>
          </m:dPr>
          <m:e>
            <m:r>
              <w:rPr>
                <w:rFonts w:ascii="Cambria Math" w:hAnsi="Cambria Math"/>
              </w:rPr>
              <m:t>t</m:t>
            </m:r>
          </m:e>
        </m:d>
      </m:oMath>
      <w:r w:rsidRPr="004D0C63">
        <w:t>:</w:t>
      </w:r>
    </w:p>
    <w:p w14:paraId="1C0A67A0" w14:textId="7B1154E8" w:rsidR="00A83670" w:rsidRPr="004D0C63" w:rsidRDefault="00000000" w:rsidP="00F85C35">
      <m:oMathPara>
        <m:oMath>
          <m:sSub>
            <m:sSubPr>
              <m:ctrlPr>
                <w:rPr>
                  <w:rFonts w:ascii="Cambria Math" w:hAnsi="Cambria Math"/>
                </w:rPr>
              </m:ctrlPr>
            </m:sSubPr>
            <m:e>
              <m:r>
                <w:rPr>
                  <w:rFonts w:ascii="Cambria Math" w:hAnsi="Cambria Math"/>
                </w:rPr>
                <m:t>V</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t</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p</m:t>
              </m:r>
            </m:sub>
          </m:sSub>
        </m:oMath>
      </m:oMathPara>
    </w:p>
    <w:p w14:paraId="2B728050" w14:textId="663DCD52" w:rsidR="00A83670" w:rsidRPr="004D0C63" w:rsidRDefault="00A83670" w:rsidP="00F85C35">
      <w:r w:rsidRPr="004D0C63">
        <w:t>We account for uncertainty in the same way as described for Huber regression where for the linear function f(t):</w:t>
      </w:r>
    </w:p>
    <w:p w14:paraId="74633D3A" w14:textId="16F72789" w:rsidR="00A83670" w:rsidRPr="004D0C63" w:rsidRDefault="00000000" w:rsidP="00F85C35">
      <m:oMathPara>
        <m:oMath>
          <m:sSub>
            <m:sSubPr>
              <m:ctrlPr>
                <w:rPr>
                  <w:rFonts w:ascii="Cambria Math" w:hAnsi="Cambria Math"/>
                </w:rPr>
              </m:ctrlPr>
            </m:sSubPr>
            <m:e>
              <m:r>
                <w:rPr>
                  <w:rFonts w:ascii="Cambria Math" w:hAnsi="Cambria Math"/>
                </w:rPr>
                <m:t>residuals</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V</m:t>
          </m:r>
          <m:sSub>
            <m:sSubPr>
              <m:ctrlPr>
                <w:rPr>
                  <w:rFonts w:ascii="Cambria Math" w:hAnsi="Cambria Math"/>
                </w:rPr>
              </m:ctrlPr>
            </m:sSubPr>
            <m:e>
              <m:d>
                <m:dPr>
                  <m:ctrlPr>
                    <w:rPr>
                      <w:rFonts w:ascii="Cambria Math" w:hAnsi="Cambria Math"/>
                    </w:rPr>
                  </m:ctrlPr>
                </m:dPr>
                <m:e>
                  <m:r>
                    <w:rPr>
                      <w:rFonts w:ascii="Cambria Math" w:hAnsi="Cambria Math"/>
                    </w:rPr>
                    <m:t>t</m:t>
                  </m:r>
                </m:e>
              </m:d>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f</m:t>
          </m:r>
          <m:sSub>
            <m:sSubPr>
              <m:ctrlPr>
                <w:rPr>
                  <w:rFonts w:ascii="Cambria Math" w:hAnsi="Cambria Math"/>
                </w:rPr>
              </m:ctrlPr>
            </m:sSubPr>
            <m:e>
              <m:d>
                <m:dPr>
                  <m:ctrlPr>
                    <w:rPr>
                      <w:rFonts w:ascii="Cambria Math" w:hAnsi="Cambria Math"/>
                    </w:rPr>
                  </m:ctrlPr>
                </m:dPr>
                <m:e>
                  <m:r>
                    <w:rPr>
                      <w:rFonts w:ascii="Cambria Math" w:hAnsi="Cambria Math"/>
                    </w:rPr>
                    <m:t>t</m:t>
                  </m:r>
                </m:e>
              </m:d>
            </m:e>
            <m:sub>
              <m:r>
                <w:rPr>
                  <w:rFonts w:ascii="Cambria Math" w:hAnsi="Cambria Math"/>
                </w:rPr>
                <m:t>c</m:t>
              </m:r>
              <m:r>
                <m:rPr>
                  <m:sty m:val="p"/>
                </m:rPr>
                <w:rPr>
                  <w:rFonts w:ascii="Cambria Math" w:hAnsi="Cambria Math"/>
                </w:rPr>
                <m:t>,</m:t>
              </m:r>
              <m:r>
                <w:rPr>
                  <w:rFonts w:ascii="Cambria Math" w:hAnsi="Cambria Math"/>
                </w:rPr>
                <m:t>p</m:t>
              </m:r>
            </m:sub>
          </m:sSub>
        </m:oMath>
      </m:oMathPara>
    </w:p>
    <w:p w14:paraId="1E30CD76" w14:textId="188C6A28" w:rsidR="00A83670" w:rsidRPr="004D0C63" w:rsidRDefault="00000000" w:rsidP="00F85C35">
      <w:pPr>
        <w:rPr>
          <w:rFonts w:eastAsiaTheme="minorEastAsia"/>
        </w:rPr>
      </w:pPr>
      <m:oMathPara>
        <m:oMath>
          <m:sSub>
            <m:sSubPr>
              <m:ctrlPr>
                <w:rPr>
                  <w:rFonts w:ascii="Cambria Math" w:hAnsi="Cambria Math"/>
                </w:rPr>
              </m:ctrlPr>
            </m:sSubPr>
            <m:e>
              <m:acc>
                <m:accPr>
                  <m:chr m:val="ˆ"/>
                  <m:ctrlPr>
                    <w:rPr>
                      <w:rFonts w:ascii="Cambria Math" w:hAnsi="Cambria Math"/>
                    </w:rPr>
                  </m:ctrlPr>
                </m:accPr>
                <m:e>
                  <m:r>
                    <w:rPr>
                      <w:rFonts w:ascii="Cambria Math" w:hAnsi="Cambria Math"/>
                    </w:rPr>
                    <m:t>V</m:t>
                  </m:r>
                </m:e>
              </m:acc>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missing</m:t>
                  </m:r>
                </m:sub>
              </m:sSub>
            </m:e>
          </m:d>
          <m:r>
            <m:rPr>
              <m:scr m:val="script"/>
              <m:sty m:val="p"/>
            </m:rP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r>
                    <m:rPr>
                      <m:sty m:val="p"/>
                    </m:rPr>
                    <w:rPr>
                      <w:rFonts w:ascii="Cambria Math" w:hAnsi="Cambria Math"/>
                    </w:rPr>
                    <m:t>,</m:t>
                  </m:r>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missing</m:t>
                      </m:r>
                    </m:sub>
                  </m:sSub>
                </m:e>
              </m:d>
              <m:r>
                <m:rPr>
                  <m:sty m:val="p"/>
                </m:rPr>
                <w:rPr>
                  <w:rFonts w:ascii="Cambria Math" w:hAnsi="Cambria Math"/>
                </w:rPr>
                <m:t>,</m:t>
              </m:r>
              <m:r>
                <w:rPr>
                  <w:rFonts w:ascii="Cambria Math" w:hAnsi="Cambria Math"/>
                </w:rPr>
                <m:t>Var</m:t>
              </m:r>
              <m:d>
                <m:dPr>
                  <m:ctrlPr>
                    <w:rPr>
                      <w:rFonts w:ascii="Cambria Math" w:hAnsi="Cambria Math"/>
                    </w:rPr>
                  </m:ctrlPr>
                </m:dPr>
                <m:e>
                  <m:sSub>
                    <m:sSubPr>
                      <m:ctrlPr>
                        <w:rPr>
                          <w:rFonts w:ascii="Cambria Math" w:hAnsi="Cambria Math"/>
                        </w:rPr>
                      </m:ctrlPr>
                    </m:sSubPr>
                    <m:e>
                      <m:r>
                        <w:rPr>
                          <w:rFonts w:ascii="Cambria Math" w:hAnsi="Cambria Math"/>
                        </w:rPr>
                        <m:t>residuals</m:t>
                      </m:r>
                    </m:e>
                    <m:sub>
                      <m:r>
                        <w:rPr>
                          <w:rFonts w:ascii="Cambria Math" w:hAnsi="Cambria Math"/>
                        </w:rPr>
                        <m:t>c</m:t>
                      </m:r>
                      <m:r>
                        <m:rPr>
                          <m:sty m:val="p"/>
                        </m:rPr>
                        <w:rPr>
                          <w:rFonts w:ascii="Cambria Math" w:hAnsi="Cambria Math"/>
                        </w:rPr>
                        <m:t>,</m:t>
                      </m:r>
                      <m:r>
                        <w:rPr>
                          <w:rFonts w:ascii="Cambria Math" w:hAnsi="Cambria Math"/>
                        </w:rPr>
                        <m:t>p</m:t>
                      </m:r>
                    </m:sub>
                  </m:sSub>
                  <m:r>
                    <m:rPr>
                      <m:sty m:val="p"/>
                    </m:rPr>
                    <w:rPr>
                      <w:rFonts w:ascii="Cambria Math" w:hAnsi="Cambria Math"/>
                    </w:rPr>
                    <m:t>(</m:t>
                  </m:r>
                  <m:r>
                    <w:rPr>
                      <w:rFonts w:ascii="Cambria Math" w:hAnsi="Cambria Math"/>
                    </w:rPr>
                    <m:t>t</m:t>
                  </m:r>
                  <m:r>
                    <m:rPr>
                      <m:sty m:val="p"/>
                    </m:rPr>
                    <w:rPr>
                      <w:rFonts w:ascii="Cambria Math" w:hAnsi="Cambria Math"/>
                    </w:rPr>
                    <m:t>)</m:t>
                  </m:r>
                </m:e>
              </m:d>
            </m:e>
          </m:d>
        </m:oMath>
      </m:oMathPara>
    </w:p>
    <w:p w14:paraId="39996507" w14:textId="4B84CDAC" w:rsidR="00A83670" w:rsidRPr="004D0C63" w:rsidRDefault="005D7192" w:rsidP="00F85C35">
      <w:r w:rsidRPr="004D0C63">
        <w:t xml:space="preserve">We then repeat STEP 1 to estimate the physical quantities corresponding to the new estimated monetary values </w:t>
      </w:r>
      <m:oMath>
        <m:acc>
          <m:accPr>
            <m:chr m:val="ˆ"/>
            <m:ctrlPr>
              <w:rPr>
                <w:rFonts w:ascii="Cambria Math" w:hAnsi="Cambria Math"/>
              </w:rPr>
            </m:ctrlPr>
          </m:accPr>
          <m:e>
            <m:r>
              <w:rPr>
                <w:rFonts w:ascii="Cambria Math" w:hAnsi="Cambria Math"/>
              </w:rPr>
              <m:t>V</m:t>
            </m:r>
          </m:e>
        </m:acc>
      </m:oMath>
      <w:r w:rsidRPr="004D0C63">
        <w:t>.</w:t>
      </w:r>
    </w:p>
    <w:p w14:paraId="2BE12627" w14:textId="77777777" w:rsidR="00DC16A3" w:rsidRPr="00DC0527" w:rsidRDefault="00DC16A3" w:rsidP="00F85C35">
      <w:pPr>
        <w:rPr>
          <w:b/>
          <w:bCs/>
        </w:rPr>
      </w:pPr>
      <w:r w:rsidRPr="00DC0527">
        <w:rPr>
          <w:b/>
          <w:bCs/>
        </w:rPr>
        <w:t xml:space="preserve">STEP 5: AGGREGATED RATIO &amp; INTERPOLATION – estimate remaining missing data </w:t>
      </w:r>
    </w:p>
    <w:p w14:paraId="71CF73AD" w14:textId="7F84BF8B" w:rsidR="005D7192" w:rsidRPr="004D0C63" w:rsidRDefault="005D7192" w:rsidP="00F85C35">
      <w:r w:rsidRPr="004D0C63">
        <w:t>The remaining gaps in the production dataset are filled using simplified fallback methods. Missing physical quantities are estimated from the median unit price calculated across all available observations for the corresponding product category, while confidential monetary values are reconstructed using median production-to-export ratios computed for comparable products within the same country. Following these imputations, physical quantities are recalculated where necessary and any remaining missing values in the number of items are completed by linear interpolation over time. These fallback procedures are only applied to observations that could not be estimated by the primary methods and are intended to maximize dataset completeness while minimizing the introduction of additional assumptions.</w:t>
      </w:r>
    </w:p>
    <w:p w14:paraId="140A8700" w14:textId="77777777" w:rsidR="00540D75" w:rsidRPr="004D0C63" w:rsidRDefault="00540D75" w:rsidP="00F85C35"/>
    <w:p w14:paraId="3D0E96A1" w14:textId="3D3D2A1B" w:rsidR="0016711A" w:rsidRPr="004D0C63" w:rsidRDefault="00A527A6" w:rsidP="00F85C35">
      <w:r w:rsidRPr="004D0C63">
        <w:t>The given step</w:t>
      </w:r>
      <w:r w:rsidR="00A62885" w:rsidRPr="004D0C63">
        <w:t xml:space="preserve">s </w:t>
      </w:r>
      <w:r w:rsidR="00CC7DDA" w:rsidRPr="004D0C63">
        <w:t>are used to fill in data gaps of the original dataset. In the end only 72 points are left blank (</w:t>
      </w:r>
      <w:r w:rsidR="00CC7DDA" w:rsidRPr="004D0C63">
        <w:fldChar w:fldCharType="begin"/>
      </w:r>
      <w:r w:rsidR="00CC7DDA" w:rsidRPr="004D0C63">
        <w:instrText xml:space="preserve"> REF _Ref232508573 \h </w:instrText>
      </w:r>
      <w:r w:rsidR="00CC7DDA" w:rsidRPr="004D0C63">
        <w:fldChar w:fldCharType="separate"/>
      </w:r>
      <w:r w:rsidR="00CC7DDA" w:rsidRPr="004D0C63">
        <w:t>Table S2</w:t>
      </w:r>
      <w:r w:rsidR="00CC7DDA" w:rsidRPr="004D0C63">
        <w:fldChar w:fldCharType="end"/>
      </w:r>
      <w:r w:rsidR="00CC7DDA" w:rsidRPr="004D0C63">
        <w:t>)</w:t>
      </w:r>
      <w:r w:rsidR="004A7C0F" w:rsidRPr="004D0C63">
        <w:t>.</w:t>
      </w:r>
      <w:r w:rsidR="00D8724D" w:rsidRPr="004D0C63">
        <w:t xml:space="preserve"> The 72 data points that could not be estimated are as follows: for Latvia, the value of metal furniture (PRODCOM 31091100) production in euros from 2001 to 2024 remains confidential. Although production is known to have occurred, the available data is insufficient to support robust estimation. The remaining gaps concern Slovenia, where both the monetary value and number of items for mattresses with spring interiors (PRODCOM 31031270) produced between 2001 and 2024 cannot be estimated for the same reason, as these observations are also confidential and the database does not contain sufficient information to enable reliable estimation.</w:t>
      </w:r>
    </w:p>
    <w:p w14:paraId="2F262678" w14:textId="630BE12B" w:rsidR="00E337D2" w:rsidRPr="004D0C63" w:rsidRDefault="00E337D2" w:rsidP="00F85C35">
      <w:r w:rsidRPr="004D0C63">
        <w:t xml:space="preserve">To note that some entries are entirely not reported in PRODOCM. In these </w:t>
      </w:r>
      <w:r w:rsidR="008F42F7" w:rsidRPr="004D0C63">
        <w:t>cases,</w:t>
      </w:r>
      <w:r w:rsidRPr="004D0C63">
        <w:t xml:space="preserve"> it is hard to determine if it is because a given product was not produced or </w:t>
      </w:r>
      <w:r w:rsidR="00B80A30" w:rsidRPr="004D0C63">
        <w:t xml:space="preserve">its value not reported so we limit ourselves to our definition of missing data where we estimate these missing entries only if its equivalent in another unit is available in the dataset. However, some of </w:t>
      </w:r>
      <w:r w:rsidR="008F42F7" w:rsidRPr="004D0C63">
        <w:t>these</w:t>
      </w:r>
      <w:r w:rsidR="00B80A30" w:rsidRPr="004D0C63">
        <w:t xml:space="preserve"> missing data may lead to </w:t>
      </w:r>
      <w:r w:rsidR="0095058A" w:rsidRPr="004D0C63">
        <w:t>underestimation</w:t>
      </w:r>
      <w:r w:rsidR="00B80A30" w:rsidRPr="004D0C63">
        <w:t xml:space="preserve"> of stock of certain products in given countries.</w:t>
      </w:r>
    </w:p>
    <w:p w14:paraId="613C8B91" w14:textId="77777777" w:rsidR="00A62885" w:rsidRPr="004D0C63" w:rsidRDefault="00A62885" w:rsidP="00F85C35">
      <w:pPr>
        <w:pStyle w:val="Caption"/>
      </w:pPr>
      <w:bookmarkStart w:id="9" w:name="_Ref232508573"/>
      <w:bookmarkStart w:id="10" w:name="_Ref232508568"/>
      <w:r w:rsidRPr="004D0C63">
        <w:t>Table S</w:t>
      </w:r>
      <w:fldSimple w:instr=" SEQ Table_S \* ARABIC ">
        <w:r w:rsidRPr="004D0C63">
          <w:t>2</w:t>
        </w:r>
      </w:fldSimple>
      <w:bookmarkEnd w:id="9"/>
      <w:r w:rsidRPr="004D0C63">
        <w:t xml:space="preserve"> Number and percentage (relative to the original dataset of 317,773 observations) of confidential and missing values remaining after each processing step, together with the number of values estimated and outliers removed at each stage.</w:t>
      </w:r>
      <w:bookmarkEnd w:id="10"/>
    </w:p>
    <w:tbl>
      <w:tblPr>
        <w:tblStyle w:val="TableGridLight"/>
        <w:tblW w:w="0" w:type="auto"/>
        <w:tblLook w:val="04A0" w:firstRow="1" w:lastRow="0" w:firstColumn="1" w:lastColumn="0" w:noHBand="0" w:noVBand="1"/>
      </w:tblPr>
      <w:tblGrid>
        <w:gridCol w:w="987"/>
        <w:gridCol w:w="2110"/>
        <w:gridCol w:w="1862"/>
        <w:gridCol w:w="2318"/>
        <w:gridCol w:w="1739"/>
      </w:tblGrid>
      <w:tr w:rsidR="00A62885" w:rsidRPr="004D0C63" w14:paraId="35CD5DA9" w14:textId="77777777" w:rsidTr="001565F8">
        <w:tc>
          <w:tcPr>
            <w:tcW w:w="988" w:type="dxa"/>
            <w:hideMark/>
          </w:tcPr>
          <w:p w14:paraId="6AC32FFC" w14:textId="77777777" w:rsidR="00A62885" w:rsidRPr="004D0C63" w:rsidRDefault="00A62885" w:rsidP="00F85C35">
            <w:r w:rsidRPr="004D0C63">
              <w:t>Step</w:t>
            </w:r>
          </w:p>
        </w:tc>
        <w:tc>
          <w:tcPr>
            <w:tcW w:w="2110" w:type="dxa"/>
            <w:hideMark/>
          </w:tcPr>
          <w:p w14:paraId="5D14CF7B" w14:textId="77777777" w:rsidR="00A62885" w:rsidRPr="004D0C63" w:rsidRDefault="00A62885" w:rsidP="00F85C35">
            <w:r w:rsidRPr="004D0C63">
              <w:t>Confidential remaining</w:t>
            </w:r>
          </w:p>
        </w:tc>
        <w:tc>
          <w:tcPr>
            <w:tcW w:w="0" w:type="auto"/>
            <w:hideMark/>
          </w:tcPr>
          <w:p w14:paraId="026881F8" w14:textId="77777777" w:rsidR="00A62885" w:rsidRPr="004D0C63" w:rsidRDefault="00A62885" w:rsidP="00F85C35">
            <w:r w:rsidRPr="004D0C63">
              <w:t>Missing remaining</w:t>
            </w:r>
          </w:p>
        </w:tc>
        <w:tc>
          <w:tcPr>
            <w:tcW w:w="0" w:type="auto"/>
            <w:hideMark/>
          </w:tcPr>
          <w:p w14:paraId="7E4ECA3A" w14:textId="77777777" w:rsidR="00A62885" w:rsidRPr="004D0C63" w:rsidRDefault="00A62885" w:rsidP="00F85C35">
            <w:r w:rsidRPr="004D0C63">
              <w:t>Values estimated in step</w:t>
            </w:r>
          </w:p>
        </w:tc>
        <w:tc>
          <w:tcPr>
            <w:tcW w:w="0" w:type="auto"/>
            <w:hideMark/>
          </w:tcPr>
          <w:p w14:paraId="2FB109AF" w14:textId="77777777" w:rsidR="00A62885" w:rsidRPr="004D0C63" w:rsidRDefault="00A62885" w:rsidP="00F85C35">
            <w:r w:rsidRPr="004D0C63">
              <w:t>Outliers removed</w:t>
            </w:r>
          </w:p>
        </w:tc>
      </w:tr>
      <w:tr w:rsidR="00A62885" w:rsidRPr="004D0C63" w14:paraId="53755569" w14:textId="77777777" w:rsidTr="001565F8">
        <w:tc>
          <w:tcPr>
            <w:tcW w:w="988" w:type="dxa"/>
            <w:hideMark/>
          </w:tcPr>
          <w:p w14:paraId="228EE321" w14:textId="77777777" w:rsidR="00A62885" w:rsidRPr="004D0C63" w:rsidRDefault="00A62885" w:rsidP="00F85C35">
            <w:r w:rsidRPr="004D0C63">
              <w:t>Start</w:t>
            </w:r>
          </w:p>
        </w:tc>
        <w:tc>
          <w:tcPr>
            <w:tcW w:w="2110" w:type="dxa"/>
            <w:hideMark/>
          </w:tcPr>
          <w:p w14:paraId="5EAC2E72" w14:textId="77777777" w:rsidR="00A62885" w:rsidRPr="004D0C63" w:rsidRDefault="00A62885" w:rsidP="00F85C35">
            <w:r w:rsidRPr="004D0C63">
              <w:t>5,655 (1.78%)</w:t>
            </w:r>
          </w:p>
        </w:tc>
        <w:tc>
          <w:tcPr>
            <w:tcW w:w="0" w:type="auto"/>
            <w:hideMark/>
          </w:tcPr>
          <w:p w14:paraId="0E7EB3DE" w14:textId="77777777" w:rsidR="00A62885" w:rsidRPr="004D0C63" w:rsidRDefault="00A62885" w:rsidP="00F85C35">
            <w:r w:rsidRPr="004D0C63">
              <w:t>771 (0.24%)</w:t>
            </w:r>
          </w:p>
        </w:tc>
        <w:tc>
          <w:tcPr>
            <w:tcW w:w="0" w:type="auto"/>
            <w:hideMark/>
          </w:tcPr>
          <w:p w14:paraId="2DC70711" w14:textId="77777777" w:rsidR="00A62885" w:rsidRPr="004D0C63" w:rsidRDefault="00A62885" w:rsidP="00F85C35">
            <w:r w:rsidRPr="004D0C63">
              <w:t>–</w:t>
            </w:r>
          </w:p>
        </w:tc>
        <w:tc>
          <w:tcPr>
            <w:tcW w:w="0" w:type="auto"/>
            <w:hideMark/>
          </w:tcPr>
          <w:p w14:paraId="4766F297" w14:textId="77777777" w:rsidR="00A62885" w:rsidRPr="004D0C63" w:rsidRDefault="00A62885" w:rsidP="00F85C35">
            <w:r w:rsidRPr="004D0C63">
              <w:t>–</w:t>
            </w:r>
          </w:p>
        </w:tc>
      </w:tr>
      <w:tr w:rsidR="00A62885" w:rsidRPr="004D0C63" w14:paraId="480B5E1E" w14:textId="77777777" w:rsidTr="001565F8">
        <w:tc>
          <w:tcPr>
            <w:tcW w:w="988" w:type="dxa"/>
            <w:hideMark/>
          </w:tcPr>
          <w:p w14:paraId="575A6CB8" w14:textId="77777777" w:rsidR="00A62885" w:rsidRPr="004D0C63" w:rsidRDefault="00A62885" w:rsidP="00F85C35">
            <w:r w:rsidRPr="004D0C63">
              <w:t>Step 1</w:t>
            </w:r>
          </w:p>
        </w:tc>
        <w:tc>
          <w:tcPr>
            <w:tcW w:w="2110" w:type="dxa"/>
            <w:hideMark/>
          </w:tcPr>
          <w:p w14:paraId="4309A4F0" w14:textId="77777777" w:rsidR="00A62885" w:rsidRPr="004D0C63" w:rsidRDefault="00A62885" w:rsidP="00F85C35">
            <w:r w:rsidRPr="004D0C63">
              <w:t>5,338 (1.68%)</w:t>
            </w:r>
          </w:p>
        </w:tc>
        <w:tc>
          <w:tcPr>
            <w:tcW w:w="0" w:type="auto"/>
            <w:hideMark/>
          </w:tcPr>
          <w:p w14:paraId="640959B6" w14:textId="77777777" w:rsidR="00A62885" w:rsidRPr="004D0C63" w:rsidRDefault="00A62885" w:rsidP="00F85C35">
            <w:r w:rsidRPr="004D0C63">
              <w:t>428 (0.13%)</w:t>
            </w:r>
          </w:p>
        </w:tc>
        <w:tc>
          <w:tcPr>
            <w:tcW w:w="0" w:type="auto"/>
            <w:hideMark/>
          </w:tcPr>
          <w:p w14:paraId="55C382BE" w14:textId="77777777" w:rsidR="00A62885" w:rsidRPr="004D0C63" w:rsidRDefault="00A62885" w:rsidP="00F85C35">
            <w:r w:rsidRPr="004D0C63">
              <w:t>660 (0.21%)</w:t>
            </w:r>
          </w:p>
        </w:tc>
        <w:tc>
          <w:tcPr>
            <w:tcW w:w="0" w:type="auto"/>
            <w:hideMark/>
          </w:tcPr>
          <w:p w14:paraId="487B94E1" w14:textId="77777777" w:rsidR="00A62885" w:rsidRPr="004D0C63" w:rsidRDefault="00A62885" w:rsidP="00F85C35">
            <w:r w:rsidRPr="004D0C63">
              <w:t>–</w:t>
            </w:r>
          </w:p>
        </w:tc>
      </w:tr>
      <w:tr w:rsidR="00A62885" w:rsidRPr="004D0C63" w14:paraId="22E48583" w14:textId="77777777" w:rsidTr="001565F8">
        <w:tc>
          <w:tcPr>
            <w:tcW w:w="988" w:type="dxa"/>
            <w:hideMark/>
          </w:tcPr>
          <w:p w14:paraId="772691B1" w14:textId="77777777" w:rsidR="00A62885" w:rsidRPr="004D0C63" w:rsidRDefault="00A62885" w:rsidP="00F85C35">
            <w:r w:rsidRPr="004D0C63">
              <w:t>Step 2</w:t>
            </w:r>
          </w:p>
        </w:tc>
        <w:tc>
          <w:tcPr>
            <w:tcW w:w="2110" w:type="dxa"/>
            <w:hideMark/>
          </w:tcPr>
          <w:p w14:paraId="1DB0299D" w14:textId="77777777" w:rsidR="00A62885" w:rsidRPr="004D0C63" w:rsidRDefault="00A62885" w:rsidP="00F85C35">
            <w:r w:rsidRPr="004D0C63">
              <w:t>1,395 (0.44%)</w:t>
            </w:r>
          </w:p>
        </w:tc>
        <w:tc>
          <w:tcPr>
            <w:tcW w:w="0" w:type="auto"/>
            <w:hideMark/>
          </w:tcPr>
          <w:p w14:paraId="0A393EAF" w14:textId="77777777" w:rsidR="00A62885" w:rsidRPr="004D0C63" w:rsidRDefault="00A62885" w:rsidP="00F85C35">
            <w:r w:rsidRPr="004D0C63">
              <w:t>404 (0.13%)</w:t>
            </w:r>
          </w:p>
        </w:tc>
        <w:tc>
          <w:tcPr>
            <w:tcW w:w="0" w:type="auto"/>
            <w:hideMark/>
          </w:tcPr>
          <w:p w14:paraId="51268076" w14:textId="77777777" w:rsidR="00A62885" w:rsidRPr="004D0C63" w:rsidRDefault="00A62885" w:rsidP="00F85C35">
            <w:r w:rsidRPr="004D0C63">
              <w:t>3,967 (1.25%)</w:t>
            </w:r>
          </w:p>
        </w:tc>
        <w:tc>
          <w:tcPr>
            <w:tcW w:w="0" w:type="auto"/>
            <w:hideMark/>
          </w:tcPr>
          <w:p w14:paraId="4D1B143F" w14:textId="77777777" w:rsidR="00A62885" w:rsidRPr="004D0C63" w:rsidRDefault="00A62885" w:rsidP="00F85C35">
            <w:r w:rsidRPr="004D0C63">
              <w:t>–</w:t>
            </w:r>
          </w:p>
        </w:tc>
      </w:tr>
      <w:tr w:rsidR="00A62885" w:rsidRPr="004D0C63" w14:paraId="03C5C56A" w14:textId="77777777" w:rsidTr="001565F8">
        <w:tc>
          <w:tcPr>
            <w:tcW w:w="988" w:type="dxa"/>
            <w:hideMark/>
          </w:tcPr>
          <w:p w14:paraId="33E2B726" w14:textId="77777777" w:rsidR="00A62885" w:rsidRPr="004D0C63" w:rsidRDefault="00A62885" w:rsidP="00F85C35">
            <w:r w:rsidRPr="004D0C63">
              <w:t>Step 3</w:t>
            </w:r>
          </w:p>
        </w:tc>
        <w:tc>
          <w:tcPr>
            <w:tcW w:w="2110" w:type="dxa"/>
            <w:hideMark/>
          </w:tcPr>
          <w:p w14:paraId="1B990E5D" w14:textId="77777777" w:rsidR="00A62885" w:rsidRPr="004D0C63" w:rsidRDefault="00A62885" w:rsidP="00F85C35">
            <w:r w:rsidRPr="004D0C63">
              <w:t>2,125 (0.67%)</w:t>
            </w:r>
          </w:p>
        </w:tc>
        <w:tc>
          <w:tcPr>
            <w:tcW w:w="0" w:type="auto"/>
            <w:hideMark/>
          </w:tcPr>
          <w:p w14:paraId="59C8CC4B" w14:textId="77777777" w:rsidR="00A62885" w:rsidRPr="004D0C63" w:rsidRDefault="00A62885" w:rsidP="00F85C35">
            <w:r w:rsidRPr="004D0C63">
              <w:t>3,072 (0.97%)</w:t>
            </w:r>
          </w:p>
        </w:tc>
        <w:tc>
          <w:tcPr>
            <w:tcW w:w="0" w:type="auto"/>
            <w:hideMark/>
          </w:tcPr>
          <w:p w14:paraId="0752302B" w14:textId="77777777" w:rsidR="00A62885" w:rsidRPr="004D0C63" w:rsidRDefault="00A62885" w:rsidP="00F85C35">
            <w:r w:rsidRPr="004D0C63">
              <w:t>–</w:t>
            </w:r>
          </w:p>
        </w:tc>
        <w:tc>
          <w:tcPr>
            <w:tcW w:w="0" w:type="auto"/>
            <w:hideMark/>
          </w:tcPr>
          <w:p w14:paraId="770E89B4" w14:textId="77777777" w:rsidR="00A62885" w:rsidRPr="004D0C63" w:rsidRDefault="00A62885" w:rsidP="00F85C35">
            <w:r w:rsidRPr="004D0C63">
              <w:t>3,398 (1.07%)</w:t>
            </w:r>
          </w:p>
        </w:tc>
      </w:tr>
      <w:tr w:rsidR="00A62885" w:rsidRPr="004D0C63" w14:paraId="2B22F8F6" w14:textId="77777777" w:rsidTr="001565F8">
        <w:tc>
          <w:tcPr>
            <w:tcW w:w="988" w:type="dxa"/>
            <w:hideMark/>
          </w:tcPr>
          <w:p w14:paraId="55333345" w14:textId="77777777" w:rsidR="00A62885" w:rsidRPr="004D0C63" w:rsidRDefault="00A62885" w:rsidP="00F85C35">
            <w:r w:rsidRPr="004D0C63">
              <w:t>Step 4</w:t>
            </w:r>
          </w:p>
        </w:tc>
        <w:tc>
          <w:tcPr>
            <w:tcW w:w="2110" w:type="dxa"/>
            <w:hideMark/>
          </w:tcPr>
          <w:p w14:paraId="2842CE03" w14:textId="77777777" w:rsidR="00A62885" w:rsidRPr="004D0C63" w:rsidRDefault="00A62885" w:rsidP="00F85C35">
            <w:r w:rsidRPr="004D0C63">
              <w:t>894 (0.28%)</w:t>
            </w:r>
          </w:p>
        </w:tc>
        <w:tc>
          <w:tcPr>
            <w:tcW w:w="0" w:type="auto"/>
            <w:hideMark/>
          </w:tcPr>
          <w:p w14:paraId="25E60ACE" w14:textId="77777777" w:rsidR="00A62885" w:rsidRPr="004D0C63" w:rsidRDefault="00A62885" w:rsidP="00F85C35">
            <w:r w:rsidRPr="004D0C63">
              <w:t>249 (0.08%)</w:t>
            </w:r>
          </w:p>
        </w:tc>
        <w:tc>
          <w:tcPr>
            <w:tcW w:w="0" w:type="auto"/>
            <w:hideMark/>
          </w:tcPr>
          <w:p w14:paraId="05393FC8" w14:textId="77777777" w:rsidR="00A62885" w:rsidRPr="004D0C63" w:rsidRDefault="00A62885" w:rsidP="00F85C35">
            <w:r w:rsidRPr="004D0C63">
              <w:t>4,054 (1.28%)</w:t>
            </w:r>
          </w:p>
        </w:tc>
        <w:tc>
          <w:tcPr>
            <w:tcW w:w="0" w:type="auto"/>
            <w:hideMark/>
          </w:tcPr>
          <w:p w14:paraId="00507EF4" w14:textId="77777777" w:rsidR="00A62885" w:rsidRPr="004D0C63" w:rsidRDefault="00A62885" w:rsidP="00F85C35">
            <w:r w:rsidRPr="004D0C63">
              <w:t>–</w:t>
            </w:r>
          </w:p>
        </w:tc>
      </w:tr>
      <w:tr w:rsidR="00A62885" w:rsidRPr="004D0C63" w14:paraId="631F08A6" w14:textId="77777777" w:rsidTr="001565F8">
        <w:tc>
          <w:tcPr>
            <w:tcW w:w="988" w:type="dxa"/>
            <w:hideMark/>
          </w:tcPr>
          <w:p w14:paraId="77B5B02F" w14:textId="77777777" w:rsidR="00A62885" w:rsidRPr="004D0C63" w:rsidRDefault="00A62885" w:rsidP="00F85C35">
            <w:r w:rsidRPr="004D0C63">
              <w:t>Step 5</w:t>
            </w:r>
          </w:p>
        </w:tc>
        <w:tc>
          <w:tcPr>
            <w:tcW w:w="2110" w:type="dxa"/>
            <w:hideMark/>
          </w:tcPr>
          <w:p w14:paraId="1034F9DB" w14:textId="77777777" w:rsidR="00A62885" w:rsidRPr="004D0C63" w:rsidRDefault="00A62885" w:rsidP="00F85C35">
            <w:r w:rsidRPr="004D0C63">
              <w:t>72 (0.02%)</w:t>
            </w:r>
          </w:p>
        </w:tc>
        <w:tc>
          <w:tcPr>
            <w:tcW w:w="0" w:type="auto"/>
            <w:hideMark/>
          </w:tcPr>
          <w:p w14:paraId="5B6206EC" w14:textId="77777777" w:rsidR="00A62885" w:rsidRPr="004D0C63" w:rsidRDefault="00A62885" w:rsidP="00F85C35">
            <w:r w:rsidRPr="004D0C63">
              <w:t>4 (&lt;0.01%)</w:t>
            </w:r>
          </w:p>
        </w:tc>
        <w:tc>
          <w:tcPr>
            <w:tcW w:w="0" w:type="auto"/>
            <w:hideMark/>
          </w:tcPr>
          <w:p w14:paraId="5AB066B2" w14:textId="77777777" w:rsidR="00A62885" w:rsidRPr="004D0C63" w:rsidRDefault="00A62885" w:rsidP="00F85C35">
            <w:r w:rsidRPr="004D0C63">
              <w:t>1,067 (0.34%)</w:t>
            </w:r>
          </w:p>
        </w:tc>
        <w:tc>
          <w:tcPr>
            <w:tcW w:w="0" w:type="auto"/>
            <w:hideMark/>
          </w:tcPr>
          <w:p w14:paraId="3C60A823" w14:textId="77777777" w:rsidR="00A62885" w:rsidRPr="004D0C63" w:rsidRDefault="00A62885" w:rsidP="00F85C35">
            <w:r w:rsidRPr="004D0C63">
              <w:t>–</w:t>
            </w:r>
          </w:p>
        </w:tc>
      </w:tr>
    </w:tbl>
    <w:p w14:paraId="05A9E17F" w14:textId="77777777" w:rsidR="00A62885" w:rsidRPr="004D0C63" w:rsidRDefault="00A62885" w:rsidP="00F85C35"/>
    <w:p w14:paraId="0CE6B85E" w14:textId="203E7B37" w:rsidR="00356F6B" w:rsidRPr="004D0C63" w:rsidRDefault="00D96C72" w:rsidP="00F85C35">
      <w:r w:rsidRPr="004D0C63">
        <w:t>The 5 steps are repeated 500 times</w:t>
      </w:r>
      <w:r w:rsidR="00A733FD" w:rsidRPr="004D0C63">
        <w:t xml:space="preserve"> following a Monte Carlo approach</w:t>
      </w:r>
      <w:r w:rsidRPr="004D0C63">
        <w:t xml:space="preserve"> such that every time a regression is used a new value can be drawn from the given normal distribution. This means that in the end we obtain 500 slightly different production databases.</w:t>
      </w:r>
    </w:p>
    <w:p w14:paraId="36BE44D5" w14:textId="77777777" w:rsidR="00540D75" w:rsidRPr="004D0C63" w:rsidRDefault="00540D75" w:rsidP="00DC0527">
      <w:pPr>
        <w:pStyle w:val="Heading2"/>
      </w:pPr>
      <w:bookmarkStart w:id="11" w:name="_Toc236230881"/>
      <w:r w:rsidRPr="004D0C63">
        <w:lastRenderedPageBreak/>
        <w:t>Consumption and stock</w:t>
      </w:r>
      <w:bookmarkEnd w:id="11"/>
      <w:r w:rsidRPr="004D0C63">
        <w:t xml:space="preserve"> </w:t>
      </w:r>
    </w:p>
    <w:p w14:paraId="32584945" w14:textId="3CFB45B4" w:rsidR="00A733FD" w:rsidRPr="004D0C63" w:rsidRDefault="00D96C72" w:rsidP="00F85C35">
      <w:r w:rsidRPr="004D0C63">
        <w:t xml:space="preserve">Consumption is </w:t>
      </w:r>
      <w:r w:rsidR="00DA012E" w:rsidRPr="004D0C63">
        <w:t>obtained</w:t>
      </w:r>
      <w:r w:rsidRPr="004D0C63">
        <w:t xml:space="preserve"> from production and trade. We repeat its calculation 500 times from each of the production databases </w:t>
      </w:r>
      <w:r w:rsidR="00746FF7" w:rsidRPr="004D0C63">
        <w:t xml:space="preserve">produced by the data cleaning procedure. </w:t>
      </w:r>
      <w:r w:rsidR="009245EE" w:rsidRPr="004D0C63">
        <w:t>Stock is then calculated from consumption using standard dMFA methods considering product lifetimes</w:t>
      </w:r>
      <w:r w:rsidR="00746FF7" w:rsidRPr="004D0C63">
        <w:t xml:space="preserve">. </w:t>
      </w:r>
      <w:r w:rsidR="009245EE" w:rsidRPr="004D0C63">
        <w:t>These p</w:t>
      </w:r>
      <w:r w:rsidR="00746FF7" w:rsidRPr="004D0C63">
        <w:t>roduct lifetime</w:t>
      </w:r>
      <w:r w:rsidR="009245EE" w:rsidRPr="004D0C63">
        <w:t>s are</w:t>
      </w:r>
      <w:r w:rsidR="00746FF7" w:rsidRPr="004D0C63">
        <w:t xml:space="preserve"> modelled as Weibull function</w:t>
      </w:r>
      <w:r w:rsidR="009245EE" w:rsidRPr="004D0C63">
        <w:t>s</w:t>
      </w:r>
      <w:r w:rsidR="00237C7B" w:rsidRPr="004D0C63">
        <w:t xml:space="preserve"> defined by a shape </w:t>
      </w:r>
      <w:r w:rsidR="00E07C47" w:rsidRPr="004D0C63">
        <w:t>and scale</w:t>
      </w:r>
      <w:r w:rsidR="005D2A5C" w:rsidRPr="004D0C63">
        <w:t xml:space="preserve"> parameter. The shape parameters are taken from </w:t>
      </w:r>
      <w:r w:rsidR="00E07C47" w:rsidRPr="004D0C63">
        <w:t>Wiprächtiger et al. (2022) while the scale parameter</w:t>
      </w:r>
      <w:r w:rsidR="009245EE" w:rsidRPr="004D0C63">
        <w:t xml:space="preserve">s are </w:t>
      </w:r>
      <w:r w:rsidR="00E07C47" w:rsidRPr="004D0C63">
        <w:t xml:space="preserve">calculated </w:t>
      </w:r>
      <w:r w:rsidR="0059078C" w:rsidRPr="004D0C63">
        <w:t>from the average lifetime reported for products in each category</w:t>
      </w:r>
      <w:r w:rsidR="00E07C47" w:rsidRPr="004D0C63">
        <w:t xml:space="preserve"> (</w:t>
      </w:r>
      <w:r w:rsidR="00E07C47" w:rsidRPr="004D0C63">
        <w:fldChar w:fldCharType="begin"/>
      </w:r>
      <w:r w:rsidR="00E07C47" w:rsidRPr="004D0C63">
        <w:instrText xml:space="preserve"> REF _Ref232519392 \h </w:instrText>
      </w:r>
      <w:r w:rsidR="00E07C47" w:rsidRPr="004D0C63">
        <w:fldChar w:fldCharType="separate"/>
      </w:r>
      <w:r w:rsidR="00E07C47" w:rsidRPr="004D0C63">
        <w:t>Table S3</w:t>
      </w:r>
      <w:r w:rsidR="00E07C47" w:rsidRPr="004D0C63">
        <w:fldChar w:fldCharType="end"/>
      </w:r>
      <w:r w:rsidR="00E07C47" w:rsidRPr="004D0C63">
        <w:t>)</w:t>
      </w:r>
      <w:r w:rsidR="00A733FD" w:rsidRPr="004D0C63">
        <w:t>.</w:t>
      </w:r>
      <w:r w:rsidR="00553F15" w:rsidRPr="004D0C63">
        <w:t xml:space="preserve"> </w:t>
      </w:r>
    </w:p>
    <w:p w14:paraId="2904BA16" w14:textId="23322FCE" w:rsidR="00BD3A54" w:rsidRPr="004D0C63" w:rsidRDefault="00A733FD" w:rsidP="00F85C35">
      <w:pPr>
        <w:sectPr w:rsidR="00BD3A54" w:rsidRPr="004D0C63" w:rsidSect="0016711A">
          <w:pgSz w:w="11906" w:h="16838"/>
          <w:pgMar w:top="1440" w:right="1440" w:bottom="1440" w:left="1440" w:header="709" w:footer="709" w:gutter="0"/>
          <w:cols w:space="708"/>
          <w:docGrid w:linePitch="360"/>
        </w:sectPr>
      </w:pPr>
      <w:r w:rsidRPr="004D0C63">
        <w:t xml:space="preserve">Because of uncertainty we have 500 estimates for consumption and therefore repeat the stock calculation 500 times as well.  </w:t>
      </w:r>
      <w:r w:rsidR="00553F15" w:rsidRPr="004D0C63">
        <w:t xml:space="preserve">To report the </w:t>
      </w:r>
      <w:r w:rsidR="005571CC" w:rsidRPr="004D0C63">
        <w:t>results</w:t>
      </w:r>
      <w:r w:rsidR="00553F15" w:rsidRPr="004D0C63">
        <w:t>, a single estimate of production, consumption, and stock is required for each product-country-year combination. We therefore calculate the mean and standard deviation across all iterations of production, consumption, and stock to quantify uncertainty. Before calculating these summary statistics, we apply winsorization. Winsorization is a statistical technique that reduces the influence of extreme values by replacing observations beyond specified percentile thresholds with the threshold values</w:t>
      </w:r>
      <w:r w:rsidR="00E13E6F" w:rsidRPr="004D0C63">
        <w:t xml:space="preserve"> </w:t>
      </w:r>
      <w:r w:rsidR="00535906" w:rsidRPr="004D0C63">
        <w:fldChar w:fldCharType="begin"/>
      </w:r>
      <w:r w:rsidR="00535906" w:rsidRPr="004D0C63">
        <w:instrText xml:space="preserve"> ADDIN ZOTERO_ITEM CSL_CITATION {"citationID":"LWLEU0VZ","properties":{"unsorted":false,"formattedCitation":"(Dixon &amp; Yuen, 1974)","plainCitation":"(Dixon &amp; Yuen, 1974)","noteIndex":0},"citationItems":[{"id":1550,"uris":["http://zotero.org/users/16823286/items/ACJVQ25H"],"itemData":{"id":1550,"type":"article-journal","abstract":"This paper provides a literature review for robust statistical procedures — trimming and Winsorization — that were first proposed for estimating location, but were later extended to other estimation and testing problems. Performance of these techniques under normal and long-tailed distributions are discussed.","container-title":"Statistische Hefte","DOI":"10.1007/BF02922904","ISSN":"1613-9798","issue":"2","journalAbbreviation":"Statistische Hefte","language":"en","page":"157-170","source":"Springer Link","title":"Trimming and winsorization: A review","title-short":"Trimming and winsorization","volume":"15","author":[{"family":"Dixon","given":"W. J."},{"family":"Yuen","given":"K. K."}],"issued":{"date-parts":[["1974",6,1]]}}}],"schema":"https://github.com/citation-style-language/schema/raw/master/csl-citation.json"} </w:instrText>
      </w:r>
      <w:r w:rsidR="00535906" w:rsidRPr="004D0C63">
        <w:fldChar w:fldCharType="separate"/>
      </w:r>
      <w:r w:rsidR="00535906" w:rsidRPr="004D0C63">
        <w:rPr>
          <w:rFonts w:ascii="Aptos" w:hAnsi="Aptos"/>
        </w:rPr>
        <w:t>(Dixon &amp; Yuen, 1974)</w:t>
      </w:r>
      <w:r w:rsidR="00535906" w:rsidRPr="004D0C63">
        <w:fldChar w:fldCharType="end"/>
      </w:r>
      <w:r w:rsidR="008966F5" w:rsidRPr="004D0C63">
        <w:t xml:space="preserve">. </w:t>
      </w:r>
      <w:r w:rsidR="00E13E6F" w:rsidRPr="004D0C63">
        <w:t>Specifically, production, consumption, and stock are winsorized at the 2.5th and 97.5th percentiles, limiting the influence of extreme simulated values on the reported mean and standard deviation.</w:t>
      </w:r>
    </w:p>
    <w:p w14:paraId="447CDC0D" w14:textId="11DE88D6" w:rsidR="00CA3C3E" w:rsidRPr="004D0C63" w:rsidRDefault="00CA3C3E" w:rsidP="00F85C35">
      <w:pPr>
        <w:pStyle w:val="Caption"/>
      </w:pPr>
      <w:bookmarkStart w:id="12" w:name="_Ref232519392"/>
      <w:r w:rsidRPr="004D0C63">
        <w:lastRenderedPageBreak/>
        <w:t>Table S</w:t>
      </w:r>
      <w:fldSimple w:instr=" SEQ Table_S \* ARABIC ">
        <w:r w:rsidR="00A527A6" w:rsidRPr="004D0C63">
          <w:t>3</w:t>
        </w:r>
      </w:fldSimple>
      <w:bookmarkEnd w:id="12"/>
      <w:r w:rsidRPr="004D0C63">
        <w:t>. Weibull parameters for lifetime curves. Shape parameter k is from Wiprächtiger et al. (2022).</w:t>
      </w:r>
    </w:p>
    <w:tbl>
      <w:tblPr>
        <w:tblStyle w:val="TableGridLight"/>
        <w:tblW w:w="14170" w:type="dxa"/>
        <w:tblLook w:val="04A0" w:firstRow="1" w:lastRow="0" w:firstColumn="1" w:lastColumn="0" w:noHBand="0" w:noVBand="1"/>
      </w:tblPr>
      <w:tblGrid>
        <w:gridCol w:w="986"/>
        <w:gridCol w:w="1368"/>
        <w:gridCol w:w="5136"/>
        <w:gridCol w:w="601"/>
        <w:gridCol w:w="851"/>
        <w:gridCol w:w="5228"/>
      </w:tblGrid>
      <w:tr w:rsidR="009B3AA4" w:rsidRPr="004D0C63" w14:paraId="0DF98F62" w14:textId="2CE4ED2C" w:rsidTr="376C0789">
        <w:trPr>
          <w:trHeight w:val="315"/>
        </w:trPr>
        <w:tc>
          <w:tcPr>
            <w:tcW w:w="986" w:type="dxa"/>
            <w:noWrap/>
            <w:hideMark/>
          </w:tcPr>
          <w:p w14:paraId="7084A874" w14:textId="77777777" w:rsidR="009B3AA4" w:rsidRPr="004D0C63" w:rsidRDefault="009B3AA4" w:rsidP="00F85C35">
            <w:pPr>
              <w:rPr>
                <w:lang/>
              </w:rPr>
            </w:pPr>
            <w:r w:rsidRPr="004D0C63">
              <w:rPr>
                <w:lang/>
              </w:rPr>
              <w:t>HS Code</w:t>
            </w:r>
          </w:p>
        </w:tc>
        <w:tc>
          <w:tcPr>
            <w:tcW w:w="1368" w:type="dxa"/>
            <w:noWrap/>
            <w:hideMark/>
          </w:tcPr>
          <w:p w14:paraId="2C3F4F72" w14:textId="77777777" w:rsidR="009B3AA4" w:rsidRPr="004D0C63" w:rsidRDefault="009B3AA4" w:rsidP="00F85C35">
            <w:pPr>
              <w:rPr>
                <w:lang/>
              </w:rPr>
            </w:pPr>
            <w:r w:rsidRPr="004D0C63">
              <w:rPr>
                <w:lang/>
              </w:rPr>
              <w:t>PRODCOM Code</w:t>
            </w:r>
          </w:p>
        </w:tc>
        <w:tc>
          <w:tcPr>
            <w:tcW w:w="5296" w:type="dxa"/>
            <w:hideMark/>
          </w:tcPr>
          <w:p w14:paraId="13D79212" w14:textId="34A3F3EF" w:rsidR="009B3AA4" w:rsidRPr="004D0C63" w:rsidRDefault="009B3AA4" w:rsidP="00F85C35">
            <w:pPr>
              <w:rPr>
                <w:lang/>
              </w:rPr>
            </w:pPr>
            <w:r w:rsidRPr="004D0C63">
              <w:rPr>
                <w:lang/>
              </w:rPr>
              <w:t>Short Name</w:t>
            </w:r>
          </w:p>
        </w:tc>
        <w:tc>
          <w:tcPr>
            <w:tcW w:w="283" w:type="dxa"/>
            <w:noWrap/>
            <w:hideMark/>
          </w:tcPr>
          <w:p w14:paraId="500B8538" w14:textId="0EDEEEEA" w:rsidR="009B3AA4" w:rsidRPr="004D0C63" w:rsidRDefault="009B3AA4" w:rsidP="00F85C35">
            <w:pPr>
              <w:rPr>
                <w:lang/>
              </w:rPr>
            </w:pPr>
            <w:r w:rsidRPr="004D0C63">
              <w:rPr>
                <w:lang/>
              </w:rPr>
              <w:t>k</w:t>
            </w:r>
            <w:r w:rsidR="00CD79F3" w:rsidRPr="004D0C63">
              <w:rPr>
                <w:lang/>
              </w:rPr>
              <w:t xml:space="preserve"> </w:t>
            </w:r>
          </w:p>
        </w:tc>
        <w:tc>
          <w:tcPr>
            <w:tcW w:w="851" w:type="dxa"/>
            <w:noWrap/>
            <w:hideMark/>
          </w:tcPr>
          <w:p w14:paraId="2F558313" w14:textId="314B20D5" w:rsidR="009B3AA4" w:rsidRPr="004D0C63" w:rsidRDefault="00CD79F3" w:rsidP="00F85C35">
            <w:pPr>
              <w:rPr>
                <w:lang/>
              </w:rPr>
            </w:pPr>
            <w:r w:rsidRPr="004D0C63">
              <w:rPr>
                <w:lang/>
              </w:rPr>
              <w:t>λ</w:t>
            </w:r>
          </w:p>
        </w:tc>
        <w:tc>
          <w:tcPr>
            <w:tcW w:w="5386" w:type="dxa"/>
          </w:tcPr>
          <w:p w14:paraId="656B7BC3" w14:textId="66D1FA6F" w:rsidR="009B3AA4" w:rsidRPr="004D0C63" w:rsidRDefault="0028642C" w:rsidP="00F85C35">
            <w:pPr>
              <w:rPr>
                <w:lang/>
              </w:rPr>
            </w:pPr>
            <w:r w:rsidRPr="004D0C63">
              <w:rPr>
                <w:lang/>
              </w:rPr>
              <w:t>Reference for lifetime (λ)</w:t>
            </w:r>
          </w:p>
        </w:tc>
      </w:tr>
      <w:tr w:rsidR="009B3AA4" w:rsidRPr="004D0C63" w14:paraId="2B08439A" w14:textId="0EB9D0F8" w:rsidTr="376C0789">
        <w:trPr>
          <w:trHeight w:val="315"/>
        </w:trPr>
        <w:tc>
          <w:tcPr>
            <w:tcW w:w="986" w:type="dxa"/>
            <w:noWrap/>
            <w:hideMark/>
          </w:tcPr>
          <w:p w14:paraId="39FE6417" w14:textId="77777777" w:rsidR="009B3AA4" w:rsidRPr="004D0C63" w:rsidRDefault="009B3AA4" w:rsidP="00F85C35">
            <w:pPr>
              <w:rPr>
                <w:lang/>
              </w:rPr>
            </w:pPr>
            <w:r w:rsidRPr="004D0C63">
              <w:rPr>
                <w:lang/>
              </w:rPr>
              <w:t>940130</w:t>
            </w:r>
          </w:p>
        </w:tc>
        <w:tc>
          <w:tcPr>
            <w:tcW w:w="1368" w:type="dxa"/>
            <w:noWrap/>
            <w:hideMark/>
          </w:tcPr>
          <w:p w14:paraId="6F5296C0" w14:textId="77777777" w:rsidR="009B3AA4" w:rsidRPr="004D0C63" w:rsidRDefault="009B3AA4" w:rsidP="00F85C35">
            <w:pPr>
              <w:rPr>
                <w:lang/>
              </w:rPr>
            </w:pPr>
            <w:r w:rsidRPr="004D0C63">
              <w:rPr>
                <w:lang/>
              </w:rPr>
              <w:t>31001155</w:t>
            </w:r>
          </w:p>
        </w:tc>
        <w:tc>
          <w:tcPr>
            <w:tcW w:w="5296" w:type="dxa"/>
            <w:hideMark/>
          </w:tcPr>
          <w:p w14:paraId="4E6E4021" w14:textId="73410825" w:rsidR="009B3AA4" w:rsidRPr="004D0C63" w:rsidRDefault="009B3AA4" w:rsidP="00F85C35">
            <w:pPr>
              <w:rPr>
                <w:lang/>
              </w:rPr>
            </w:pPr>
            <w:r w:rsidRPr="004D0C63">
              <w:rPr>
                <w:lang/>
              </w:rPr>
              <w:t xml:space="preserve">Upholstered swivel seats </w:t>
            </w:r>
          </w:p>
        </w:tc>
        <w:tc>
          <w:tcPr>
            <w:tcW w:w="283" w:type="dxa"/>
            <w:noWrap/>
            <w:hideMark/>
          </w:tcPr>
          <w:p w14:paraId="769F1FE8" w14:textId="77777777" w:rsidR="009B3AA4" w:rsidRPr="004D0C63" w:rsidRDefault="009B3AA4" w:rsidP="00F85C35">
            <w:pPr>
              <w:rPr>
                <w:lang/>
              </w:rPr>
            </w:pPr>
            <w:r w:rsidRPr="004D0C63">
              <w:rPr>
                <w:lang/>
              </w:rPr>
              <w:t>2,58</w:t>
            </w:r>
          </w:p>
        </w:tc>
        <w:tc>
          <w:tcPr>
            <w:tcW w:w="851" w:type="dxa"/>
            <w:noWrap/>
            <w:hideMark/>
          </w:tcPr>
          <w:p w14:paraId="4D53352D" w14:textId="77777777" w:rsidR="009B3AA4" w:rsidRPr="004D0C63" w:rsidRDefault="009B3AA4" w:rsidP="00F85C35">
            <w:pPr>
              <w:rPr>
                <w:lang/>
              </w:rPr>
            </w:pPr>
            <w:r w:rsidRPr="004D0C63">
              <w:rPr>
                <w:lang/>
              </w:rPr>
              <w:t>12,50</w:t>
            </w:r>
          </w:p>
        </w:tc>
        <w:tc>
          <w:tcPr>
            <w:tcW w:w="5386" w:type="dxa"/>
          </w:tcPr>
          <w:p w14:paraId="099270DF" w14:textId="21ACF8D0" w:rsidR="009B3AA4" w:rsidRPr="004D0C63" w:rsidRDefault="009B3AA4" w:rsidP="00F85C35">
            <w:r w:rsidRPr="004D0C63">
              <w:fldChar w:fldCharType="begin"/>
            </w:r>
            <w:r w:rsidRPr="004D0C63">
              <w:instrText xml:space="preserve"> ADDIN ZOTERO_ITEM CSL_CITATION {"citationID":"kWj5gXjD","properties":{"unsorted":false,"formattedCitation":"(Gamage et al., 2008; Hoxha &amp; Jusselme, 2017)","plainCitation":"(Gamage et al., 2008; Hoxha &amp; Jusselme, 2017)","noteIndex":0},"citationItems":[{"id":9,"uris":["http://zotero.org/users/16823286/items/3Y7FCY9I"],"itemData":{"id":9,"type":"article-journal","abstract":"Background, aims and scope The environmental aspects of companies and their products are becoming more significant in delivering competitive advantage. Formway Furniture, a designer and manufacturer of office furniture products, is a New Zealand-based company that is committed to sustainable development. It manufactures two models of the light, intuitive, flexible and environmental (LIFE) office chair: one with an aluminium base and one with a glass-filled nylon (GFN) base. It was decided to undertake a life cycle assessment (LCA) study of these two models in order to: (1) determine environmental hotspots in the life cycle of the two chairs (goal 1); (2) compare the life cycle impacts of the two chairs (goal 2); and (3) compare alternative potential waste-management scenarios (goal 3). The study also included sensitivity analysis with respect to recycled content of aluminium in the product.","container-title":"The International Journal of Life Cycle Assessment","DOI":"10.1007/s11367-008-0002-3","ISSN":"0948-3349, 1614-7502","issue":"5","journalAbbreviation":"Int J Life Cycle Assess","language":"en","license":"http://www.springer.com/tdm","page":"401-411","source":"DOI.org (Crossref)","title":"Life cycle assessment of commercial furniture: a case study of Formway LIFE chair","title-short":"Life cycle assessment of commercial furniture","volume":"13","author":[{"family":"Gamage","given":"Gayathri"},{"family":"Boyle","given":"Carol"},{"family":"McLaren","given":"Sarah J."},{"family":"McLaren","given":"Jake"}],"issued":{"date-parts":[["2008",8]]}}},{"id":72,"uris":["http://zotero.org/users/16823286/items/394BMTRN"],"itemData":{"id":72,"type":"article-journal","container-title":"Science of The Total Environment","DOI":"10.1016/j.scitotenv.2017.03.107","ISSN":"00489697","journalAbbreviation":"Science of The Total Environment","language":"en","page":"405-416","source":"DOI.org (Crossref)","title":"On the necessity of improving the environmental impacts of furniture and appliances in net-zero energy buildings","volume":"596-597","author":[{"family":"Hoxha","given":"Endrit"},{"family":"Jusselme","given":"Thomas"}],"issued":{"date-parts":[["2017",10]]}}}],"schema":"https://github.com/citation-style-language/schema/raw/master/csl-citation.json"} </w:instrText>
            </w:r>
            <w:r w:rsidRPr="004D0C63">
              <w:fldChar w:fldCharType="separate"/>
            </w:r>
            <w:r w:rsidR="317E3A1B" w:rsidRPr="004D0C63">
              <w:t>(Gamage et al., 2008; Hoxha &amp; Jusselme, 2017)</w:t>
            </w:r>
            <w:r w:rsidRPr="004D0C63">
              <w:fldChar w:fldCharType="end"/>
            </w:r>
          </w:p>
        </w:tc>
      </w:tr>
      <w:tr w:rsidR="009B3AA4" w:rsidRPr="004D0C63" w14:paraId="11594CFD" w14:textId="24173860" w:rsidTr="376C0789">
        <w:trPr>
          <w:trHeight w:val="315"/>
        </w:trPr>
        <w:tc>
          <w:tcPr>
            <w:tcW w:w="986" w:type="dxa"/>
            <w:noWrap/>
            <w:hideMark/>
          </w:tcPr>
          <w:p w14:paraId="77164814" w14:textId="77777777" w:rsidR="009B3AA4" w:rsidRPr="004D0C63" w:rsidRDefault="009B3AA4" w:rsidP="00F85C35">
            <w:pPr>
              <w:rPr>
                <w:lang/>
              </w:rPr>
            </w:pPr>
            <w:r w:rsidRPr="004D0C63">
              <w:rPr>
                <w:lang/>
              </w:rPr>
              <w:t>940130</w:t>
            </w:r>
          </w:p>
        </w:tc>
        <w:tc>
          <w:tcPr>
            <w:tcW w:w="1368" w:type="dxa"/>
            <w:noWrap/>
            <w:hideMark/>
          </w:tcPr>
          <w:p w14:paraId="2CD81F01" w14:textId="77777777" w:rsidR="009B3AA4" w:rsidRPr="004D0C63" w:rsidRDefault="009B3AA4" w:rsidP="00F85C35">
            <w:pPr>
              <w:rPr>
                <w:lang/>
              </w:rPr>
            </w:pPr>
            <w:r w:rsidRPr="004D0C63">
              <w:rPr>
                <w:lang/>
              </w:rPr>
              <w:t>31001159</w:t>
            </w:r>
          </w:p>
        </w:tc>
        <w:tc>
          <w:tcPr>
            <w:tcW w:w="5296" w:type="dxa"/>
            <w:hideMark/>
          </w:tcPr>
          <w:p w14:paraId="7A2A2707" w14:textId="20E257C6" w:rsidR="009B3AA4" w:rsidRPr="004D0C63" w:rsidRDefault="009B3AA4" w:rsidP="00F85C35">
            <w:pPr>
              <w:rPr>
                <w:lang/>
              </w:rPr>
            </w:pPr>
            <w:r w:rsidRPr="004D0C63">
              <w:rPr>
                <w:lang/>
              </w:rPr>
              <w:t xml:space="preserve">Non-upholstered swivel seats </w:t>
            </w:r>
          </w:p>
        </w:tc>
        <w:tc>
          <w:tcPr>
            <w:tcW w:w="283" w:type="dxa"/>
            <w:noWrap/>
            <w:hideMark/>
          </w:tcPr>
          <w:p w14:paraId="3E282430" w14:textId="77777777" w:rsidR="009B3AA4" w:rsidRPr="004D0C63" w:rsidRDefault="009B3AA4" w:rsidP="00F85C35">
            <w:pPr>
              <w:rPr>
                <w:lang/>
              </w:rPr>
            </w:pPr>
            <w:r w:rsidRPr="004D0C63">
              <w:rPr>
                <w:lang/>
              </w:rPr>
              <w:t>2,2</w:t>
            </w:r>
          </w:p>
        </w:tc>
        <w:tc>
          <w:tcPr>
            <w:tcW w:w="851" w:type="dxa"/>
            <w:noWrap/>
            <w:hideMark/>
          </w:tcPr>
          <w:p w14:paraId="394D1F1E" w14:textId="77777777" w:rsidR="009B3AA4" w:rsidRPr="004D0C63" w:rsidRDefault="009B3AA4" w:rsidP="00F85C35">
            <w:pPr>
              <w:rPr>
                <w:lang/>
              </w:rPr>
            </w:pPr>
            <w:r w:rsidRPr="004D0C63">
              <w:rPr>
                <w:lang/>
              </w:rPr>
              <w:t>5,00</w:t>
            </w:r>
          </w:p>
        </w:tc>
        <w:tc>
          <w:tcPr>
            <w:tcW w:w="5386" w:type="dxa"/>
          </w:tcPr>
          <w:p w14:paraId="29DA8522" w14:textId="45A8EC37" w:rsidR="009B3AA4" w:rsidRPr="004D0C63" w:rsidRDefault="009B3AA4" w:rsidP="00F85C35">
            <w:pPr>
              <w:rPr>
                <w:lang/>
              </w:rPr>
            </w:pPr>
            <w:r w:rsidRPr="004D0C63">
              <w:t>(Flokk AS, 2024)</w:t>
            </w:r>
          </w:p>
        </w:tc>
      </w:tr>
      <w:tr w:rsidR="009B3AA4" w:rsidRPr="004D0C63" w14:paraId="6DF589B7" w14:textId="22E5ED6F" w:rsidTr="376C0789">
        <w:trPr>
          <w:trHeight w:val="315"/>
        </w:trPr>
        <w:tc>
          <w:tcPr>
            <w:tcW w:w="986" w:type="dxa"/>
            <w:noWrap/>
            <w:hideMark/>
          </w:tcPr>
          <w:p w14:paraId="29EB4766" w14:textId="77777777" w:rsidR="009B3AA4" w:rsidRPr="004D0C63" w:rsidRDefault="009B3AA4" w:rsidP="00F85C35">
            <w:pPr>
              <w:rPr>
                <w:lang/>
              </w:rPr>
            </w:pPr>
            <w:r w:rsidRPr="004D0C63">
              <w:rPr>
                <w:lang/>
              </w:rPr>
              <w:t>940130</w:t>
            </w:r>
          </w:p>
        </w:tc>
        <w:tc>
          <w:tcPr>
            <w:tcW w:w="1368" w:type="dxa"/>
            <w:noWrap/>
            <w:hideMark/>
          </w:tcPr>
          <w:p w14:paraId="421EE474" w14:textId="77777777" w:rsidR="009B3AA4" w:rsidRPr="004D0C63" w:rsidRDefault="009B3AA4" w:rsidP="00F85C35">
            <w:pPr>
              <w:rPr>
                <w:lang/>
              </w:rPr>
            </w:pPr>
            <w:r w:rsidRPr="004D0C63">
              <w:rPr>
                <w:lang/>
              </w:rPr>
              <w:t>31001150</w:t>
            </w:r>
          </w:p>
        </w:tc>
        <w:tc>
          <w:tcPr>
            <w:tcW w:w="5296" w:type="dxa"/>
            <w:hideMark/>
          </w:tcPr>
          <w:p w14:paraId="362F0C29" w14:textId="264E02CD" w:rsidR="009B3AA4" w:rsidRPr="004D0C63" w:rsidRDefault="009B3AA4" w:rsidP="00F85C35">
            <w:pPr>
              <w:rPr>
                <w:lang/>
              </w:rPr>
            </w:pPr>
            <w:r w:rsidRPr="004D0C63">
              <w:rPr>
                <w:lang/>
              </w:rPr>
              <w:t xml:space="preserve">Swivel seats </w:t>
            </w:r>
          </w:p>
        </w:tc>
        <w:tc>
          <w:tcPr>
            <w:tcW w:w="283" w:type="dxa"/>
            <w:noWrap/>
            <w:hideMark/>
          </w:tcPr>
          <w:p w14:paraId="45F24873" w14:textId="77777777" w:rsidR="009B3AA4" w:rsidRPr="004D0C63" w:rsidRDefault="009B3AA4" w:rsidP="00F85C35">
            <w:pPr>
              <w:rPr>
                <w:lang/>
              </w:rPr>
            </w:pPr>
            <w:r w:rsidRPr="004D0C63">
              <w:rPr>
                <w:lang/>
              </w:rPr>
              <w:t>2,58</w:t>
            </w:r>
          </w:p>
        </w:tc>
        <w:tc>
          <w:tcPr>
            <w:tcW w:w="851" w:type="dxa"/>
            <w:noWrap/>
            <w:hideMark/>
          </w:tcPr>
          <w:p w14:paraId="7141A929" w14:textId="77777777" w:rsidR="009B3AA4" w:rsidRPr="004D0C63" w:rsidRDefault="009B3AA4" w:rsidP="00F85C35">
            <w:pPr>
              <w:rPr>
                <w:lang/>
              </w:rPr>
            </w:pPr>
            <w:r w:rsidRPr="004D0C63">
              <w:rPr>
                <w:lang/>
              </w:rPr>
              <w:t>11,50</w:t>
            </w:r>
          </w:p>
        </w:tc>
        <w:tc>
          <w:tcPr>
            <w:tcW w:w="5386" w:type="dxa"/>
          </w:tcPr>
          <w:p w14:paraId="69D28A99" w14:textId="5F3297F0" w:rsidR="009B3AA4" w:rsidRPr="004D0C63" w:rsidRDefault="009B3AA4" w:rsidP="00F85C35">
            <w:r w:rsidRPr="004D0C63">
              <w:fldChar w:fldCharType="begin"/>
            </w:r>
            <w:r w:rsidRPr="004D0C63">
              <w:instrText xml:space="preserve"> ADDIN ZOTERO_ITEM CSL_CITATION {"citationID":"OyGyXSLE","properties":{"unsorted":false,"formattedCitation":"(Gamage et al., 2008; Wagner et al., 2022)","plainCitation":"(Gamage et al., 2008; Wagner et al., 2022)","noteIndex":0},"citationItems":[{"id":9,"uris":["http://zotero.org/users/16823286/items/3Y7FCY9I"],"itemData":{"id":9,"type":"article-journal","abstract":"Background, aims and scope The environmental aspects of companies and their products are becoming more significant in delivering competitive advantage. Formway Furniture, a designer and manufacturer of office furniture products, is a New Zealand-based company that is committed to sustainable development. It manufactures two models of the light, intuitive, flexible and environmental (LIFE) office chair: one with an aluminium base and one with a glass-filled nylon (GFN) base. It was decided to undertake a life cycle assessment (LCA) study of these two models in order to: (1) determine environmental hotspots in the life cycle of the two chairs (goal 1); (2) compare the life cycle impacts of the two chairs (goal 2); and (3) compare alternative potential waste-management scenarios (goal 3). The study also included sensitivity analysis with respect to recycled content of aluminium in the product.","container-title":"The International Journal of Life Cycle Assessment","DOI":"10.1007/s11367-008-0002-3","ISSN":"0948-3349, 1614-7502","issue":"5","journalAbbreviation":"Int J Life Cycle Assess","language":"en","license":"http://www.springer.com/tdm","page":"401-411","source":"DOI.org (Crossref)","title":"Life cycle assessment of commercial furniture: a case study of Formway LIFE chair","title-short":"Life cycle assessment of commercial furniture","volume":"13","author":[{"family":"Gamage","given":"Gayathri"},{"family":"Boyle","given":"Carol"},{"family":"McLaren","given":"Sarah J."},{"family":"McLaren","given":"Jake"}],"issued":{"date-parts":[["2008",8]]}}},{"id":11,"uris":["http://zotero.org/users/16823286/items/JIDPR65F"],"itemData":{"id":11,"type":"article-journal","abstract":"Evaluation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fldChar w:fldCharType="separate"/>
            </w:r>
            <w:r w:rsidRPr="004D0C63">
              <w:t>(Gamage et al., 2008; Wagner et al., 2022)</w:t>
            </w:r>
            <w:r w:rsidRPr="004D0C63">
              <w:fldChar w:fldCharType="end"/>
            </w:r>
          </w:p>
        </w:tc>
      </w:tr>
      <w:tr w:rsidR="009B3AA4" w:rsidRPr="004D0C63" w14:paraId="30354C8F" w14:textId="0468C8D6" w:rsidTr="376C0789">
        <w:trPr>
          <w:trHeight w:val="315"/>
        </w:trPr>
        <w:tc>
          <w:tcPr>
            <w:tcW w:w="986" w:type="dxa"/>
            <w:noWrap/>
            <w:hideMark/>
          </w:tcPr>
          <w:p w14:paraId="7FB118E1" w14:textId="77777777" w:rsidR="009B3AA4" w:rsidRPr="004D0C63" w:rsidRDefault="009B3AA4" w:rsidP="00F85C35">
            <w:pPr>
              <w:rPr>
                <w:lang/>
              </w:rPr>
            </w:pPr>
            <w:r w:rsidRPr="004D0C63">
              <w:rPr>
                <w:lang/>
              </w:rPr>
              <w:t>940130</w:t>
            </w:r>
          </w:p>
        </w:tc>
        <w:tc>
          <w:tcPr>
            <w:tcW w:w="1368" w:type="dxa"/>
            <w:noWrap/>
            <w:hideMark/>
          </w:tcPr>
          <w:p w14:paraId="4814630E" w14:textId="77777777" w:rsidR="009B3AA4" w:rsidRPr="004D0C63" w:rsidRDefault="009B3AA4" w:rsidP="00F85C35">
            <w:pPr>
              <w:rPr>
                <w:lang/>
              </w:rPr>
            </w:pPr>
            <w:r w:rsidRPr="004D0C63">
              <w:rPr>
                <w:lang/>
              </w:rPr>
              <w:t>31001151</w:t>
            </w:r>
          </w:p>
        </w:tc>
        <w:tc>
          <w:tcPr>
            <w:tcW w:w="5296" w:type="dxa"/>
            <w:hideMark/>
          </w:tcPr>
          <w:p w14:paraId="5128D88A" w14:textId="6D1BCEEE" w:rsidR="009B3AA4" w:rsidRPr="004D0C63" w:rsidRDefault="009B3AA4" w:rsidP="00F85C35">
            <w:pPr>
              <w:rPr>
                <w:lang/>
              </w:rPr>
            </w:pPr>
            <w:r w:rsidRPr="004D0C63">
              <w:rPr>
                <w:lang/>
              </w:rPr>
              <w:t>Swivel seats (excluding of wood)</w:t>
            </w:r>
          </w:p>
        </w:tc>
        <w:tc>
          <w:tcPr>
            <w:tcW w:w="283" w:type="dxa"/>
            <w:noWrap/>
            <w:hideMark/>
          </w:tcPr>
          <w:p w14:paraId="270818C6" w14:textId="77777777" w:rsidR="009B3AA4" w:rsidRPr="004D0C63" w:rsidRDefault="009B3AA4" w:rsidP="00F85C35">
            <w:pPr>
              <w:rPr>
                <w:lang/>
              </w:rPr>
            </w:pPr>
            <w:r w:rsidRPr="004D0C63">
              <w:rPr>
                <w:lang/>
              </w:rPr>
              <w:t>2,58</w:t>
            </w:r>
          </w:p>
        </w:tc>
        <w:tc>
          <w:tcPr>
            <w:tcW w:w="851" w:type="dxa"/>
            <w:noWrap/>
            <w:hideMark/>
          </w:tcPr>
          <w:p w14:paraId="4FE94630" w14:textId="77777777" w:rsidR="009B3AA4" w:rsidRPr="004D0C63" w:rsidRDefault="009B3AA4" w:rsidP="00F85C35">
            <w:pPr>
              <w:rPr>
                <w:lang/>
              </w:rPr>
            </w:pPr>
            <w:r w:rsidRPr="004D0C63">
              <w:rPr>
                <w:lang/>
              </w:rPr>
              <w:t>10,00</w:t>
            </w:r>
          </w:p>
        </w:tc>
        <w:tc>
          <w:tcPr>
            <w:tcW w:w="5386" w:type="dxa"/>
          </w:tcPr>
          <w:p w14:paraId="42ED5CF5" w14:textId="76A9A833" w:rsidR="009B3AA4" w:rsidRPr="004D0C63" w:rsidRDefault="009B3AA4" w:rsidP="00F85C35">
            <w:pPr>
              <w:rPr>
                <w:lang/>
              </w:rPr>
            </w:pPr>
            <w:r w:rsidRPr="004D0C63">
              <w:rPr>
                <w:lang/>
              </w:rPr>
              <w:fldChar w:fldCharType="begin"/>
            </w:r>
            <w:r w:rsidRPr="004D0C63">
              <w:rPr>
                <w:lang/>
              </w:rPr>
              <w:instrText xml:space="preserve"> ADDIN ZOTERO_ITEM CSL_CITATION {"citationID":"B1Jmo2w4","properties":{"unsorted":false,"formattedCitation":"(Gamage et al., 2008)","plainCitation":"(Gamage et al., 2008)","noteIndex":0},"citationItems":[{"id":9,"uris":["http://zotero.org/users/16823286/items/3Y7FCY9I"],"itemData":{"id":9,"type":"article-journal","abstract":"Background, aims and scope The environmental aspects of companies and their products are becoming more significant in delivering competitive advantage. Formway Furniture, a designer and manufacturer of office furniture products, is a New Zealand-based company that is committed to sustainable development. It manufactures two models of the light, intuitive, flexible and environmental (LIFE) office chair: one with an aluminium base and one with a glass-filled nylon (GFN) base. It was decided to undertake a life cycle assessment (LCA) study of these two models in order to: (1) determine environmental hotspots in the life cycle of the two chairs (goal 1); (2) compare the life cycle impacts of the two chairs (goal 2); and (3) compare alternative potential waste-management scenarios (goal 3). The study also included sensitivity analysis with respect to recycled content of aluminium in the product.","container-title":"The International Journal of Life Cycle Assessment","DOI":"10.1007/s11367-008-0002-3","ISSN":"0948-3349, 1614-7502","issue":"5","journalAbbreviation":"Int J Life Cycle Assess","language":"en","license":"http://www.springer.com/tdm","page":"401-411","source":"DOI.org (Crossref)","title":"Life cycle assessment of commercial furniture: a case study of Formway LIFE chair","title-short":"Life cycle assessment of commercial furniture","volume":"13","author":[{"family":"Gamage","given":"Gayathri"},{"family":"Boyle","given":"Carol"},{"family":"McLaren","given":"Sarah J."},{"family":"McLaren","given":"Jake"}],"issued":{"date-parts":[["2008",8]]}}}],"schema":"https://github.com/citation-style-language/schema/raw/master/csl-citation.json"} </w:instrText>
            </w:r>
            <w:r w:rsidRPr="004D0C63">
              <w:rPr>
                <w:lang/>
              </w:rPr>
              <w:fldChar w:fldCharType="separate"/>
            </w:r>
            <w:r w:rsidRPr="004D0C63">
              <w:rPr>
                <w:lang/>
              </w:rPr>
              <w:t>(Gamage et al., 2008)</w:t>
            </w:r>
            <w:r w:rsidRPr="004D0C63">
              <w:rPr>
                <w:lang/>
              </w:rPr>
              <w:fldChar w:fldCharType="end"/>
            </w:r>
          </w:p>
        </w:tc>
      </w:tr>
      <w:tr w:rsidR="009B3AA4" w:rsidRPr="004D0C63" w14:paraId="704A9879" w14:textId="7B9C21B1" w:rsidTr="376C0789">
        <w:trPr>
          <w:trHeight w:val="315"/>
        </w:trPr>
        <w:tc>
          <w:tcPr>
            <w:tcW w:w="986" w:type="dxa"/>
            <w:noWrap/>
            <w:hideMark/>
          </w:tcPr>
          <w:p w14:paraId="07C6CAB1" w14:textId="77777777" w:rsidR="009B3AA4" w:rsidRPr="004D0C63" w:rsidRDefault="009B3AA4" w:rsidP="00F85C35">
            <w:pPr>
              <w:rPr>
                <w:lang/>
              </w:rPr>
            </w:pPr>
            <w:r w:rsidRPr="004D0C63">
              <w:rPr>
                <w:lang/>
              </w:rPr>
              <w:t>940130</w:t>
            </w:r>
          </w:p>
        </w:tc>
        <w:tc>
          <w:tcPr>
            <w:tcW w:w="1368" w:type="dxa"/>
            <w:noWrap/>
            <w:hideMark/>
          </w:tcPr>
          <w:p w14:paraId="705A9960" w14:textId="77777777" w:rsidR="009B3AA4" w:rsidRPr="004D0C63" w:rsidRDefault="009B3AA4" w:rsidP="00F85C35">
            <w:pPr>
              <w:rPr>
                <w:lang/>
              </w:rPr>
            </w:pPr>
            <w:r w:rsidRPr="004D0C63">
              <w:rPr>
                <w:lang/>
              </w:rPr>
              <w:t>31001211</w:t>
            </w:r>
          </w:p>
        </w:tc>
        <w:tc>
          <w:tcPr>
            <w:tcW w:w="5296" w:type="dxa"/>
            <w:hideMark/>
          </w:tcPr>
          <w:p w14:paraId="5EBAF71A" w14:textId="16010DDB" w:rsidR="009B3AA4" w:rsidRPr="004D0C63" w:rsidRDefault="009B3AA4" w:rsidP="00F85C35">
            <w:pPr>
              <w:rPr>
                <w:lang/>
              </w:rPr>
            </w:pPr>
            <w:r w:rsidRPr="004D0C63">
              <w:rPr>
                <w:lang/>
              </w:rPr>
              <w:t xml:space="preserve">Swivel seats of wood </w:t>
            </w:r>
          </w:p>
        </w:tc>
        <w:tc>
          <w:tcPr>
            <w:tcW w:w="283" w:type="dxa"/>
            <w:noWrap/>
            <w:hideMark/>
          </w:tcPr>
          <w:p w14:paraId="45A68AC5" w14:textId="77777777" w:rsidR="009B3AA4" w:rsidRPr="004D0C63" w:rsidRDefault="009B3AA4" w:rsidP="00F85C35">
            <w:pPr>
              <w:rPr>
                <w:lang/>
              </w:rPr>
            </w:pPr>
            <w:r w:rsidRPr="004D0C63">
              <w:rPr>
                <w:lang/>
              </w:rPr>
              <w:t>2,58</w:t>
            </w:r>
          </w:p>
        </w:tc>
        <w:tc>
          <w:tcPr>
            <w:tcW w:w="851" w:type="dxa"/>
            <w:noWrap/>
            <w:hideMark/>
          </w:tcPr>
          <w:p w14:paraId="5BCC7522" w14:textId="77777777" w:rsidR="009B3AA4" w:rsidRPr="004D0C63" w:rsidRDefault="009B3AA4" w:rsidP="00F85C35">
            <w:pPr>
              <w:rPr>
                <w:lang/>
              </w:rPr>
            </w:pPr>
            <w:r w:rsidRPr="004D0C63">
              <w:rPr>
                <w:lang/>
              </w:rPr>
              <w:t>15,00</w:t>
            </w:r>
          </w:p>
        </w:tc>
        <w:tc>
          <w:tcPr>
            <w:tcW w:w="5386" w:type="dxa"/>
          </w:tcPr>
          <w:p w14:paraId="2FC57259" w14:textId="72374BDB" w:rsidR="009B3AA4" w:rsidRPr="004D0C63" w:rsidRDefault="00BB5901" w:rsidP="00F85C35">
            <w:pPr>
              <w:rPr>
                <w:lang/>
              </w:rPr>
            </w:pPr>
            <w:r w:rsidRPr="004D0C63">
              <w:fldChar w:fldCharType="begin"/>
            </w:r>
            <w:r w:rsidR="00D05A19" w:rsidRPr="004D0C63">
              <w:instrText xml:space="preserve"> ADDIN ZOTERO_ITEM CSL_CITATION {"citationID":"4lovsN2q","properties":{"unsorted":false,"formattedCitation":"(Woods Furniture, 2025)","plainCitation":"(Woods Furniture, 2025)","noteIndex":0},"citationItems":[{"id":1548,"uris":["http://zotero.org/users/16823286/items/YKPRET4J"],"itemData":{"id":1548,"type":"report","number":"NEPD-14137-14463-EN","publisher":"The Norwegian EPD Foundation","title":"Environmental product declaration: Woods Club","URL":"https://www.epd-global.com/getfile.php/13240790-1763551599/EPDer/M%C3%B8bler/Sittem%C3%B8bler/NEPD-14137-14463_Woods-Club.pdf","author":[{"literal":"Woods Furniture"}],"issued":{"date-parts":[["2025"]]}}}],"schema":"https://github.com/citation-style-language/schema/raw/master/csl-citation.json"} </w:instrText>
            </w:r>
            <w:r w:rsidRPr="004D0C63">
              <w:fldChar w:fldCharType="separate"/>
            </w:r>
            <w:r w:rsidR="00D05A19" w:rsidRPr="004D0C63">
              <w:rPr>
                <w:rFonts w:ascii="Aptos" w:hAnsi="Aptos"/>
              </w:rPr>
              <w:t>(Woods Furniture, 2025)</w:t>
            </w:r>
            <w:r w:rsidRPr="004D0C63">
              <w:fldChar w:fldCharType="end"/>
            </w:r>
          </w:p>
        </w:tc>
      </w:tr>
      <w:tr w:rsidR="009B3AA4" w:rsidRPr="004D0C63" w14:paraId="36F89277" w14:textId="6C61AA77" w:rsidTr="376C0789">
        <w:trPr>
          <w:trHeight w:val="315"/>
        </w:trPr>
        <w:tc>
          <w:tcPr>
            <w:tcW w:w="986" w:type="dxa"/>
            <w:noWrap/>
            <w:hideMark/>
          </w:tcPr>
          <w:p w14:paraId="78C84600" w14:textId="77777777" w:rsidR="009B3AA4" w:rsidRPr="004D0C63" w:rsidRDefault="009B3AA4" w:rsidP="00F85C35">
            <w:pPr>
              <w:rPr>
                <w:lang/>
              </w:rPr>
            </w:pPr>
            <w:r w:rsidRPr="004D0C63">
              <w:rPr>
                <w:lang/>
              </w:rPr>
              <w:t>940171</w:t>
            </w:r>
          </w:p>
        </w:tc>
        <w:tc>
          <w:tcPr>
            <w:tcW w:w="1368" w:type="dxa"/>
            <w:noWrap/>
            <w:hideMark/>
          </w:tcPr>
          <w:p w14:paraId="36326B81" w14:textId="77777777" w:rsidR="009B3AA4" w:rsidRPr="004D0C63" w:rsidRDefault="009B3AA4" w:rsidP="00F85C35">
            <w:pPr>
              <w:rPr>
                <w:lang/>
              </w:rPr>
            </w:pPr>
            <w:r w:rsidRPr="004D0C63">
              <w:rPr>
                <w:lang/>
              </w:rPr>
              <w:t>31001170</w:t>
            </w:r>
          </w:p>
        </w:tc>
        <w:tc>
          <w:tcPr>
            <w:tcW w:w="5296" w:type="dxa"/>
            <w:hideMark/>
          </w:tcPr>
          <w:p w14:paraId="4753174B" w14:textId="417D3711" w:rsidR="009B3AA4" w:rsidRPr="004D0C63" w:rsidRDefault="009B3AA4" w:rsidP="00F85C35">
            <w:pPr>
              <w:rPr>
                <w:lang/>
              </w:rPr>
            </w:pPr>
            <w:r w:rsidRPr="004D0C63">
              <w:rPr>
                <w:lang/>
              </w:rPr>
              <w:t xml:space="preserve">Upholstered seats with metal frames </w:t>
            </w:r>
          </w:p>
        </w:tc>
        <w:tc>
          <w:tcPr>
            <w:tcW w:w="283" w:type="dxa"/>
            <w:noWrap/>
            <w:hideMark/>
          </w:tcPr>
          <w:p w14:paraId="59B17382" w14:textId="77777777" w:rsidR="009B3AA4" w:rsidRPr="004D0C63" w:rsidRDefault="009B3AA4" w:rsidP="00F85C35">
            <w:pPr>
              <w:rPr>
                <w:lang/>
              </w:rPr>
            </w:pPr>
            <w:r w:rsidRPr="004D0C63">
              <w:rPr>
                <w:lang/>
              </w:rPr>
              <w:t>2,58</w:t>
            </w:r>
          </w:p>
        </w:tc>
        <w:tc>
          <w:tcPr>
            <w:tcW w:w="851" w:type="dxa"/>
            <w:noWrap/>
            <w:hideMark/>
          </w:tcPr>
          <w:p w14:paraId="7F053A11" w14:textId="77777777" w:rsidR="009B3AA4" w:rsidRPr="004D0C63" w:rsidRDefault="009B3AA4" w:rsidP="00F85C35">
            <w:pPr>
              <w:rPr>
                <w:lang/>
              </w:rPr>
            </w:pPr>
            <w:r w:rsidRPr="004D0C63">
              <w:rPr>
                <w:lang/>
              </w:rPr>
              <w:t>11,50</w:t>
            </w:r>
          </w:p>
        </w:tc>
        <w:tc>
          <w:tcPr>
            <w:tcW w:w="5386" w:type="dxa"/>
          </w:tcPr>
          <w:p w14:paraId="79D58AEB" w14:textId="2E1CA664" w:rsidR="009B3AA4" w:rsidRPr="004D0C63" w:rsidRDefault="00AA221E" w:rsidP="00F85C35">
            <w:r w:rsidRPr="004D0C63">
              <w:fldChar w:fldCharType="begin"/>
            </w:r>
            <w:r w:rsidRPr="004D0C63">
              <w:instrText xml:space="preserve"> ADDIN ZOTERO_ITEM CSL_CITATION {"citationID":"kE4cPxpj","properties":{"unsorted":false,"formattedCitation":"(Scan S\\uc0\\u248{}rlie AS, 2025; Wagner et al., 2022)","plainCitation":"(Scan Sørlie AS, 2025; Wagner et al., 2022)","noteIndex":0},"citationItems":[{"id":1549,"uris":["http://zotero.org/users/16823286/items/NQ6TJYL4"],"itemData":{"id":1549,"type":"report","number":"NEPD-12238-12289","publisher":"The Norwegian EPD Foundation","title":"Environmental product declaration: Size chair – Bolt","URL":"https://www.epd-global.com/getfile.php/13234772-1756999352/EPDer/M%C3%B8bler/Sittem%C3%B8bler/NEPD-12238-12289_Size-chair--Bolt.pdf","author":[{"literal":"Scan Sørlie AS"}],"issued":{"date-parts":[["2025"]]}}},{"id":11,"uris":["http://zotero.org/users/16823286/items/JIDPR65F"],"itemData":{"id":11,"type":"article-journal","abstract":"Evaluation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fldChar w:fldCharType="separate"/>
            </w:r>
            <w:r w:rsidRPr="004D0C63">
              <w:rPr>
                <w:rFonts w:ascii="Aptos" w:hAnsi="Aptos"/>
                <w:kern w:val="0"/>
              </w:rPr>
              <w:t>(Scan Sørlie AS, 2025; Wagner et al., 2022)</w:t>
            </w:r>
            <w:r w:rsidRPr="004D0C63">
              <w:fldChar w:fldCharType="end"/>
            </w:r>
          </w:p>
        </w:tc>
      </w:tr>
      <w:tr w:rsidR="009B3AA4" w:rsidRPr="004D0C63" w14:paraId="50192457" w14:textId="735F76C6" w:rsidTr="376C0789">
        <w:trPr>
          <w:trHeight w:val="315"/>
        </w:trPr>
        <w:tc>
          <w:tcPr>
            <w:tcW w:w="986" w:type="dxa"/>
            <w:noWrap/>
            <w:hideMark/>
          </w:tcPr>
          <w:p w14:paraId="7917B937" w14:textId="77777777" w:rsidR="009B3AA4" w:rsidRPr="004D0C63" w:rsidRDefault="009B3AA4" w:rsidP="00F85C35">
            <w:pPr>
              <w:rPr>
                <w:lang/>
              </w:rPr>
            </w:pPr>
            <w:r w:rsidRPr="004D0C63">
              <w:rPr>
                <w:lang/>
              </w:rPr>
              <w:t>940179</w:t>
            </w:r>
          </w:p>
        </w:tc>
        <w:tc>
          <w:tcPr>
            <w:tcW w:w="1368" w:type="dxa"/>
            <w:noWrap/>
            <w:hideMark/>
          </w:tcPr>
          <w:p w14:paraId="1E2978F4" w14:textId="77777777" w:rsidR="009B3AA4" w:rsidRPr="004D0C63" w:rsidRDefault="009B3AA4" w:rsidP="00F85C35">
            <w:pPr>
              <w:rPr>
                <w:lang/>
              </w:rPr>
            </w:pPr>
            <w:r w:rsidRPr="004D0C63">
              <w:rPr>
                <w:lang/>
              </w:rPr>
              <w:t>31001190</w:t>
            </w:r>
          </w:p>
        </w:tc>
        <w:tc>
          <w:tcPr>
            <w:tcW w:w="5296" w:type="dxa"/>
            <w:hideMark/>
          </w:tcPr>
          <w:p w14:paraId="3811F9CA" w14:textId="7BB65CF7" w:rsidR="009B3AA4" w:rsidRPr="004D0C63" w:rsidRDefault="009B3AA4" w:rsidP="00F85C35">
            <w:pPr>
              <w:rPr>
                <w:lang/>
              </w:rPr>
            </w:pPr>
            <w:r w:rsidRPr="004D0C63">
              <w:rPr>
                <w:lang/>
              </w:rPr>
              <w:t xml:space="preserve">Non-upholstered seats with metal frames </w:t>
            </w:r>
          </w:p>
        </w:tc>
        <w:tc>
          <w:tcPr>
            <w:tcW w:w="283" w:type="dxa"/>
            <w:noWrap/>
            <w:hideMark/>
          </w:tcPr>
          <w:p w14:paraId="24A8895C" w14:textId="77777777" w:rsidR="009B3AA4" w:rsidRPr="004D0C63" w:rsidRDefault="009B3AA4" w:rsidP="00F85C35">
            <w:pPr>
              <w:rPr>
                <w:lang/>
              </w:rPr>
            </w:pPr>
            <w:r w:rsidRPr="004D0C63">
              <w:rPr>
                <w:lang/>
              </w:rPr>
              <w:t>2,2</w:t>
            </w:r>
          </w:p>
        </w:tc>
        <w:tc>
          <w:tcPr>
            <w:tcW w:w="851" w:type="dxa"/>
            <w:noWrap/>
            <w:hideMark/>
          </w:tcPr>
          <w:p w14:paraId="5144087B" w14:textId="77777777" w:rsidR="009B3AA4" w:rsidRPr="004D0C63" w:rsidRDefault="009B3AA4" w:rsidP="00F85C35">
            <w:pPr>
              <w:rPr>
                <w:lang/>
              </w:rPr>
            </w:pPr>
            <w:r w:rsidRPr="004D0C63">
              <w:rPr>
                <w:lang/>
              </w:rPr>
              <w:t>8,00</w:t>
            </w:r>
          </w:p>
        </w:tc>
        <w:tc>
          <w:tcPr>
            <w:tcW w:w="5386" w:type="dxa"/>
          </w:tcPr>
          <w:p w14:paraId="305C8497" w14:textId="1283EEA7" w:rsidR="009B3AA4" w:rsidRPr="004D0C63" w:rsidRDefault="009B3AA4" w:rsidP="00F85C35">
            <w:pPr>
              <w:rPr>
                <w:lang/>
              </w:rPr>
            </w:pPr>
            <w:r w:rsidRPr="004D0C63">
              <w:rPr>
                <w:lang/>
              </w:rPr>
              <w:fldChar w:fldCharType="begin"/>
            </w:r>
            <w:r w:rsidRPr="004D0C63">
              <w:rPr>
                <w:lang/>
              </w:rPr>
              <w:instrText xml:space="preserve"> ADDIN ZOTERO_ITEM CSL_CITATION {"citationID":"4ouWJtFi","properties":{"unsorted":false,"formattedCitation":"(Wagner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4DD6C66E" w14:textId="0023B928" w:rsidTr="376C0789">
        <w:trPr>
          <w:trHeight w:val="315"/>
        </w:trPr>
        <w:tc>
          <w:tcPr>
            <w:tcW w:w="986" w:type="dxa"/>
            <w:noWrap/>
            <w:hideMark/>
          </w:tcPr>
          <w:p w14:paraId="6F93FB6A" w14:textId="77777777" w:rsidR="009B3AA4" w:rsidRPr="004D0C63" w:rsidRDefault="009B3AA4" w:rsidP="00F85C35">
            <w:pPr>
              <w:rPr>
                <w:lang/>
              </w:rPr>
            </w:pPr>
            <w:r w:rsidRPr="004D0C63">
              <w:rPr>
                <w:lang/>
              </w:rPr>
              <w:t>940140</w:t>
            </w:r>
          </w:p>
        </w:tc>
        <w:tc>
          <w:tcPr>
            <w:tcW w:w="1368" w:type="dxa"/>
            <w:noWrap/>
            <w:hideMark/>
          </w:tcPr>
          <w:p w14:paraId="1B20FB3C" w14:textId="77777777" w:rsidR="009B3AA4" w:rsidRPr="004D0C63" w:rsidRDefault="009B3AA4" w:rsidP="00F85C35">
            <w:pPr>
              <w:rPr>
                <w:lang/>
              </w:rPr>
            </w:pPr>
            <w:r w:rsidRPr="004D0C63">
              <w:rPr>
                <w:lang/>
              </w:rPr>
              <w:t>31001210</w:t>
            </w:r>
          </w:p>
        </w:tc>
        <w:tc>
          <w:tcPr>
            <w:tcW w:w="5296" w:type="dxa"/>
            <w:hideMark/>
          </w:tcPr>
          <w:p w14:paraId="5B52EBA9" w14:textId="1E196F1C" w:rsidR="009B3AA4" w:rsidRPr="004D0C63" w:rsidRDefault="009B3AA4" w:rsidP="00F85C35">
            <w:pPr>
              <w:rPr>
                <w:lang/>
              </w:rPr>
            </w:pPr>
            <w:r w:rsidRPr="004D0C63">
              <w:rPr>
                <w:lang/>
              </w:rPr>
              <w:t xml:space="preserve">Seats convertible into beds </w:t>
            </w:r>
          </w:p>
        </w:tc>
        <w:tc>
          <w:tcPr>
            <w:tcW w:w="283" w:type="dxa"/>
            <w:noWrap/>
            <w:hideMark/>
          </w:tcPr>
          <w:p w14:paraId="17279B72" w14:textId="77777777" w:rsidR="009B3AA4" w:rsidRPr="004D0C63" w:rsidRDefault="009B3AA4" w:rsidP="00F85C35">
            <w:pPr>
              <w:rPr>
                <w:lang/>
              </w:rPr>
            </w:pPr>
            <w:r w:rsidRPr="004D0C63">
              <w:rPr>
                <w:lang/>
              </w:rPr>
              <w:t>2,58</w:t>
            </w:r>
          </w:p>
        </w:tc>
        <w:tc>
          <w:tcPr>
            <w:tcW w:w="851" w:type="dxa"/>
            <w:noWrap/>
            <w:hideMark/>
          </w:tcPr>
          <w:p w14:paraId="7503EBC9" w14:textId="77777777" w:rsidR="009B3AA4" w:rsidRPr="004D0C63" w:rsidRDefault="009B3AA4" w:rsidP="00F85C35">
            <w:pPr>
              <w:rPr>
                <w:lang/>
              </w:rPr>
            </w:pPr>
            <w:r w:rsidRPr="004D0C63">
              <w:rPr>
                <w:lang/>
              </w:rPr>
              <w:t>12,00</w:t>
            </w:r>
          </w:p>
        </w:tc>
        <w:tc>
          <w:tcPr>
            <w:tcW w:w="5386" w:type="dxa"/>
          </w:tcPr>
          <w:p w14:paraId="7582D16D" w14:textId="2CD87F88" w:rsidR="009B3AA4" w:rsidRPr="004D0C63" w:rsidRDefault="009B3AA4" w:rsidP="00F85C35">
            <w:pPr>
              <w:rPr>
                <w:lang/>
              </w:rPr>
            </w:pPr>
            <w:r w:rsidRPr="004D0C63">
              <w:rPr>
                <w:lang/>
              </w:rPr>
              <w:fldChar w:fldCharType="begin"/>
            </w:r>
            <w:r w:rsidRPr="004D0C63">
              <w:rPr>
                <w:lang/>
              </w:rPr>
              <w:instrText xml:space="preserve"> ADDIN ZOTERO_ITEM CSL_CITATION {"citationID":"QW7SQtrH","properties":{"unsorted":false,"formattedCitation":"(Hoxha &amp; Jusselme, 2017; Wagner et al., 2022; Wipr\\uc0\\u228{}chtiger et al., 2022)","plainCitation":"(Hoxha &amp; Jusselme, 2017; Wagner et al., 2022; Wiprächtiger et al., 2022)","noteIndex":0},"citationItems":[{"id":72,"uris":["http://zotero.org/users/16823286/items/394BMTRN"],"itemData":{"id":72,"type":"article-journal","container-title":"Science of The Total Environment","DOI":"10.1016/j.scitotenv.2017.03.107","ISSN":"00489697","journalAbbreviation":"Science of The Total Environment","language":"en","page":"405-416","source":"DOI.org (Crossref)","title":"On the necessity of improving the environmental impacts of furniture and appliances in net-zero energy buildings","volume":"596-597","author":[{"family":"Hoxha","given":"Endrit"},{"family":"Jusselme","given":"Thomas"}],"issued":{"date-parts":[["2017",10]]}}},{"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id":83,"uris":["http://zotero.org/users/16823286/items/YU6MV7PD"],"itemData":{"id":83,"type":"article-journal","abstract":"According to the waste hierarchy, waste prevention is environmentally superior to recycling or recovery, hence its inclusion in government policy. The assessment and prioritization of waste prevention strategies are impeded, inter alia, by ambiguous definitions and the lack of a sound environmental assessment method. In this study, a systematic approach to the environmental assessment of waste prevention activities (WPAs), covering the whole life cycle of products, was developed. The approach combines material flow analysis and life cycle assessment with a sustainable circular system design framework whilst giving special consideration to pivotal factors such as diffusion factor (share of population engaging in WPA), substitutability (degree to which a new product is replaced), effects on use-phase impacts, and rebound effects. The application of the approach to the case studies of clothing and household furniture in Switzerland revealed lower impact saving potential than assumed initially, due to lack of participation, low substitutability, or high rebounds. For example, reusing clothing locally, instead of exporting it to low-income countries, as currently done, displayed no or even negative impact savings since secondhand clothing in high-income countries is often consumed in addition to new clothing. Drastic scenarios for clothes led to only moderate impact reductions of less than 15%, whereas a take-back scheme for furniture reduced impacts by 70%. Concluding, the four factors (diffusion rate, substitutability, effects on use-phase impacts, and rebounds) proved crucial in the assessment of waste prevention strategies and the approach presented was able to pinpoint improvement potentials of the waste prevention scenarios investigated.","container-title":"Journal of Industrial Ecology","DOI":"10.1111/jiec.13275","ISSN":"1530-9290","issue":"4","language":"en","note":"_eprint: https://onlinelibrary.wiley.com/doi/pdf/10.1111/jiec.13275","page":"1389-1405","source":"Wiley Online Library","title":"Turning trash into treasure: An approach to the environmental assessment of waste prevention and its application to clothing and furniture in Switzerland","title-short":"Turning trash into treasure","volume":"26","author":[{"family":"Wiprächtiger","given":"Maja"},{"family":"Rapp","given":"Martina"},{"family":"Hellweg","given":"Stefanie"},{"family":"Shinde","given":"Rhythima"},{"family":"Haupt","given":"Melanie"}],"issued":{"date-parts":[["2022"]]}}}],"schema":"https://github.com/citation-style-language/schema/raw/master/csl-citation.json"} </w:instrText>
            </w:r>
            <w:r w:rsidRPr="004D0C63">
              <w:rPr>
                <w:lang/>
              </w:rPr>
              <w:fldChar w:fldCharType="separate"/>
            </w:r>
            <w:r w:rsidRPr="004D0C63">
              <w:t>(Hoxha &amp; Jusselme, 2017; Wagner et al., 2022; Wiprächtiger et al., 2022)</w:t>
            </w:r>
            <w:r w:rsidRPr="004D0C63">
              <w:rPr>
                <w:lang/>
              </w:rPr>
              <w:fldChar w:fldCharType="end"/>
            </w:r>
          </w:p>
        </w:tc>
      </w:tr>
      <w:tr w:rsidR="009B3AA4" w:rsidRPr="004D0C63" w14:paraId="0B22C92A" w14:textId="3128FB6A" w:rsidTr="376C0789">
        <w:trPr>
          <w:trHeight w:val="315"/>
        </w:trPr>
        <w:tc>
          <w:tcPr>
            <w:tcW w:w="986" w:type="dxa"/>
            <w:noWrap/>
            <w:hideMark/>
          </w:tcPr>
          <w:p w14:paraId="43874380" w14:textId="77777777" w:rsidR="009B3AA4" w:rsidRPr="004D0C63" w:rsidRDefault="009B3AA4" w:rsidP="00F85C35">
            <w:pPr>
              <w:rPr>
                <w:lang/>
              </w:rPr>
            </w:pPr>
            <w:r w:rsidRPr="004D0C63">
              <w:rPr>
                <w:lang/>
              </w:rPr>
              <w:t>940140</w:t>
            </w:r>
          </w:p>
        </w:tc>
        <w:tc>
          <w:tcPr>
            <w:tcW w:w="1368" w:type="dxa"/>
            <w:noWrap/>
            <w:hideMark/>
          </w:tcPr>
          <w:p w14:paraId="373561AA" w14:textId="77777777" w:rsidR="009B3AA4" w:rsidRPr="004D0C63" w:rsidRDefault="009B3AA4" w:rsidP="00F85C35">
            <w:pPr>
              <w:rPr>
                <w:lang/>
              </w:rPr>
            </w:pPr>
            <w:r w:rsidRPr="004D0C63">
              <w:rPr>
                <w:lang/>
              </w:rPr>
              <w:t>31001152</w:t>
            </w:r>
          </w:p>
        </w:tc>
        <w:tc>
          <w:tcPr>
            <w:tcW w:w="5296" w:type="dxa"/>
            <w:hideMark/>
          </w:tcPr>
          <w:p w14:paraId="15F07A45" w14:textId="50C856EB" w:rsidR="009B3AA4" w:rsidRPr="004D0C63" w:rsidRDefault="009B3AA4" w:rsidP="00F85C35">
            <w:pPr>
              <w:rPr>
                <w:lang/>
              </w:rPr>
            </w:pPr>
            <w:r w:rsidRPr="004D0C63">
              <w:rPr>
                <w:lang/>
              </w:rPr>
              <w:t>Seats convertible into beds (excluding of wood)</w:t>
            </w:r>
          </w:p>
        </w:tc>
        <w:tc>
          <w:tcPr>
            <w:tcW w:w="283" w:type="dxa"/>
            <w:noWrap/>
            <w:hideMark/>
          </w:tcPr>
          <w:p w14:paraId="458F75CB" w14:textId="77777777" w:rsidR="009B3AA4" w:rsidRPr="004D0C63" w:rsidRDefault="009B3AA4" w:rsidP="00F85C35">
            <w:pPr>
              <w:rPr>
                <w:lang/>
              </w:rPr>
            </w:pPr>
            <w:r w:rsidRPr="004D0C63">
              <w:rPr>
                <w:lang/>
              </w:rPr>
              <w:t>2,58</w:t>
            </w:r>
          </w:p>
        </w:tc>
        <w:tc>
          <w:tcPr>
            <w:tcW w:w="851" w:type="dxa"/>
            <w:noWrap/>
            <w:hideMark/>
          </w:tcPr>
          <w:p w14:paraId="381D3A2A" w14:textId="77777777" w:rsidR="009B3AA4" w:rsidRPr="004D0C63" w:rsidRDefault="009B3AA4" w:rsidP="00F85C35">
            <w:pPr>
              <w:rPr>
                <w:lang/>
              </w:rPr>
            </w:pPr>
            <w:r w:rsidRPr="004D0C63">
              <w:rPr>
                <w:lang/>
              </w:rPr>
              <w:t>10,00</w:t>
            </w:r>
          </w:p>
        </w:tc>
        <w:tc>
          <w:tcPr>
            <w:tcW w:w="5386" w:type="dxa"/>
          </w:tcPr>
          <w:p w14:paraId="0C41D612" w14:textId="5FEE84A7" w:rsidR="009B3AA4" w:rsidRPr="004D0C63" w:rsidRDefault="009B3AA4" w:rsidP="00F85C35">
            <w:pPr>
              <w:rPr>
                <w:lang/>
              </w:rPr>
            </w:pPr>
            <w:r w:rsidRPr="004D0C63">
              <w:rPr>
                <w:lang/>
              </w:rPr>
              <w:fldChar w:fldCharType="begin"/>
            </w:r>
            <w:r w:rsidRPr="004D0C63">
              <w:rPr>
                <w:lang/>
              </w:rPr>
              <w:instrText xml:space="preserve"> ADDIN ZOTERO_ITEM CSL_CITATION {"citationID":"xXrsgJeM","properties":{"unsorted":false,"formattedCitation":"(Wagner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2E79AD10" w14:textId="110662C2" w:rsidTr="376C0789">
        <w:trPr>
          <w:trHeight w:val="315"/>
        </w:trPr>
        <w:tc>
          <w:tcPr>
            <w:tcW w:w="986" w:type="dxa"/>
            <w:noWrap/>
            <w:hideMark/>
          </w:tcPr>
          <w:p w14:paraId="508BF5DF" w14:textId="77777777" w:rsidR="009B3AA4" w:rsidRPr="004D0C63" w:rsidRDefault="009B3AA4" w:rsidP="00F85C35">
            <w:pPr>
              <w:rPr>
                <w:lang/>
              </w:rPr>
            </w:pPr>
            <w:r w:rsidRPr="004D0C63">
              <w:rPr>
                <w:lang/>
              </w:rPr>
              <w:t>940140</w:t>
            </w:r>
          </w:p>
        </w:tc>
        <w:tc>
          <w:tcPr>
            <w:tcW w:w="1368" w:type="dxa"/>
            <w:noWrap/>
            <w:hideMark/>
          </w:tcPr>
          <w:p w14:paraId="24644CE5" w14:textId="77777777" w:rsidR="009B3AA4" w:rsidRPr="004D0C63" w:rsidRDefault="009B3AA4" w:rsidP="00F85C35">
            <w:pPr>
              <w:rPr>
                <w:lang/>
              </w:rPr>
            </w:pPr>
            <w:r w:rsidRPr="004D0C63">
              <w:rPr>
                <w:lang/>
              </w:rPr>
              <w:t>31001212</w:t>
            </w:r>
          </w:p>
        </w:tc>
        <w:tc>
          <w:tcPr>
            <w:tcW w:w="5296" w:type="dxa"/>
            <w:hideMark/>
          </w:tcPr>
          <w:p w14:paraId="36E6C1B6" w14:textId="30BB55BB" w:rsidR="009B3AA4" w:rsidRPr="004D0C63" w:rsidRDefault="009B3AA4" w:rsidP="00F85C35">
            <w:pPr>
              <w:rPr>
                <w:lang/>
              </w:rPr>
            </w:pPr>
            <w:r w:rsidRPr="004D0C63">
              <w:rPr>
                <w:lang/>
              </w:rPr>
              <w:t xml:space="preserve">Seats convertible into beds of wood </w:t>
            </w:r>
          </w:p>
        </w:tc>
        <w:tc>
          <w:tcPr>
            <w:tcW w:w="283" w:type="dxa"/>
            <w:noWrap/>
            <w:hideMark/>
          </w:tcPr>
          <w:p w14:paraId="4DA238C2" w14:textId="77777777" w:rsidR="009B3AA4" w:rsidRPr="004D0C63" w:rsidRDefault="009B3AA4" w:rsidP="00F85C35">
            <w:pPr>
              <w:rPr>
                <w:lang/>
              </w:rPr>
            </w:pPr>
            <w:r w:rsidRPr="004D0C63">
              <w:rPr>
                <w:lang/>
              </w:rPr>
              <w:t>2,58</w:t>
            </w:r>
          </w:p>
        </w:tc>
        <w:tc>
          <w:tcPr>
            <w:tcW w:w="851" w:type="dxa"/>
            <w:noWrap/>
            <w:hideMark/>
          </w:tcPr>
          <w:p w14:paraId="359B205C" w14:textId="77777777" w:rsidR="009B3AA4" w:rsidRPr="004D0C63" w:rsidRDefault="009B3AA4" w:rsidP="00F85C35">
            <w:pPr>
              <w:rPr>
                <w:lang/>
              </w:rPr>
            </w:pPr>
            <w:r w:rsidRPr="004D0C63">
              <w:rPr>
                <w:lang/>
              </w:rPr>
              <w:t>11,00</w:t>
            </w:r>
          </w:p>
        </w:tc>
        <w:tc>
          <w:tcPr>
            <w:tcW w:w="5386" w:type="dxa"/>
          </w:tcPr>
          <w:p w14:paraId="3D075490" w14:textId="506F6FA0" w:rsidR="009B3AA4" w:rsidRPr="004D0C63" w:rsidRDefault="009B3AA4" w:rsidP="00F85C35">
            <w:pPr>
              <w:rPr>
                <w:lang/>
              </w:rPr>
            </w:pPr>
            <w:r w:rsidRPr="004D0C63">
              <w:rPr>
                <w:lang/>
              </w:rPr>
              <w:fldChar w:fldCharType="begin"/>
            </w:r>
            <w:r w:rsidRPr="004D0C63">
              <w:rPr>
                <w:lang/>
              </w:rPr>
              <w:instrText xml:space="preserve"> ADDIN ZOTERO_ITEM CSL_CITATION {"citationID":"Z7FwRzoA","properties":{"unsorted":false,"formattedCitation":"(Wagner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64C4C48E" w14:textId="5B151C8B" w:rsidTr="376C0789">
        <w:trPr>
          <w:trHeight w:val="315"/>
        </w:trPr>
        <w:tc>
          <w:tcPr>
            <w:tcW w:w="986" w:type="dxa"/>
            <w:noWrap/>
            <w:hideMark/>
          </w:tcPr>
          <w:p w14:paraId="0CF10386" w14:textId="77777777" w:rsidR="009B3AA4" w:rsidRPr="004D0C63" w:rsidRDefault="009B3AA4" w:rsidP="00F85C35">
            <w:pPr>
              <w:rPr>
                <w:lang/>
              </w:rPr>
            </w:pPr>
            <w:r w:rsidRPr="004D0C63">
              <w:rPr>
                <w:lang/>
              </w:rPr>
              <w:t>940150</w:t>
            </w:r>
          </w:p>
        </w:tc>
        <w:tc>
          <w:tcPr>
            <w:tcW w:w="1368" w:type="dxa"/>
            <w:noWrap/>
            <w:hideMark/>
          </w:tcPr>
          <w:p w14:paraId="1520F4D0" w14:textId="77777777" w:rsidR="009B3AA4" w:rsidRPr="004D0C63" w:rsidRDefault="009B3AA4" w:rsidP="00F85C35">
            <w:pPr>
              <w:rPr>
                <w:lang/>
              </w:rPr>
            </w:pPr>
            <w:r w:rsidRPr="004D0C63">
              <w:rPr>
                <w:lang/>
              </w:rPr>
              <w:t>31001230</w:t>
            </w:r>
          </w:p>
        </w:tc>
        <w:tc>
          <w:tcPr>
            <w:tcW w:w="5296" w:type="dxa"/>
            <w:hideMark/>
          </w:tcPr>
          <w:p w14:paraId="2C5C8DD4" w14:textId="77777777" w:rsidR="009B3AA4" w:rsidRPr="004D0C63" w:rsidRDefault="009B3AA4" w:rsidP="00F85C35">
            <w:pPr>
              <w:rPr>
                <w:lang/>
              </w:rPr>
            </w:pPr>
            <w:r w:rsidRPr="004D0C63">
              <w:rPr>
                <w:lang/>
              </w:rPr>
              <w:t>Seats of cane, osier, bamboo or similar materials</w:t>
            </w:r>
          </w:p>
        </w:tc>
        <w:tc>
          <w:tcPr>
            <w:tcW w:w="283" w:type="dxa"/>
            <w:noWrap/>
            <w:hideMark/>
          </w:tcPr>
          <w:p w14:paraId="75B9D5AE" w14:textId="77777777" w:rsidR="009B3AA4" w:rsidRPr="004D0C63" w:rsidRDefault="009B3AA4" w:rsidP="00F85C35">
            <w:pPr>
              <w:rPr>
                <w:lang/>
              </w:rPr>
            </w:pPr>
            <w:r w:rsidRPr="004D0C63">
              <w:rPr>
                <w:lang/>
              </w:rPr>
              <w:t>2,2</w:t>
            </w:r>
          </w:p>
        </w:tc>
        <w:tc>
          <w:tcPr>
            <w:tcW w:w="851" w:type="dxa"/>
            <w:noWrap/>
            <w:hideMark/>
          </w:tcPr>
          <w:p w14:paraId="4E86B811" w14:textId="77777777" w:rsidR="009B3AA4" w:rsidRPr="004D0C63" w:rsidRDefault="009B3AA4" w:rsidP="00F85C35">
            <w:pPr>
              <w:rPr>
                <w:lang/>
              </w:rPr>
            </w:pPr>
            <w:r w:rsidRPr="004D0C63">
              <w:rPr>
                <w:lang/>
              </w:rPr>
              <w:t>10,00</w:t>
            </w:r>
          </w:p>
        </w:tc>
        <w:tc>
          <w:tcPr>
            <w:tcW w:w="5386" w:type="dxa"/>
          </w:tcPr>
          <w:p w14:paraId="53F4F0D0" w14:textId="6BDCFAD6" w:rsidR="009B3AA4" w:rsidRPr="004D0C63" w:rsidRDefault="009B3AA4" w:rsidP="00F85C35">
            <w:pPr>
              <w:rPr>
                <w:lang/>
              </w:rPr>
            </w:pPr>
            <w:r w:rsidRPr="004D0C63">
              <w:rPr>
                <w:lang/>
              </w:rPr>
              <w:fldChar w:fldCharType="begin"/>
            </w:r>
            <w:r w:rsidRPr="004D0C63">
              <w:rPr>
                <w:lang/>
              </w:rPr>
              <w:instrText xml:space="preserve"> ADDIN ZOTERO_ITEM CSL_CITATION {"citationID":"B0hyrTTO","properties":{"unsorted":false,"formattedCitation":"(Wagner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7382492A" w14:textId="1ED8AC30" w:rsidTr="376C0789">
        <w:trPr>
          <w:trHeight w:val="315"/>
        </w:trPr>
        <w:tc>
          <w:tcPr>
            <w:tcW w:w="986" w:type="dxa"/>
            <w:noWrap/>
            <w:hideMark/>
          </w:tcPr>
          <w:p w14:paraId="6BB56FB9" w14:textId="77777777" w:rsidR="009B3AA4" w:rsidRPr="004D0C63" w:rsidRDefault="009B3AA4" w:rsidP="00F85C35">
            <w:pPr>
              <w:rPr>
                <w:lang/>
              </w:rPr>
            </w:pPr>
            <w:r w:rsidRPr="004D0C63">
              <w:rPr>
                <w:lang/>
              </w:rPr>
              <w:t>940161</w:t>
            </w:r>
          </w:p>
        </w:tc>
        <w:tc>
          <w:tcPr>
            <w:tcW w:w="1368" w:type="dxa"/>
            <w:noWrap/>
            <w:hideMark/>
          </w:tcPr>
          <w:p w14:paraId="2A8BFAE1" w14:textId="77777777" w:rsidR="009B3AA4" w:rsidRPr="004D0C63" w:rsidRDefault="009B3AA4" w:rsidP="00F85C35">
            <w:pPr>
              <w:rPr>
                <w:lang/>
              </w:rPr>
            </w:pPr>
            <w:r w:rsidRPr="004D0C63">
              <w:rPr>
                <w:lang/>
              </w:rPr>
              <w:t>31001250</w:t>
            </w:r>
          </w:p>
        </w:tc>
        <w:tc>
          <w:tcPr>
            <w:tcW w:w="5296" w:type="dxa"/>
            <w:hideMark/>
          </w:tcPr>
          <w:p w14:paraId="57244827" w14:textId="0CC6FD6B" w:rsidR="009B3AA4" w:rsidRPr="004D0C63" w:rsidRDefault="009B3AA4" w:rsidP="00F85C35">
            <w:pPr>
              <w:rPr>
                <w:lang/>
              </w:rPr>
            </w:pPr>
            <w:r w:rsidRPr="004D0C63">
              <w:rPr>
                <w:lang/>
              </w:rPr>
              <w:t xml:space="preserve">Upholstered seats with wooden frames </w:t>
            </w:r>
          </w:p>
        </w:tc>
        <w:tc>
          <w:tcPr>
            <w:tcW w:w="283" w:type="dxa"/>
            <w:noWrap/>
            <w:hideMark/>
          </w:tcPr>
          <w:p w14:paraId="25F0E5C6" w14:textId="77777777" w:rsidR="009B3AA4" w:rsidRPr="004D0C63" w:rsidRDefault="009B3AA4" w:rsidP="00F85C35">
            <w:pPr>
              <w:rPr>
                <w:lang/>
              </w:rPr>
            </w:pPr>
            <w:r w:rsidRPr="004D0C63">
              <w:rPr>
                <w:lang/>
              </w:rPr>
              <w:t>2,58</w:t>
            </w:r>
          </w:p>
        </w:tc>
        <w:tc>
          <w:tcPr>
            <w:tcW w:w="851" w:type="dxa"/>
            <w:noWrap/>
            <w:hideMark/>
          </w:tcPr>
          <w:p w14:paraId="43902347" w14:textId="77777777" w:rsidR="009B3AA4" w:rsidRPr="004D0C63" w:rsidRDefault="009B3AA4" w:rsidP="00F85C35">
            <w:pPr>
              <w:rPr>
                <w:lang/>
              </w:rPr>
            </w:pPr>
            <w:r w:rsidRPr="004D0C63">
              <w:rPr>
                <w:lang/>
              </w:rPr>
              <w:t>11,00</w:t>
            </w:r>
          </w:p>
        </w:tc>
        <w:tc>
          <w:tcPr>
            <w:tcW w:w="5386" w:type="dxa"/>
          </w:tcPr>
          <w:p w14:paraId="79526B7A" w14:textId="3D8EA3CD" w:rsidR="009B3AA4" w:rsidRPr="004D0C63" w:rsidRDefault="009B3AA4" w:rsidP="00F85C35">
            <w:r w:rsidRPr="004D0C63">
              <w:fldChar w:fldCharType="begin"/>
            </w:r>
            <w:r w:rsidRPr="004D0C63">
              <w:instrText xml:space="preserve"> ADDIN ZOTERO_ITEM CSL_CITATION {"citationID":"FnxWUjt5","properties":{"unsorted":false,"formattedCitation":"(Wagner et al., 2022; Wipr\\uc0\\u228{}chtiger et al., 2022)","plainCitation":"(Wagner et al., 2022; Wiprächtiger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id":83,"uris":["http://zotero.org/users/16823286/items/YU6MV7PD"],"itemData":{"id":83,"type":"article-journal","abstract":"According to the waste hierarchy, waste prevention is environmentally superior to recycling or recovery, hence its inclusion in government policy. The assessment and prioritization of waste prevention strategies are impeded, inter alia, by ambiguous definitions and the lack of a sound environmental assessment method. In this study, a systematic approach to the environmental assessment of waste prevention activities (WPAs), covering the whole life cycle of products, was developed. The approach combines material flow analysis and life cycle assessment with a sustainable circular system design framework whilst giving special consideration to pivotal factors such as diffusion factor (share of population engaging in WPA), substitutability (degree to which a new product is replaced), effects on use-phase impacts, and rebound effects. The application of the approach to the case studies of clothing and household furniture in Switzerland revealed lower impact saving potential than assumed initially, due to lack of participation, low substitutability, or high rebounds. For example, reusing clothing locally, instead of exporting it to low-income countries, as currently done, displayed no or even negative impact savings since secondhand clothing in high-income countries is often consumed in addition to new clothing. Drastic scenarios for clothes led to only moderate impact reductions of less than 15%, whereas a take-back scheme for furniture reduced impacts by 70%. Concluding, the four factors (diffusion rate, substitutability, effects on use-phase impacts, and rebounds) proved crucial in the assessment of waste prevention strategies and the approach presented was able to pinpoint improvement potentials of the waste prevention scenarios investigated.","container-title":"Journal of Industrial Ecology","DOI":"10.1111/jiec.13275","ISSN":"1530-9290","issue":"4","language":"en","note":"_eprint: https://onlinelibrary.wiley.com/doi/pdf/10.1111/jiec.13275","page":"1389-1405","source":"Wiley Online Library","title":"Turning trash into treasure: An approach to the environmental assessment of waste prevention and its application to clothing and furniture in Switzerland","title-short":"Turning trash into treasure","volume":"26","author":[{"family":"Wiprächtiger","given":"Maja"},{"family":"Rapp","given":"Martina"},{"family":"Hellweg","given":"Stefanie"},{"family":"Shinde","given":"Rhythima"},{"family":"Haupt","given":"Melanie"}],"issued":{"date-parts":[["2022"]]}}}],"schema":"https://github.com/citation-style-language/schema/raw/master/csl-citation.json"} </w:instrText>
            </w:r>
            <w:r w:rsidRPr="004D0C63">
              <w:fldChar w:fldCharType="separate"/>
            </w:r>
            <w:r w:rsidRPr="004D0C63">
              <w:t>(Wagner et al., 2022; Wiprächtiger et al., 2022)</w:t>
            </w:r>
            <w:r w:rsidRPr="004D0C63">
              <w:fldChar w:fldCharType="end"/>
            </w:r>
          </w:p>
        </w:tc>
      </w:tr>
      <w:tr w:rsidR="009B3AA4" w:rsidRPr="004D0C63" w14:paraId="30A3816B" w14:textId="3A68FCA2" w:rsidTr="376C0789">
        <w:trPr>
          <w:trHeight w:val="315"/>
        </w:trPr>
        <w:tc>
          <w:tcPr>
            <w:tcW w:w="986" w:type="dxa"/>
            <w:noWrap/>
            <w:hideMark/>
          </w:tcPr>
          <w:p w14:paraId="683DCAB0" w14:textId="77777777" w:rsidR="009B3AA4" w:rsidRPr="004D0C63" w:rsidRDefault="009B3AA4" w:rsidP="00F85C35">
            <w:pPr>
              <w:rPr>
                <w:lang/>
              </w:rPr>
            </w:pPr>
            <w:r w:rsidRPr="004D0C63">
              <w:rPr>
                <w:lang/>
              </w:rPr>
              <w:t>940169</w:t>
            </w:r>
          </w:p>
        </w:tc>
        <w:tc>
          <w:tcPr>
            <w:tcW w:w="1368" w:type="dxa"/>
            <w:noWrap/>
            <w:hideMark/>
          </w:tcPr>
          <w:p w14:paraId="2595BAA6" w14:textId="77777777" w:rsidR="009B3AA4" w:rsidRPr="004D0C63" w:rsidRDefault="009B3AA4" w:rsidP="00F85C35">
            <w:pPr>
              <w:rPr>
                <w:lang/>
              </w:rPr>
            </w:pPr>
            <w:r w:rsidRPr="004D0C63">
              <w:rPr>
                <w:lang/>
              </w:rPr>
              <w:t>31001290</w:t>
            </w:r>
          </w:p>
        </w:tc>
        <w:tc>
          <w:tcPr>
            <w:tcW w:w="5296" w:type="dxa"/>
            <w:hideMark/>
          </w:tcPr>
          <w:p w14:paraId="7C263DAE" w14:textId="48F49F94" w:rsidR="009B3AA4" w:rsidRPr="004D0C63" w:rsidRDefault="009B3AA4" w:rsidP="00F85C35">
            <w:pPr>
              <w:rPr>
                <w:lang/>
              </w:rPr>
            </w:pPr>
            <w:r w:rsidRPr="004D0C63">
              <w:rPr>
                <w:lang/>
              </w:rPr>
              <w:t xml:space="preserve">Non-upholstered seats with wooden frames </w:t>
            </w:r>
          </w:p>
        </w:tc>
        <w:tc>
          <w:tcPr>
            <w:tcW w:w="283" w:type="dxa"/>
            <w:noWrap/>
            <w:hideMark/>
          </w:tcPr>
          <w:p w14:paraId="62193212" w14:textId="77777777" w:rsidR="009B3AA4" w:rsidRPr="004D0C63" w:rsidRDefault="009B3AA4" w:rsidP="00F85C35">
            <w:pPr>
              <w:rPr>
                <w:lang/>
              </w:rPr>
            </w:pPr>
            <w:r w:rsidRPr="004D0C63">
              <w:rPr>
                <w:lang/>
              </w:rPr>
              <w:t>2,2</w:t>
            </w:r>
          </w:p>
        </w:tc>
        <w:tc>
          <w:tcPr>
            <w:tcW w:w="851" w:type="dxa"/>
            <w:noWrap/>
            <w:hideMark/>
          </w:tcPr>
          <w:p w14:paraId="30630910" w14:textId="77777777" w:rsidR="009B3AA4" w:rsidRPr="004D0C63" w:rsidRDefault="009B3AA4" w:rsidP="00F85C35">
            <w:pPr>
              <w:rPr>
                <w:lang/>
              </w:rPr>
            </w:pPr>
            <w:r w:rsidRPr="004D0C63">
              <w:rPr>
                <w:lang/>
              </w:rPr>
              <w:t>12,00</w:t>
            </w:r>
          </w:p>
        </w:tc>
        <w:tc>
          <w:tcPr>
            <w:tcW w:w="5386" w:type="dxa"/>
          </w:tcPr>
          <w:p w14:paraId="68B09CA7" w14:textId="40C3BEC5" w:rsidR="009B3AA4" w:rsidRPr="004D0C63" w:rsidRDefault="009B3AA4" w:rsidP="00F85C35">
            <w:pPr>
              <w:rPr>
                <w:lang/>
              </w:rPr>
            </w:pPr>
            <w:r w:rsidRPr="004D0C63">
              <w:rPr>
                <w:lang/>
              </w:rPr>
              <w:fldChar w:fldCharType="begin"/>
            </w:r>
            <w:r w:rsidRPr="004D0C63">
              <w:rPr>
                <w:lang/>
              </w:rPr>
              <w:instrText xml:space="preserve"> ADDIN ZOTERO_ITEM CSL_CITATION {"citationID":"uUP6bBTx","properties":{"unsorted":false,"formattedCitation":"(Wagner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78AC2C9C" w14:textId="48A2D7AA" w:rsidTr="376C0789">
        <w:trPr>
          <w:trHeight w:val="315"/>
        </w:trPr>
        <w:tc>
          <w:tcPr>
            <w:tcW w:w="986" w:type="dxa"/>
            <w:noWrap/>
            <w:hideMark/>
          </w:tcPr>
          <w:p w14:paraId="0BA8BC31" w14:textId="77777777" w:rsidR="009B3AA4" w:rsidRPr="004D0C63" w:rsidRDefault="009B3AA4" w:rsidP="00F85C35">
            <w:pPr>
              <w:rPr>
                <w:lang/>
              </w:rPr>
            </w:pPr>
            <w:r w:rsidRPr="004D0C63">
              <w:rPr>
                <w:lang/>
              </w:rPr>
              <w:t>940180</w:t>
            </w:r>
          </w:p>
        </w:tc>
        <w:tc>
          <w:tcPr>
            <w:tcW w:w="1368" w:type="dxa"/>
            <w:noWrap/>
            <w:hideMark/>
          </w:tcPr>
          <w:p w14:paraId="63486C5E" w14:textId="77777777" w:rsidR="009B3AA4" w:rsidRPr="004D0C63" w:rsidRDefault="009B3AA4" w:rsidP="00F85C35">
            <w:pPr>
              <w:rPr>
                <w:lang/>
              </w:rPr>
            </w:pPr>
            <w:r w:rsidRPr="004D0C63">
              <w:rPr>
                <w:lang/>
              </w:rPr>
              <w:t>31001300</w:t>
            </w:r>
          </w:p>
        </w:tc>
        <w:tc>
          <w:tcPr>
            <w:tcW w:w="5296" w:type="dxa"/>
            <w:hideMark/>
          </w:tcPr>
          <w:p w14:paraId="6C723C0F" w14:textId="77777777" w:rsidR="009B3AA4" w:rsidRPr="004D0C63" w:rsidRDefault="009B3AA4" w:rsidP="00F85C35">
            <w:pPr>
              <w:rPr>
                <w:lang/>
              </w:rPr>
            </w:pPr>
            <w:r w:rsidRPr="004D0C63">
              <w:rPr>
                <w:lang/>
              </w:rPr>
              <w:t>Other seats, of HS 9401 , n.e.c.</w:t>
            </w:r>
          </w:p>
        </w:tc>
        <w:tc>
          <w:tcPr>
            <w:tcW w:w="283" w:type="dxa"/>
            <w:noWrap/>
            <w:hideMark/>
          </w:tcPr>
          <w:p w14:paraId="7576EECD" w14:textId="77777777" w:rsidR="009B3AA4" w:rsidRPr="004D0C63" w:rsidRDefault="009B3AA4" w:rsidP="00F85C35">
            <w:pPr>
              <w:rPr>
                <w:lang/>
              </w:rPr>
            </w:pPr>
            <w:r w:rsidRPr="004D0C63">
              <w:rPr>
                <w:lang/>
              </w:rPr>
              <w:t>2,2</w:t>
            </w:r>
          </w:p>
        </w:tc>
        <w:tc>
          <w:tcPr>
            <w:tcW w:w="851" w:type="dxa"/>
            <w:noWrap/>
            <w:hideMark/>
          </w:tcPr>
          <w:p w14:paraId="10A07DE9" w14:textId="77777777" w:rsidR="009B3AA4" w:rsidRPr="004D0C63" w:rsidRDefault="009B3AA4" w:rsidP="00F85C35">
            <w:pPr>
              <w:rPr>
                <w:lang/>
              </w:rPr>
            </w:pPr>
            <w:r w:rsidRPr="004D0C63">
              <w:rPr>
                <w:lang/>
              </w:rPr>
              <w:t>10,00</w:t>
            </w:r>
          </w:p>
        </w:tc>
        <w:tc>
          <w:tcPr>
            <w:tcW w:w="5386" w:type="dxa"/>
          </w:tcPr>
          <w:p w14:paraId="2A38793D" w14:textId="175BA909" w:rsidR="009B3AA4" w:rsidRPr="004D0C63" w:rsidRDefault="009B3AA4" w:rsidP="00F85C35">
            <w:pPr>
              <w:rPr>
                <w:lang/>
              </w:rPr>
            </w:pPr>
            <w:r w:rsidRPr="004D0C63">
              <w:rPr>
                <w:lang/>
              </w:rPr>
              <w:fldChar w:fldCharType="begin"/>
            </w:r>
            <w:r w:rsidRPr="004D0C63">
              <w:rPr>
                <w:lang/>
              </w:rPr>
              <w:instrText xml:space="preserve"> ADDIN ZOTERO_ITEM CSL_CITATION {"citationID":"iAvtnBaY","properties":{"unsorted":false,"formattedCitation":"(Wagner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3D2B004F" w14:textId="681E6961" w:rsidTr="376C0789">
        <w:trPr>
          <w:trHeight w:val="315"/>
        </w:trPr>
        <w:tc>
          <w:tcPr>
            <w:tcW w:w="986" w:type="dxa"/>
            <w:noWrap/>
            <w:hideMark/>
          </w:tcPr>
          <w:p w14:paraId="00384D38" w14:textId="77777777" w:rsidR="009B3AA4" w:rsidRPr="004D0C63" w:rsidRDefault="009B3AA4" w:rsidP="00F85C35">
            <w:pPr>
              <w:rPr>
                <w:lang/>
              </w:rPr>
            </w:pPr>
            <w:r w:rsidRPr="004D0C63">
              <w:rPr>
                <w:lang/>
              </w:rPr>
              <w:t>940310</w:t>
            </w:r>
          </w:p>
        </w:tc>
        <w:tc>
          <w:tcPr>
            <w:tcW w:w="1368" w:type="dxa"/>
            <w:noWrap/>
            <w:hideMark/>
          </w:tcPr>
          <w:p w14:paraId="0AF70A3B" w14:textId="77777777" w:rsidR="009B3AA4" w:rsidRPr="004D0C63" w:rsidRDefault="009B3AA4" w:rsidP="00F85C35">
            <w:pPr>
              <w:rPr>
                <w:lang/>
              </w:rPr>
            </w:pPr>
            <w:r w:rsidRPr="004D0C63">
              <w:rPr>
                <w:lang/>
              </w:rPr>
              <w:t>31011110</w:t>
            </w:r>
          </w:p>
        </w:tc>
        <w:tc>
          <w:tcPr>
            <w:tcW w:w="5296" w:type="dxa"/>
            <w:hideMark/>
          </w:tcPr>
          <w:p w14:paraId="42502558" w14:textId="11807448" w:rsidR="009B3AA4" w:rsidRPr="004D0C63" w:rsidRDefault="009B3AA4" w:rsidP="00F85C35">
            <w:pPr>
              <w:rPr>
                <w:lang/>
              </w:rPr>
            </w:pPr>
            <w:r w:rsidRPr="004D0C63">
              <w:rPr>
                <w:lang/>
              </w:rPr>
              <w:t xml:space="preserve">Office metal drawing tables </w:t>
            </w:r>
          </w:p>
        </w:tc>
        <w:tc>
          <w:tcPr>
            <w:tcW w:w="283" w:type="dxa"/>
            <w:noWrap/>
            <w:hideMark/>
          </w:tcPr>
          <w:p w14:paraId="17B573C2" w14:textId="77777777" w:rsidR="009B3AA4" w:rsidRPr="004D0C63" w:rsidRDefault="009B3AA4" w:rsidP="00F85C35">
            <w:pPr>
              <w:rPr>
                <w:lang/>
              </w:rPr>
            </w:pPr>
            <w:r w:rsidRPr="004D0C63">
              <w:rPr>
                <w:lang/>
              </w:rPr>
              <w:t>2,47</w:t>
            </w:r>
          </w:p>
        </w:tc>
        <w:tc>
          <w:tcPr>
            <w:tcW w:w="851" w:type="dxa"/>
            <w:noWrap/>
            <w:hideMark/>
          </w:tcPr>
          <w:p w14:paraId="0EC9097F" w14:textId="77777777" w:rsidR="009B3AA4" w:rsidRPr="004D0C63" w:rsidRDefault="009B3AA4" w:rsidP="00F85C35">
            <w:pPr>
              <w:rPr>
                <w:lang/>
              </w:rPr>
            </w:pPr>
            <w:r w:rsidRPr="004D0C63">
              <w:rPr>
                <w:lang/>
              </w:rPr>
              <w:t>14,00</w:t>
            </w:r>
          </w:p>
        </w:tc>
        <w:tc>
          <w:tcPr>
            <w:tcW w:w="5386" w:type="dxa"/>
          </w:tcPr>
          <w:p w14:paraId="71BD9F01" w14:textId="060657C5" w:rsidR="009B3AA4" w:rsidRPr="004D0C63" w:rsidRDefault="009B3AA4" w:rsidP="00F85C35">
            <w:r w:rsidRPr="004D0C63">
              <w:fldChar w:fldCharType="begin"/>
            </w:r>
            <w:r w:rsidRPr="004D0C63">
              <w:instrText xml:space="preserve"> ADDIN ZOTERO_ITEM CSL_CITATION {"citationID":"UirZLHe3","properties":{"unsorted":false,"formattedCitation":"(Hoxha &amp; Jusselme, 2017; Wagner et al., 2022)","plainCitation":"(Hoxha &amp; Jusselme, 2017; Wagner et al., 2022)","noteIndex":0},"citationItems":[{"id":72,"uris":["http://zotero.org/users/16823286/items/394BMTRN"],"itemData":{"id":72,"type":"article-journal","container-title":"Science of The Total Environment","DOI":"10.1016/j.scitotenv.2017.03.107","ISSN":"00489697","journalAbbreviation":"Science of The Total Environment","language":"en","page":"405-416","source":"DOI.org (Crossref)","title":"On the necessity of improving the environmental impacts of furniture and appliances in net-zero energy buildings","volume":"596-597","author":[{"family":"Hoxha","given":"Endrit"},{"family":"Jusselme","given":"Thomas"}],"issued":{"date-parts":[["2017",10]]}}},{"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fldChar w:fldCharType="separate"/>
            </w:r>
            <w:r w:rsidRPr="004D0C63">
              <w:t>(Hoxha &amp; Jusselme, 2017; Wagner et al., 2022)</w:t>
            </w:r>
            <w:r w:rsidRPr="004D0C63">
              <w:fldChar w:fldCharType="end"/>
            </w:r>
          </w:p>
        </w:tc>
      </w:tr>
      <w:tr w:rsidR="009B3AA4" w:rsidRPr="004D0C63" w14:paraId="4B46F26F" w14:textId="2AE4620A" w:rsidTr="376C0789">
        <w:trPr>
          <w:trHeight w:val="315"/>
        </w:trPr>
        <w:tc>
          <w:tcPr>
            <w:tcW w:w="986" w:type="dxa"/>
            <w:noWrap/>
            <w:hideMark/>
          </w:tcPr>
          <w:p w14:paraId="35B7B6D5" w14:textId="77777777" w:rsidR="009B3AA4" w:rsidRPr="004D0C63" w:rsidRDefault="009B3AA4" w:rsidP="00F85C35">
            <w:pPr>
              <w:rPr>
                <w:lang/>
              </w:rPr>
            </w:pPr>
            <w:r w:rsidRPr="004D0C63">
              <w:rPr>
                <w:lang/>
              </w:rPr>
              <w:t>940310</w:t>
            </w:r>
          </w:p>
        </w:tc>
        <w:tc>
          <w:tcPr>
            <w:tcW w:w="1368" w:type="dxa"/>
            <w:noWrap/>
            <w:hideMark/>
          </w:tcPr>
          <w:p w14:paraId="63EDE4F0" w14:textId="77777777" w:rsidR="009B3AA4" w:rsidRPr="004D0C63" w:rsidRDefault="009B3AA4" w:rsidP="00F85C35">
            <w:pPr>
              <w:rPr>
                <w:lang/>
              </w:rPr>
            </w:pPr>
            <w:r w:rsidRPr="004D0C63">
              <w:rPr>
                <w:lang/>
              </w:rPr>
              <w:t>31011140</w:t>
            </w:r>
          </w:p>
        </w:tc>
        <w:tc>
          <w:tcPr>
            <w:tcW w:w="5296" w:type="dxa"/>
            <w:hideMark/>
          </w:tcPr>
          <w:p w14:paraId="3874CA0B" w14:textId="77777777" w:rsidR="009B3AA4" w:rsidRPr="004D0C63" w:rsidRDefault="009B3AA4" w:rsidP="00F85C35">
            <w:pPr>
              <w:rPr>
                <w:lang/>
              </w:rPr>
            </w:pPr>
            <w:r w:rsidRPr="004D0C63">
              <w:rPr>
                <w:lang/>
              </w:rPr>
              <w:t>Metal furniture of a kind used in offices, of a height &lt;= 80 cm</w:t>
            </w:r>
          </w:p>
        </w:tc>
        <w:tc>
          <w:tcPr>
            <w:tcW w:w="283" w:type="dxa"/>
            <w:noWrap/>
            <w:hideMark/>
          </w:tcPr>
          <w:p w14:paraId="7377CF53" w14:textId="77777777" w:rsidR="009B3AA4" w:rsidRPr="004D0C63" w:rsidRDefault="009B3AA4" w:rsidP="00F85C35">
            <w:pPr>
              <w:rPr>
                <w:lang/>
              </w:rPr>
            </w:pPr>
            <w:r w:rsidRPr="004D0C63">
              <w:rPr>
                <w:lang/>
              </w:rPr>
              <w:t>2,47</w:t>
            </w:r>
          </w:p>
        </w:tc>
        <w:tc>
          <w:tcPr>
            <w:tcW w:w="851" w:type="dxa"/>
            <w:noWrap/>
            <w:hideMark/>
          </w:tcPr>
          <w:p w14:paraId="4769B0FA" w14:textId="77777777" w:rsidR="009B3AA4" w:rsidRPr="004D0C63" w:rsidRDefault="009B3AA4" w:rsidP="00F85C35">
            <w:pPr>
              <w:rPr>
                <w:lang/>
              </w:rPr>
            </w:pPr>
            <w:r w:rsidRPr="004D0C63">
              <w:rPr>
                <w:lang/>
              </w:rPr>
              <w:t>13,00</w:t>
            </w:r>
          </w:p>
        </w:tc>
        <w:tc>
          <w:tcPr>
            <w:tcW w:w="5386" w:type="dxa"/>
          </w:tcPr>
          <w:p w14:paraId="1691E1F1" w14:textId="0B063FD8" w:rsidR="009B3AA4" w:rsidRPr="004D0C63" w:rsidRDefault="009B3AA4" w:rsidP="00F85C35">
            <w:pPr>
              <w:rPr>
                <w:lang/>
              </w:rPr>
            </w:pPr>
            <w:r w:rsidRPr="004D0C63">
              <w:rPr>
                <w:lang/>
              </w:rPr>
              <w:fldChar w:fldCharType="begin"/>
            </w:r>
            <w:r w:rsidRPr="004D0C63">
              <w:rPr>
                <w:lang/>
              </w:rPr>
              <w:instrText xml:space="preserve"> ADDIN ZOTERO_ITEM CSL_CITATION {"citationID":"RI8LCPko","properties":{"unsorted":false,"formattedCitation":"(Wagner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1341D983" w14:textId="22373598" w:rsidTr="376C0789">
        <w:trPr>
          <w:trHeight w:val="315"/>
        </w:trPr>
        <w:tc>
          <w:tcPr>
            <w:tcW w:w="986" w:type="dxa"/>
            <w:noWrap/>
            <w:hideMark/>
          </w:tcPr>
          <w:p w14:paraId="7BCF675C" w14:textId="77777777" w:rsidR="009B3AA4" w:rsidRPr="004D0C63" w:rsidRDefault="009B3AA4" w:rsidP="00F85C35">
            <w:pPr>
              <w:rPr>
                <w:lang/>
              </w:rPr>
            </w:pPr>
            <w:r w:rsidRPr="004D0C63">
              <w:rPr>
                <w:lang/>
              </w:rPr>
              <w:t>940310</w:t>
            </w:r>
          </w:p>
        </w:tc>
        <w:tc>
          <w:tcPr>
            <w:tcW w:w="1368" w:type="dxa"/>
            <w:noWrap/>
            <w:hideMark/>
          </w:tcPr>
          <w:p w14:paraId="5EBD28DC" w14:textId="77777777" w:rsidR="009B3AA4" w:rsidRPr="004D0C63" w:rsidRDefault="009B3AA4" w:rsidP="00F85C35">
            <w:pPr>
              <w:rPr>
                <w:lang/>
              </w:rPr>
            </w:pPr>
            <w:r w:rsidRPr="004D0C63">
              <w:rPr>
                <w:lang/>
              </w:rPr>
              <w:t>31011170</w:t>
            </w:r>
          </w:p>
        </w:tc>
        <w:tc>
          <w:tcPr>
            <w:tcW w:w="5296" w:type="dxa"/>
            <w:hideMark/>
          </w:tcPr>
          <w:p w14:paraId="19D56441" w14:textId="77777777" w:rsidR="009B3AA4" w:rsidRPr="004D0C63" w:rsidRDefault="009B3AA4" w:rsidP="00F85C35">
            <w:pPr>
              <w:rPr>
                <w:lang/>
              </w:rPr>
            </w:pPr>
            <w:r w:rsidRPr="004D0C63">
              <w:rPr>
                <w:lang/>
              </w:rPr>
              <w:t>Metal furniture of a kind used in offices, of a height &gt; 80 cm</w:t>
            </w:r>
          </w:p>
        </w:tc>
        <w:tc>
          <w:tcPr>
            <w:tcW w:w="283" w:type="dxa"/>
            <w:noWrap/>
            <w:hideMark/>
          </w:tcPr>
          <w:p w14:paraId="2A73CD68" w14:textId="77777777" w:rsidR="009B3AA4" w:rsidRPr="004D0C63" w:rsidRDefault="009B3AA4" w:rsidP="00F85C35">
            <w:pPr>
              <w:rPr>
                <w:lang/>
              </w:rPr>
            </w:pPr>
            <w:r w:rsidRPr="004D0C63">
              <w:rPr>
                <w:lang/>
              </w:rPr>
              <w:t>2,47</w:t>
            </w:r>
          </w:p>
        </w:tc>
        <w:tc>
          <w:tcPr>
            <w:tcW w:w="851" w:type="dxa"/>
            <w:noWrap/>
            <w:hideMark/>
          </w:tcPr>
          <w:p w14:paraId="72ED30CB" w14:textId="77777777" w:rsidR="009B3AA4" w:rsidRPr="004D0C63" w:rsidRDefault="009B3AA4" w:rsidP="00F85C35">
            <w:pPr>
              <w:rPr>
                <w:lang/>
              </w:rPr>
            </w:pPr>
            <w:r w:rsidRPr="004D0C63">
              <w:rPr>
                <w:lang/>
              </w:rPr>
              <w:t>15,00</w:t>
            </w:r>
          </w:p>
        </w:tc>
        <w:tc>
          <w:tcPr>
            <w:tcW w:w="5386" w:type="dxa"/>
          </w:tcPr>
          <w:p w14:paraId="3B0FC702" w14:textId="0CEABDD0" w:rsidR="009B3AA4" w:rsidRPr="004D0C63" w:rsidRDefault="009B3AA4" w:rsidP="00F85C35">
            <w:r w:rsidRPr="004D0C63">
              <w:fldChar w:fldCharType="begin"/>
            </w:r>
            <w:r w:rsidRPr="004D0C63">
              <w:instrText xml:space="preserve"> ADDIN ZOTERO_ITEM CSL_CITATION {"citationID":"sKFSTUmX","properties":{"unsorted":false,"formattedCitation":"(Hoxha &amp; Jusselme, 2017)","plainCitation":"(Hoxha &amp; Jusselme, 2017)","noteIndex":0},"citationItems":[{"id":72,"uris":["http://zotero.org/users/16823286/items/394BMTRN"],"itemData":{"id":72,"type":"article-journal","container-title":"Science of The Total Environment","DOI":"10.1016/j.scitotenv.2017.03.107","ISSN":"00489697","journalAbbreviation":"Science of The Total Environment","language":"en","page":"405-416","source":"DOI.org (Crossref)","title":"On the necessity of improving the environmental impacts of furniture and appliances in net-zero energy buildings","volume":"596-597","author":[{"family":"Hoxha","given":"Endrit"},{"family":"Jusselme","given":"Thomas"}],"issued":{"date-parts":[["2017",10]]}}}],"schema":"https://github.com/citation-style-language/schema/raw/master/csl-citation.json"} </w:instrText>
            </w:r>
            <w:r w:rsidRPr="004D0C63">
              <w:fldChar w:fldCharType="separate"/>
            </w:r>
            <w:r w:rsidR="317E3A1B" w:rsidRPr="004D0C63">
              <w:t>(Hoxha &amp; Jusselme, 2017)</w:t>
            </w:r>
            <w:r w:rsidRPr="004D0C63">
              <w:fldChar w:fldCharType="end"/>
            </w:r>
          </w:p>
        </w:tc>
      </w:tr>
      <w:tr w:rsidR="009B3AA4" w:rsidRPr="004D0C63" w14:paraId="476F064B" w14:textId="45D844B2" w:rsidTr="376C0789">
        <w:trPr>
          <w:trHeight w:val="315"/>
        </w:trPr>
        <w:tc>
          <w:tcPr>
            <w:tcW w:w="986" w:type="dxa"/>
            <w:noWrap/>
            <w:hideMark/>
          </w:tcPr>
          <w:p w14:paraId="604231C8" w14:textId="77777777" w:rsidR="009B3AA4" w:rsidRPr="004D0C63" w:rsidRDefault="009B3AA4" w:rsidP="00F85C35">
            <w:pPr>
              <w:rPr>
                <w:lang/>
              </w:rPr>
            </w:pPr>
            <w:r w:rsidRPr="004D0C63">
              <w:rPr>
                <w:lang/>
              </w:rPr>
              <w:t>940310</w:t>
            </w:r>
          </w:p>
        </w:tc>
        <w:tc>
          <w:tcPr>
            <w:tcW w:w="1368" w:type="dxa"/>
            <w:noWrap/>
            <w:hideMark/>
          </w:tcPr>
          <w:p w14:paraId="667CB286" w14:textId="77777777" w:rsidR="009B3AA4" w:rsidRPr="004D0C63" w:rsidRDefault="009B3AA4" w:rsidP="00F85C35">
            <w:pPr>
              <w:rPr>
                <w:lang/>
              </w:rPr>
            </w:pPr>
            <w:r w:rsidRPr="004D0C63">
              <w:rPr>
                <w:lang/>
              </w:rPr>
              <w:t>31011100</w:t>
            </w:r>
          </w:p>
        </w:tc>
        <w:tc>
          <w:tcPr>
            <w:tcW w:w="5296" w:type="dxa"/>
            <w:hideMark/>
          </w:tcPr>
          <w:p w14:paraId="58D9BBF5" w14:textId="77777777" w:rsidR="009B3AA4" w:rsidRPr="004D0C63" w:rsidRDefault="009B3AA4" w:rsidP="00F85C35">
            <w:pPr>
              <w:rPr>
                <w:lang/>
              </w:rPr>
            </w:pPr>
            <w:r w:rsidRPr="004D0C63">
              <w:rPr>
                <w:lang/>
              </w:rPr>
              <w:t>Metal furniture for offices</w:t>
            </w:r>
          </w:p>
        </w:tc>
        <w:tc>
          <w:tcPr>
            <w:tcW w:w="283" w:type="dxa"/>
            <w:noWrap/>
            <w:hideMark/>
          </w:tcPr>
          <w:p w14:paraId="340C9AD1" w14:textId="77777777" w:rsidR="009B3AA4" w:rsidRPr="004D0C63" w:rsidRDefault="009B3AA4" w:rsidP="00F85C35">
            <w:pPr>
              <w:rPr>
                <w:lang/>
              </w:rPr>
            </w:pPr>
            <w:r w:rsidRPr="004D0C63">
              <w:rPr>
                <w:lang/>
              </w:rPr>
              <w:t>2,47</w:t>
            </w:r>
          </w:p>
        </w:tc>
        <w:tc>
          <w:tcPr>
            <w:tcW w:w="851" w:type="dxa"/>
            <w:noWrap/>
            <w:hideMark/>
          </w:tcPr>
          <w:p w14:paraId="1B344E1C" w14:textId="77777777" w:rsidR="009B3AA4" w:rsidRPr="004D0C63" w:rsidRDefault="009B3AA4" w:rsidP="00F85C35">
            <w:pPr>
              <w:rPr>
                <w:lang/>
              </w:rPr>
            </w:pPr>
            <w:r w:rsidRPr="004D0C63">
              <w:rPr>
                <w:lang/>
              </w:rPr>
              <w:t>16,00</w:t>
            </w:r>
          </w:p>
        </w:tc>
        <w:tc>
          <w:tcPr>
            <w:tcW w:w="5386" w:type="dxa"/>
          </w:tcPr>
          <w:p w14:paraId="14D031BD" w14:textId="26F33F17" w:rsidR="009B3AA4" w:rsidRPr="004D0C63" w:rsidRDefault="009B3AA4" w:rsidP="00F85C35">
            <w:r w:rsidRPr="004D0C63">
              <w:fldChar w:fldCharType="begin"/>
            </w:r>
            <w:r w:rsidRPr="004D0C63">
              <w:instrText xml:space="preserve"> ADDIN ZOTERO_ITEM CSL_CITATION {"citationID":"lM7a2RYp","properties":{"unsorted":false,"formattedCitation":"(Hoxha &amp; Jusselme, 2017; Wagner et al., 2022)","plainCitation":"(Hoxha &amp; Jusselme, 2017; Wagner et al., 2022)","noteIndex":0},"citationItems":[{"id":72,"uris":["http://zotero.org/users/16823286/items/394BMTRN"],"itemData":{"id":72,"type":"article-journal","container-title":"Science of The Total Environment","DOI":"10.1016/j.scitotenv.2017.03.107","ISSN":"00489697","journalAbbreviation":"Science of The Total Environment","language":"en","page":"405-416","source":"DOI.org (Crossref)","title":"On the necessity of improving the environmental impacts of furniture and appliances in net-zero energy buildings","volume":"596-597","author":[{"family":"Hoxha","given":"Endrit"},{"family":"Jusselme","given":"Thomas"}],"issued":{"date-parts":[["2017",10]]}}},{"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fldChar w:fldCharType="separate"/>
            </w:r>
            <w:r w:rsidR="317E3A1B" w:rsidRPr="004D0C63">
              <w:t>(Hoxha &amp; Jusselme, 2017; Wagner et al., 2022)</w:t>
            </w:r>
            <w:r w:rsidRPr="004D0C63">
              <w:fldChar w:fldCharType="end"/>
            </w:r>
          </w:p>
        </w:tc>
      </w:tr>
      <w:tr w:rsidR="009B3AA4" w:rsidRPr="004D0C63" w14:paraId="6ED243EC" w14:textId="2E658066" w:rsidTr="376C0789">
        <w:trPr>
          <w:trHeight w:val="315"/>
        </w:trPr>
        <w:tc>
          <w:tcPr>
            <w:tcW w:w="986" w:type="dxa"/>
            <w:noWrap/>
            <w:hideMark/>
          </w:tcPr>
          <w:p w14:paraId="09513BF3" w14:textId="77777777" w:rsidR="009B3AA4" w:rsidRPr="004D0C63" w:rsidRDefault="009B3AA4" w:rsidP="00F85C35">
            <w:pPr>
              <w:rPr>
                <w:lang/>
              </w:rPr>
            </w:pPr>
            <w:r w:rsidRPr="004D0C63">
              <w:rPr>
                <w:lang/>
              </w:rPr>
              <w:t>940320</w:t>
            </w:r>
          </w:p>
        </w:tc>
        <w:tc>
          <w:tcPr>
            <w:tcW w:w="1368" w:type="dxa"/>
            <w:noWrap/>
            <w:hideMark/>
          </w:tcPr>
          <w:p w14:paraId="0C757E72" w14:textId="77777777" w:rsidR="009B3AA4" w:rsidRPr="004D0C63" w:rsidRDefault="009B3AA4" w:rsidP="00F85C35">
            <w:pPr>
              <w:rPr>
                <w:lang/>
              </w:rPr>
            </w:pPr>
            <w:r w:rsidRPr="004D0C63">
              <w:rPr>
                <w:lang/>
              </w:rPr>
              <w:t>31091100</w:t>
            </w:r>
          </w:p>
        </w:tc>
        <w:tc>
          <w:tcPr>
            <w:tcW w:w="5296" w:type="dxa"/>
            <w:hideMark/>
          </w:tcPr>
          <w:p w14:paraId="1280927D" w14:textId="07F9B3EB" w:rsidR="009B3AA4" w:rsidRPr="004D0C63" w:rsidRDefault="009B3AA4" w:rsidP="00F85C35">
            <w:pPr>
              <w:rPr>
                <w:lang/>
              </w:rPr>
            </w:pPr>
            <w:r w:rsidRPr="004D0C63">
              <w:rPr>
                <w:lang/>
              </w:rPr>
              <w:t>Metal furniture (excluding office)</w:t>
            </w:r>
          </w:p>
        </w:tc>
        <w:tc>
          <w:tcPr>
            <w:tcW w:w="283" w:type="dxa"/>
            <w:noWrap/>
            <w:hideMark/>
          </w:tcPr>
          <w:p w14:paraId="69808C4A" w14:textId="77777777" w:rsidR="009B3AA4" w:rsidRPr="004D0C63" w:rsidRDefault="009B3AA4" w:rsidP="00F85C35">
            <w:pPr>
              <w:rPr>
                <w:lang/>
              </w:rPr>
            </w:pPr>
            <w:r w:rsidRPr="004D0C63">
              <w:rPr>
                <w:lang/>
              </w:rPr>
              <w:t>2,47</w:t>
            </w:r>
          </w:p>
        </w:tc>
        <w:tc>
          <w:tcPr>
            <w:tcW w:w="851" w:type="dxa"/>
            <w:noWrap/>
            <w:hideMark/>
          </w:tcPr>
          <w:p w14:paraId="368D2FC9" w14:textId="77777777" w:rsidR="009B3AA4" w:rsidRPr="004D0C63" w:rsidRDefault="009B3AA4" w:rsidP="00F85C35">
            <w:pPr>
              <w:rPr>
                <w:lang/>
              </w:rPr>
            </w:pPr>
            <w:r w:rsidRPr="004D0C63">
              <w:rPr>
                <w:lang/>
              </w:rPr>
              <w:t>10,00</w:t>
            </w:r>
          </w:p>
        </w:tc>
        <w:tc>
          <w:tcPr>
            <w:tcW w:w="5386" w:type="dxa"/>
          </w:tcPr>
          <w:p w14:paraId="06FB8AD8" w14:textId="1FC1B6AE" w:rsidR="009B3AA4" w:rsidRPr="004D0C63" w:rsidRDefault="009B3AA4" w:rsidP="00F85C35">
            <w:pPr>
              <w:rPr>
                <w:lang/>
              </w:rPr>
            </w:pPr>
            <w:r w:rsidRPr="004D0C63">
              <w:rPr>
                <w:lang/>
              </w:rPr>
              <w:fldChar w:fldCharType="begin"/>
            </w:r>
            <w:r w:rsidRPr="004D0C63">
              <w:rPr>
                <w:lang/>
              </w:rPr>
              <w:instrText xml:space="preserve"> ADDIN ZOTERO_ITEM CSL_CITATION {"citationID":"yXWmuRxt","properties":{"unsorted":false,"formattedCitation":"(Wagner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407589AC" w14:textId="6C68C0FB" w:rsidTr="376C0789">
        <w:trPr>
          <w:trHeight w:val="315"/>
        </w:trPr>
        <w:tc>
          <w:tcPr>
            <w:tcW w:w="986" w:type="dxa"/>
            <w:noWrap/>
            <w:hideMark/>
          </w:tcPr>
          <w:p w14:paraId="1384AE7F" w14:textId="77777777" w:rsidR="009B3AA4" w:rsidRPr="004D0C63" w:rsidRDefault="009B3AA4" w:rsidP="00F85C35">
            <w:pPr>
              <w:rPr>
                <w:lang/>
              </w:rPr>
            </w:pPr>
            <w:r w:rsidRPr="004D0C63">
              <w:rPr>
                <w:lang/>
              </w:rPr>
              <w:t>940330</w:t>
            </w:r>
          </w:p>
        </w:tc>
        <w:tc>
          <w:tcPr>
            <w:tcW w:w="1368" w:type="dxa"/>
            <w:noWrap/>
            <w:hideMark/>
          </w:tcPr>
          <w:p w14:paraId="6426F80E" w14:textId="77777777" w:rsidR="009B3AA4" w:rsidRPr="004D0C63" w:rsidRDefault="009B3AA4" w:rsidP="00F85C35">
            <w:pPr>
              <w:rPr>
                <w:lang/>
              </w:rPr>
            </w:pPr>
            <w:r w:rsidRPr="004D0C63">
              <w:rPr>
                <w:lang/>
              </w:rPr>
              <w:t>31011200</w:t>
            </w:r>
          </w:p>
        </w:tc>
        <w:tc>
          <w:tcPr>
            <w:tcW w:w="5296" w:type="dxa"/>
            <w:hideMark/>
          </w:tcPr>
          <w:p w14:paraId="46071A96" w14:textId="77777777" w:rsidR="009B3AA4" w:rsidRPr="004D0C63" w:rsidRDefault="009B3AA4" w:rsidP="00F85C35">
            <w:pPr>
              <w:rPr>
                <w:lang/>
              </w:rPr>
            </w:pPr>
            <w:r w:rsidRPr="004D0C63">
              <w:rPr>
                <w:lang/>
              </w:rPr>
              <w:t>Wooden furniture of a kind used in offices</w:t>
            </w:r>
          </w:p>
        </w:tc>
        <w:tc>
          <w:tcPr>
            <w:tcW w:w="283" w:type="dxa"/>
            <w:noWrap/>
            <w:hideMark/>
          </w:tcPr>
          <w:p w14:paraId="1993BCBE" w14:textId="77777777" w:rsidR="009B3AA4" w:rsidRPr="004D0C63" w:rsidRDefault="009B3AA4" w:rsidP="00F85C35">
            <w:pPr>
              <w:rPr>
                <w:lang/>
              </w:rPr>
            </w:pPr>
            <w:r w:rsidRPr="004D0C63">
              <w:rPr>
                <w:lang/>
              </w:rPr>
              <w:t>2,47</w:t>
            </w:r>
          </w:p>
        </w:tc>
        <w:tc>
          <w:tcPr>
            <w:tcW w:w="851" w:type="dxa"/>
            <w:noWrap/>
            <w:hideMark/>
          </w:tcPr>
          <w:p w14:paraId="037E149C" w14:textId="77777777" w:rsidR="009B3AA4" w:rsidRPr="004D0C63" w:rsidRDefault="009B3AA4" w:rsidP="00F85C35">
            <w:pPr>
              <w:rPr>
                <w:lang/>
              </w:rPr>
            </w:pPr>
            <w:r w:rsidRPr="004D0C63">
              <w:rPr>
                <w:lang/>
              </w:rPr>
              <w:t>16,67</w:t>
            </w:r>
          </w:p>
        </w:tc>
        <w:tc>
          <w:tcPr>
            <w:tcW w:w="5386" w:type="dxa"/>
          </w:tcPr>
          <w:p w14:paraId="09C06136" w14:textId="5A476952" w:rsidR="009B3AA4" w:rsidRPr="004D0C63" w:rsidRDefault="009B3AA4" w:rsidP="00F85C35">
            <w:pPr>
              <w:rPr>
                <w:lang/>
              </w:rPr>
            </w:pPr>
            <w:r w:rsidRPr="004D0C63">
              <w:rPr>
                <w:lang/>
              </w:rPr>
              <w:fldChar w:fldCharType="begin"/>
            </w:r>
            <w:r w:rsidRPr="004D0C63">
              <w:rPr>
                <w:lang/>
              </w:rPr>
              <w:instrText xml:space="preserve"> ADDIN ZOTERO_ITEM CSL_CITATION {"citationID":"u9OfSjP1","properties":{"unsorted":false,"formattedCitation":"(Hoxha &amp; Jusselme, 2017; Wagner et al., 2022; Wipr\\uc0\\u228{}chtiger et al., 2022)","plainCitation":"(Hoxha &amp; Jusselme, 2017; Wagner et al., 2022; Wiprächtiger et al., 2022)","noteIndex":0},"citationItems":[{"id":72,"uris":["http://zotero.org/users/16823286/items/394BMTRN"],"itemData":{"id":72,"type":"article-journal","container-title":"Science of The Total Environment","DOI":"10.1016/j.scitotenv.2017.03.107","ISSN":"00489697","journalAbbreviation":"Science of The Total Environment","language":"en","page":"405-416","source":"DOI.org (Crossref)","title":"On the necessity of improving the environmental impacts of furniture and appliances in net-zero energy buildings","volume":"596-597","author":[{"family":"Hoxha","given":"Endrit"},{"family":"Jusselme","given":"Thomas"}],"issued":{"date-parts":[["2017",10]]}}},{"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id":83,"uris":["http://zotero.org/users/16823286/items/YU6MV7PD"],"itemData":{"id":83,"type":"article-journal","abstract":"According to the waste hierarchy, waste prevention is environmentally superior to recycling or recovery, hence its inclusion in government policy. The assessment and prioritization of waste prevention strategies are impeded, inter alia, by ambiguous definitions and the lack of a sound environmental assessment method. In this study, a systematic approach to the environmental assessment of waste prevention activities (WPAs), covering the whole life cycle of products, was developed. The approach combines material flow analysis and life cycle assessment with a sustainable circular system design framework whilst giving special consideration to pivotal factors such as diffusion factor (share of population engaging in WPA), substitutability (degree to which a new product is replaced), effects on use-phase impacts, and rebound effects. The application of the approach to the case studies of clothing and household furniture in Switzerland revealed lower impact saving potential than assumed initially, due to lack of participation, low substitutability, or high rebounds. For example, reusing clothing locally, instead of exporting it to low-income countries, as currently done, displayed no or even negative impact savings since secondhand clothing in high-income countries is often consumed in addition to new clothing. Drastic scenarios for clothes led to only moderate impact reductions of less than 15%, whereas a take-back scheme for furniture reduced impacts by 70%. Concluding, the four factors (diffusion rate, substitutability, effects on use-phase impacts, and rebounds) proved crucial in the assessment of waste prevention strategies and the approach presented was able to pinpoint improvement potentials of the waste prevention scenarios investigated.","container-title":"Journal of Industrial Ecology","DOI":"10.1111/jiec.13275","ISSN":"1530-9290","issue":"4","language":"en","note":"_eprint: https://onlinelibrary.wiley.com/doi/pdf/10.1111/jiec.13275","page":"1389-1405","source":"Wiley Online Library","title":"Turning trash into treasure: An approach to the environmental assessment of waste prevention and its application to clothing and furniture in Switzerland","title-short":"Turning trash into treasure","volume":"26","author":[{"family":"Wiprächtiger","given":"Maja"},{"family":"Rapp","given":"Martina"},{"family":"Hellweg","given":"Stefanie"},{"family":"Shinde","given":"Rhythima"},{"family":"Haupt","given":"Melanie"}],"issued":{"date-parts":[["2022"]]}}}],"schema":"https://github.com/citation-style-language/schema/raw/master/csl-citation.json"} </w:instrText>
            </w:r>
            <w:r w:rsidRPr="004D0C63">
              <w:rPr>
                <w:lang/>
              </w:rPr>
              <w:fldChar w:fldCharType="separate"/>
            </w:r>
            <w:r w:rsidRPr="004D0C63">
              <w:t>(Hoxha &amp; Jusselme, 2017; Wagner et al., 2022; Wiprächtiger et al., 2022)</w:t>
            </w:r>
            <w:r w:rsidRPr="004D0C63">
              <w:rPr>
                <w:lang/>
              </w:rPr>
              <w:fldChar w:fldCharType="end"/>
            </w:r>
          </w:p>
        </w:tc>
      </w:tr>
      <w:tr w:rsidR="009B3AA4" w:rsidRPr="004D0C63" w14:paraId="0BDC0080" w14:textId="713E34A7" w:rsidTr="376C0789">
        <w:trPr>
          <w:trHeight w:val="315"/>
        </w:trPr>
        <w:tc>
          <w:tcPr>
            <w:tcW w:w="986" w:type="dxa"/>
            <w:noWrap/>
            <w:hideMark/>
          </w:tcPr>
          <w:p w14:paraId="782F62C6" w14:textId="77777777" w:rsidR="009B3AA4" w:rsidRPr="004D0C63" w:rsidRDefault="009B3AA4" w:rsidP="00F85C35">
            <w:pPr>
              <w:rPr>
                <w:lang/>
              </w:rPr>
            </w:pPr>
            <w:r w:rsidRPr="004D0C63">
              <w:rPr>
                <w:lang/>
              </w:rPr>
              <w:t>940360</w:t>
            </w:r>
          </w:p>
        </w:tc>
        <w:tc>
          <w:tcPr>
            <w:tcW w:w="1368" w:type="dxa"/>
            <w:noWrap/>
            <w:hideMark/>
          </w:tcPr>
          <w:p w14:paraId="4CED3739" w14:textId="77777777" w:rsidR="009B3AA4" w:rsidRPr="004D0C63" w:rsidRDefault="009B3AA4" w:rsidP="00F85C35">
            <w:pPr>
              <w:rPr>
                <w:lang/>
              </w:rPr>
            </w:pPr>
            <w:r w:rsidRPr="004D0C63">
              <w:rPr>
                <w:lang/>
              </w:rPr>
              <w:t>31011300</w:t>
            </w:r>
          </w:p>
        </w:tc>
        <w:tc>
          <w:tcPr>
            <w:tcW w:w="5296" w:type="dxa"/>
            <w:hideMark/>
          </w:tcPr>
          <w:p w14:paraId="436C51C2" w14:textId="77777777" w:rsidR="009B3AA4" w:rsidRPr="004D0C63" w:rsidRDefault="009B3AA4" w:rsidP="00F85C35">
            <w:pPr>
              <w:rPr>
                <w:lang/>
              </w:rPr>
            </w:pPr>
            <w:r w:rsidRPr="004D0C63">
              <w:rPr>
                <w:lang/>
              </w:rPr>
              <w:t>Wooden furniture for shops</w:t>
            </w:r>
          </w:p>
        </w:tc>
        <w:tc>
          <w:tcPr>
            <w:tcW w:w="283" w:type="dxa"/>
            <w:noWrap/>
            <w:hideMark/>
          </w:tcPr>
          <w:p w14:paraId="2D896754" w14:textId="77777777" w:rsidR="009B3AA4" w:rsidRPr="004D0C63" w:rsidRDefault="009B3AA4" w:rsidP="00F85C35">
            <w:pPr>
              <w:rPr>
                <w:lang/>
              </w:rPr>
            </w:pPr>
            <w:r w:rsidRPr="004D0C63">
              <w:rPr>
                <w:lang/>
              </w:rPr>
              <w:t>2,47</w:t>
            </w:r>
          </w:p>
        </w:tc>
        <w:tc>
          <w:tcPr>
            <w:tcW w:w="851" w:type="dxa"/>
            <w:noWrap/>
            <w:hideMark/>
          </w:tcPr>
          <w:p w14:paraId="437AD407" w14:textId="77777777" w:rsidR="009B3AA4" w:rsidRPr="004D0C63" w:rsidRDefault="009B3AA4" w:rsidP="00F85C35">
            <w:pPr>
              <w:rPr>
                <w:lang/>
              </w:rPr>
            </w:pPr>
            <w:r w:rsidRPr="004D0C63">
              <w:rPr>
                <w:lang/>
              </w:rPr>
              <w:t>8,00</w:t>
            </w:r>
          </w:p>
        </w:tc>
        <w:tc>
          <w:tcPr>
            <w:tcW w:w="5386" w:type="dxa"/>
          </w:tcPr>
          <w:p w14:paraId="7A76E9BE" w14:textId="320B9DC5" w:rsidR="009B3AA4" w:rsidRPr="004D0C63" w:rsidRDefault="009B3AA4" w:rsidP="00F85C35">
            <w:pPr>
              <w:rPr>
                <w:lang/>
              </w:rPr>
            </w:pPr>
            <w:r w:rsidRPr="004D0C63">
              <w:rPr>
                <w:lang/>
              </w:rPr>
              <w:fldChar w:fldCharType="begin"/>
            </w:r>
            <w:r w:rsidRPr="004D0C63">
              <w:rPr>
                <w:lang/>
              </w:rPr>
              <w:instrText xml:space="preserve"> ADDIN ZOTERO_ITEM CSL_CITATION {"citationID":"SXyWPQv0","properties":{"unsorted":false,"formattedCitation":"(Wagner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Pr="004D0C63">
              <w:rPr>
                <w:lang/>
              </w:rPr>
              <w:t>(Wagner et al., 2022)</w:t>
            </w:r>
            <w:r w:rsidRPr="004D0C63">
              <w:rPr>
                <w:lang/>
              </w:rPr>
              <w:fldChar w:fldCharType="end"/>
            </w:r>
          </w:p>
        </w:tc>
      </w:tr>
      <w:tr w:rsidR="009B3AA4" w:rsidRPr="004D0C63" w14:paraId="759847CD" w14:textId="7A5536C8" w:rsidTr="376C0789">
        <w:trPr>
          <w:trHeight w:val="315"/>
        </w:trPr>
        <w:tc>
          <w:tcPr>
            <w:tcW w:w="986" w:type="dxa"/>
            <w:noWrap/>
            <w:hideMark/>
          </w:tcPr>
          <w:p w14:paraId="120BEE0B" w14:textId="77777777" w:rsidR="009B3AA4" w:rsidRPr="004D0C63" w:rsidRDefault="009B3AA4" w:rsidP="00F85C35">
            <w:pPr>
              <w:rPr>
                <w:lang/>
              </w:rPr>
            </w:pPr>
            <w:r w:rsidRPr="004D0C63">
              <w:rPr>
                <w:lang/>
              </w:rPr>
              <w:t>940350</w:t>
            </w:r>
          </w:p>
        </w:tc>
        <w:tc>
          <w:tcPr>
            <w:tcW w:w="1368" w:type="dxa"/>
            <w:noWrap/>
            <w:hideMark/>
          </w:tcPr>
          <w:p w14:paraId="6EB7D0AB" w14:textId="77777777" w:rsidR="009B3AA4" w:rsidRPr="004D0C63" w:rsidRDefault="009B3AA4" w:rsidP="00F85C35">
            <w:pPr>
              <w:rPr>
                <w:lang/>
              </w:rPr>
            </w:pPr>
            <w:r w:rsidRPr="004D0C63">
              <w:rPr>
                <w:lang/>
              </w:rPr>
              <w:t>31091230</w:t>
            </w:r>
          </w:p>
        </w:tc>
        <w:tc>
          <w:tcPr>
            <w:tcW w:w="5296" w:type="dxa"/>
            <w:hideMark/>
          </w:tcPr>
          <w:p w14:paraId="1CCD2490" w14:textId="1177F5F9" w:rsidR="009B3AA4" w:rsidRPr="004D0C63" w:rsidRDefault="009B3AA4" w:rsidP="00F85C35">
            <w:pPr>
              <w:rPr>
                <w:lang/>
              </w:rPr>
            </w:pPr>
            <w:r w:rsidRPr="004D0C63">
              <w:rPr>
                <w:lang/>
              </w:rPr>
              <w:t xml:space="preserve">Wooden bedroom furniture </w:t>
            </w:r>
          </w:p>
        </w:tc>
        <w:tc>
          <w:tcPr>
            <w:tcW w:w="283" w:type="dxa"/>
            <w:noWrap/>
            <w:hideMark/>
          </w:tcPr>
          <w:p w14:paraId="05006648" w14:textId="77777777" w:rsidR="009B3AA4" w:rsidRPr="004D0C63" w:rsidRDefault="009B3AA4" w:rsidP="00F85C35">
            <w:pPr>
              <w:rPr>
                <w:lang/>
              </w:rPr>
            </w:pPr>
            <w:r w:rsidRPr="004D0C63">
              <w:rPr>
                <w:lang/>
              </w:rPr>
              <w:t>2,47</w:t>
            </w:r>
          </w:p>
        </w:tc>
        <w:tc>
          <w:tcPr>
            <w:tcW w:w="851" w:type="dxa"/>
            <w:noWrap/>
            <w:hideMark/>
          </w:tcPr>
          <w:p w14:paraId="4318A92B" w14:textId="77777777" w:rsidR="009B3AA4" w:rsidRPr="004D0C63" w:rsidRDefault="009B3AA4" w:rsidP="00F85C35">
            <w:pPr>
              <w:rPr>
                <w:lang/>
              </w:rPr>
            </w:pPr>
            <w:r w:rsidRPr="004D0C63">
              <w:rPr>
                <w:lang/>
              </w:rPr>
              <w:t>13,60</w:t>
            </w:r>
          </w:p>
        </w:tc>
        <w:tc>
          <w:tcPr>
            <w:tcW w:w="5386" w:type="dxa"/>
          </w:tcPr>
          <w:p w14:paraId="3223931D" w14:textId="5B867F55" w:rsidR="009B3AA4" w:rsidRPr="004D0C63" w:rsidRDefault="009B3AA4" w:rsidP="00F85C35">
            <w:r w:rsidRPr="004D0C63">
              <w:fldChar w:fldCharType="begin"/>
            </w:r>
            <w:r w:rsidRPr="004D0C63">
              <w:instrText xml:space="preserve"> ADDIN ZOTERO_ITEM CSL_CITATION {"citationID":"xgL74TQW","properties":{"unsorted":false,"formattedCitation":"(Wagner et al., 2022; Wipr\\uc0\\u228{}chtiger et al., 2022)","plainCitation":"(Wagner et al., 2022; Wiprächtiger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id":83,"uris":["http://zotero.org/users/16823286/items/YU6MV7PD"],"itemData":{"id":83,"type":"article-journal","abstract":"According to the waste hierarchy, waste prevention is environmentally superior to recycling or recovery, hence its inclusion in government policy. The assessment and prioritization of waste prevention strategies are impeded, inter alia, by ambiguous definitions and the lack of a sound environmental assessment method. In this study, a systematic approach to the environmental assessment of waste prevention activities (WPAs), covering the whole life cycle of products, was developed. The approach combines material flow analysis and life cycle assessment with a sustainable circular system design framework whilst giving special consideration to pivotal factors such as diffusion factor (share of population engaging in WPA), substitutability (degree to which a new product is replaced), effects on use-phase impacts, and rebound effects. The application of the approach to the case studies of clothing and household furniture in Switzerland revealed lower impact saving potential than assumed initially, due to lack of participation, low substitutability, or high rebounds. For example, reusing clothing locally, instead of exporting it to low-income countries, as currently done, displayed no or even negative impact savings since secondhand clothing in high-income countries is often consumed in addition to new clothing. Drastic scenarios for clothes led to only moderate impact reductions of less than 15%, whereas a take-back scheme for furniture reduced impacts by 70%. Concluding, the four factors (diffusion rate, substitutability, effects on use-phase impacts, and rebounds) proved crucial in the assessment of waste prevention strategies and the approach presented was able to pinpoint improvement potentials of the waste prevention scenarios investigated.","container-title":"Journal of Industrial Ecology","DOI":"10.1111/jiec.13275","ISSN":"1530-9290","issue":"4","language":"en","note":"_eprint: https://onlinelibrary.wiley.com/doi/pdf/10.1111/jiec.13275","page":"1389-1405","source":"Wiley Online Library","title":"Turning trash into treasure: An approach to the environmental assessment of waste prevention and its application to clothing and furniture in Switzerland","title-short":"Turning trash into treasure","volume":"26","author":[{"family":"Wiprächtiger","given":"Maja"},{"family":"Rapp","given":"Martina"},{"family":"Hellweg","given":"Stefanie"},{"family":"Shinde","given":"Rhythima"},{"family":"Haupt","given":"Melanie"}],"issued":{"date-parts":[["2022"]]}}}],"schema":"https://github.com/citation-style-language/schema/raw/master/csl-citation.json"} </w:instrText>
            </w:r>
            <w:r w:rsidRPr="004D0C63">
              <w:fldChar w:fldCharType="separate"/>
            </w:r>
            <w:r w:rsidRPr="004D0C63">
              <w:t>(Wagner et al., 2022; Wiprächtiger et al., 2022)</w:t>
            </w:r>
            <w:r w:rsidRPr="004D0C63">
              <w:fldChar w:fldCharType="end"/>
            </w:r>
          </w:p>
        </w:tc>
      </w:tr>
      <w:tr w:rsidR="009B3AA4" w:rsidRPr="004D0C63" w14:paraId="30ABFD11" w14:textId="0F6DCDA7" w:rsidTr="376C0789">
        <w:trPr>
          <w:trHeight w:val="315"/>
        </w:trPr>
        <w:tc>
          <w:tcPr>
            <w:tcW w:w="986" w:type="dxa"/>
            <w:noWrap/>
            <w:hideMark/>
          </w:tcPr>
          <w:p w14:paraId="6E0784CC" w14:textId="77777777" w:rsidR="009B3AA4" w:rsidRPr="004D0C63" w:rsidRDefault="009B3AA4" w:rsidP="00F85C35">
            <w:pPr>
              <w:rPr>
                <w:lang/>
              </w:rPr>
            </w:pPr>
            <w:r w:rsidRPr="004D0C63">
              <w:rPr>
                <w:lang/>
              </w:rPr>
              <w:lastRenderedPageBreak/>
              <w:t>940360</w:t>
            </w:r>
          </w:p>
        </w:tc>
        <w:tc>
          <w:tcPr>
            <w:tcW w:w="1368" w:type="dxa"/>
            <w:noWrap/>
            <w:hideMark/>
          </w:tcPr>
          <w:p w14:paraId="317E73BB" w14:textId="77777777" w:rsidR="009B3AA4" w:rsidRPr="004D0C63" w:rsidRDefault="009B3AA4" w:rsidP="00F85C35">
            <w:pPr>
              <w:rPr>
                <w:lang/>
              </w:rPr>
            </w:pPr>
            <w:r w:rsidRPr="004D0C63">
              <w:rPr>
                <w:lang/>
              </w:rPr>
              <w:t>31091250</w:t>
            </w:r>
          </w:p>
        </w:tc>
        <w:tc>
          <w:tcPr>
            <w:tcW w:w="5296" w:type="dxa"/>
            <w:hideMark/>
          </w:tcPr>
          <w:p w14:paraId="5B2A9CE1" w14:textId="4223FC64" w:rsidR="009B3AA4" w:rsidRPr="004D0C63" w:rsidRDefault="009B3AA4" w:rsidP="00F85C35">
            <w:pPr>
              <w:rPr>
                <w:lang/>
              </w:rPr>
            </w:pPr>
            <w:r w:rsidRPr="004D0C63">
              <w:rPr>
                <w:lang/>
              </w:rPr>
              <w:t xml:space="preserve">Wooden furniture for the dining-room and living-room </w:t>
            </w:r>
          </w:p>
        </w:tc>
        <w:tc>
          <w:tcPr>
            <w:tcW w:w="283" w:type="dxa"/>
            <w:noWrap/>
            <w:hideMark/>
          </w:tcPr>
          <w:p w14:paraId="0CD15CAD" w14:textId="77777777" w:rsidR="009B3AA4" w:rsidRPr="004D0C63" w:rsidRDefault="009B3AA4" w:rsidP="00F85C35">
            <w:pPr>
              <w:rPr>
                <w:lang/>
              </w:rPr>
            </w:pPr>
            <w:r w:rsidRPr="004D0C63">
              <w:rPr>
                <w:lang/>
              </w:rPr>
              <w:t>1,28</w:t>
            </w:r>
          </w:p>
        </w:tc>
        <w:tc>
          <w:tcPr>
            <w:tcW w:w="851" w:type="dxa"/>
            <w:noWrap/>
            <w:hideMark/>
          </w:tcPr>
          <w:p w14:paraId="7A25D2B3" w14:textId="77777777" w:rsidR="009B3AA4" w:rsidRPr="004D0C63" w:rsidRDefault="009B3AA4" w:rsidP="00F85C35">
            <w:pPr>
              <w:rPr>
                <w:lang/>
              </w:rPr>
            </w:pPr>
            <w:r w:rsidRPr="004D0C63">
              <w:rPr>
                <w:lang/>
              </w:rPr>
              <w:t>12,25</w:t>
            </w:r>
          </w:p>
        </w:tc>
        <w:tc>
          <w:tcPr>
            <w:tcW w:w="5386" w:type="dxa"/>
          </w:tcPr>
          <w:p w14:paraId="02773C10" w14:textId="555EC44F" w:rsidR="009B3AA4" w:rsidRPr="004D0C63" w:rsidRDefault="009B3AA4" w:rsidP="00F85C35">
            <w:r w:rsidRPr="004D0C63">
              <w:fldChar w:fldCharType="begin"/>
            </w:r>
            <w:r w:rsidRPr="004D0C63">
              <w:instrText xml:space="preserve"> ADDIN ZOTERO_ITEM CSL_CITATION {"citationID":"n6xTO2BE","properties":{"unsorted":false,"formattedCitation":"(Wagner et al., 2022; Wipr\\uc0\\u228{}chtiger et al., 2022)","plainCitation":"(Wagner et al., 2022; Wiprächtiger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id":83,"uris":["http://zotero.org/users/16823286/items/YU6MV7PD"],"itemData":{"id":83,"type":"article-journal","abstract":"According to the waste hierarchy, waste prevention is environmentally superior to recycling or recovery, hence its inclusion in government policy. The assessment and prioritization of waste prevention strategies are impeded, inter alia, by ambiguous definitions and the lack of a sound environmental assessment method. In this study, a systematic approach to the environmental assessment of waste prevention activities (WPAs), covering the whole life cycle of products, was developed. The approach combines material flow analysis and life cycle assessment with a sustainable circular system design framework whilst giving special consideration to pivotal factors such as diffusion factor (share of population engaging in WPA), substitutability (degree to which a new product is replaced), effects on use-phase impacts, and rebound effects. The application of the approach to the case studies of clothing and household furniture in Switzerland revealed lower impact saving potential than assumed initially, due to lack of participation, low substitutability, or high rebounds. For example, reusing clothing locally, instead of exporting it to low-income countries, as currently done, displayed no or even negative impact savings since secondhand clothing in high-income countries is often consumed in addition to new clothing. Drastic scenarios for clothes led to only moderate impact reductions of less than 15%, whereas a take-back scheme for furniture reduced impacts by 70%. Concluding, the four factors (diffusion rate, substitutability, effects on use-phase impacts, and rebounds) proved crucial in the assessment of waste prevention strategies and the approach presented was able to pinpoint improvement potentials of the waste prevention scenarios investigated.","container-title":"Journal of Industrial Ecology","DOI":"10.1111/jiec.13275","ISSN":"1530-9290","issue":"4","language":"en","note":"_eprint: https://onlinelibrary.wiley.com/doi/pdf/10.1111/jiec.13275","page":"1389-1405","source":"Wiley Online Library","title":"Turning trash into treasure: An approach to the environmental assessment of waste prevention and its application to clothing and furniture in Switzerland","title-short":"Turning trash into treasure","volume":"26","author":[{"family":"Wiprächtiger","given":"Maja"},{"family":"Rapp","given":"Martina"},{"family":"Hellweg","given":"Stefanie"},{"family":"Shinde","given":"Rhythima"},{"family":"Haupt","given":"Melanie"}],"issued":{"date-parts":[["2022"]]}}}],"schema":"https://github.com/citation-style-language/schema/raw/master/csl-citation.json"} </w:instrText>
            </w:r>
            <w:r w:rsidRPr="004D0C63">
              <w:fldChar w:fldCharType="separate"/>
            </w:r>
            <w:r w:rsidRPr="004D0C63">
              <w:t>(Wagner et al., 2022; Wiprächtiger et al., 2022)</w:t>
            </w:r>
            <w:r w:rsidRPr="004D0C63">
              <w:fldChar w:fldCharType="end"/>
            </w:r>
          </w:p>
        </w:tc>
      </w:tr>
      <w:tr w:rsidR="009B3AA4" w:rsidRPr="004D0C63" w14:paraId="3ABF4E25" w14:textId="6E6E8274" w:rsidTr="376C0789">
        <w:trPr>
          <w:trHeight w:val="315"/>
        </w:trPr>
        <w:tc>
          <w:tcPr>
            <w:tcW w:w="986" w:type="dxa"/>
            <w:noWrap/>
            <w:hideMark/>
          </w:tcPr>
          <w:p w14:paraId="511835B0" w14:textId="77777777" w:rsidR="009B3AA4" w:rsidRPr="004D0C63" w:rsidRDefault="009B3AA4" w:rsidP="00F85C35">
            <w:pPr>
              <w:rPr>
                <w:lang/>
              </w:rPr>
            </w:pPr>
            <w:r w:rsidRPr="004D0C63">
              <w:rPr>
                <w:lang/>
              </w:rPr>
              <w:t>940360</w:t>
            </w:r>
          </w:p>
        </w:tc>
        <w:tc>
          <w:tcPr>
            <w:tcW w:w="1368" w:type="dxa"/>
            <w:noWrap/>
            <w:hideMark/>
          </w:tcPr>
          <w:p w14:paraId="28D089D7" w14:textId="77777777" w:rsidR="009B3AA4" w:rsidRPr="004D0C63" w:rsidRDefault="009B3AA4" w:rsidP="00F85C35">
            <w:pPr>
              <w:rPr>
                <w:lang/>
              </w:rPr>
            </w:pPr>
            <w:r w:rsidRPr="004D0C63">
              <w:rPr>
                <w:lang/>
              </w:rPr>
              <w:t>31091300</w:t>
            </w:r>
          </w:p>
        </w:tc>
        <w:tc>
          <w:tcPr>
            <w:tcW w:w="5296" w:type="dxa"/>
            <w:hideMark/>
          </w:tcPr>
          <w:p w14:paraId="6344BBF8" w14:textId="7996653C" w:rsidR="009B3AA4" w:rsidRPr="004D0C63" w:rsidRDefault="009B3AA4" w:rsidP="00F85C35">
            <w:pPr>
              <w:rPr>
                <w:lang/>
              </w:rPr>
            </w:pPr>
            <w:r w:rsidRPr="004D0C63">
              <w:rPr>
                <w:lang/>
              </w:rPr>
              <w:t xml:space="preserve">Other wooden furniture </w:t>
            </w:r>
          </w:p>
        </w:tc>
        <w:tc>
          <w:tcPr>
            <w:tcW w:w="283" w:type="dxa"/>
            <w:noWrap/>
            <w:hideMark/>
          </w:tcPr>
          <w:p w14:paraId="5EEC0224" w14:textId="77777777" w:rsidR="009B3AA4" w:rsidRPr="004D0C63" w:rsidRDefault="009B3AA4" w:rsidP="00F85C35">
            <w:pPr>
              <w:rPr>
                <w:lang/>
              </w:rPr>
            </w:pPr>
            <w:r w:rsidRPr="004D0C63">
              <w:rPr>
                <w:lang/>
              </w:rPr>
              <w:t>2,2</w:t>
            </w:r>
          </w:p>
        </w:tc>
        <w:tc>
          <w:tcPr>
            <w:tcW w:w="851" w:type="dxa"/>
            <w:noWrap/>
            <w:hideMark/>
          </w:tcPr>
          <w:p w14:paraId="6C97B554" w14:textId="77777777" w:rsidR="009B3AA4" w:rsidRPr="004D0C63" w:rsidRDefault="009B3AA4" w:rsidP="00F85C35">
            <w:pPr>
              <w:rPr>
                <w:lang/>
              </w:rPr>
            </w:pPr>
            <w:r w:rsidRPr="004D0C63">
              <w:rPr>
                <w:lang/>
              </w:rPr>
              <w:t>9,00</w:t>
            </w:r>
          </w:p>
        </w:tc>
        <w:tc>
          <w:tcPr>
            <w:tcW w:w="5386" w:type="dxa"/>
          </w:tcPr>
          <w:p w14:paraId="208F881D" w14:textId="22A5D668" w:rsidR="009B3AA4" w:rsidRPr="004D0C63" w:rsidRDefault="009B3AA4" w:rsidP="00F85C35">
            <w:pPr>
              <w:rPr>
                <w:lang/>
              </w:rPr>
            </w:pPr>
            <w:r w:rsidRPr="004D0C63">
              <w:fldChar w:fldCharType="begin"/>
            </w:r>
            <w:r w:rsidRPr="004D0C63">
              <w:instrText xml:space="preserve"> ADDIN ZOTERO_ITEM CSL_CITATION {"citationID":"c2BtptfS","properties":{"unsorted":false,"formattedCitation":"(Wipr\\uc0\\u228{}chtiger et al., 2022)","plainCitation":"(Wiprächtiger et al., 2022)","noteIndex":0},"citationItems":[{"id":83,"uris":["http://zotero.org/users/16823286/items/YU6MV7PD"],"itemData":{"id":83,"type":"article-journal","abstract":"According to the waste hierarchy, waste prevention is environmentally superior to recycling or recovery, hence its inclusion in government policy. The assessment and prioritization of waste prevention strategies are impeded, inter alia, by ambiguous definitions and the lack of a sound environmental assessment method. In this study, a systematic approach to the environmental assessment of waste prevention activities (WPAs), covering the whole life cycle of products, was developed. The approach combines material flow analysis and life cycle assessment with a sustainable circular system design framework whilst giving special consideration to pivotal factors such as diffusion factor (share of population engaging in WPA), substitutability (degree to which a new product is replaced), effects on use-phase impacts, and rebound effects. The application of the approach to the case studies of clothing and household furniture in Switzerland revealed lower impact saving potential than assumed initially, due to lack of participation, low substitutability, or high rebounds. For example, reusing clothing locally, instead of exporting it to low-income countries, as currently done, displayed no or even negative impact savings since secondhand clothing in high-income countries is often consumed in addition to new clothing. Drastic scenarios for clothes led to only moderate impact reductions of less than 15%, whereas a take-back scheme for furniture reduced impacts by 70%. Concluding, the four factors (diffusion rate, substitutability, effects on use-phase impacts, and rebounds) proved crucial in the assessment of waste prevention strategies and the approach presented was able to pinpoint improvement potentials of the waste prevention scenarios investigated.","container-title":"Journal of Industrial Ecology","DOI":"10.1111/jiec.13275","ISSN":"1530-9290","issue":"4","language":"en","note":"_eprint: https://onlinelibrary.wiley.com/doi/pdf/10.1111/jiec.13275","page":"1389-1405","source":"Wiley Online Library","title":"Turning trash into treasure: An approach to the environmental assessment of waste prevention and its application to clothing and furniture in Switzerland","title-short":"Turning trash into treasure","volume":"26","author":[{"family":"Wiprächtiger","given":"Maja"},{"family":"Rapp","given":"Martina"},{"family":"Hellweg","given":"Stefanie"},{"family":"Shinde","given":"Rhythima"},{"family":"Haupt","given":"Melanie"}],"issued":{"date-parts":[["2022"]]}}}],"schema":"https://github.com/citation-style-language/schema/raw/master/csl-citation.json"} </w:instrText>
            </w:r>
            <w:r w:rsidRPr="004D0C63">
              <w:fldChar w:fldCharType="separate"/>
            </w:r>
            <w:r w:rsidRPr="004D0C63">
              <w:t>(Wiprächtiger et al., 2022)</w:t>
            </w:r>
            <w:r w:rsidRPr="004D0C63">
              <w:fldChar w:fldCharType="end"/>
            </w:r>
          </w:p>
        </w:tc>
      </w:tr>
      <w:tr w:rsidR="009B3AA4" w:rsidRPr="004D0C63" w14:paraId="02E698A9" w14:textId="1B71DC77" w:rsidTr="376C0789">
        <w:trPr>
          <w:trHeight w:val="315"/>
        </w:trPr>
        <w:tc>
          <w:tcPr>
            <w:tcW w:w="986" w:type="dxa"/>
            <w:noWrap/>
            <w:hideMark/>
          </w:tcPr>
          <w:p w14:paraId="5825BAD4" w14:textId="77777777" w:rsidR="009B3AA4" w:rsidRPr="004D0C63" w:rsidRDefault="009B3AA4" w:rsidP="00F85C35">
            <w:pPr>
              <w:rPr>
                <w:lang/>
              </w:rPr>
            </w:pPr>
            <w:r w:rsidRPr="004D0C63">
              <w:rPr>
                <w:lang/>
              </w:rPr>
              <w:t>940340</w:t>
            </w:r>
          </w:p>
        </w:tc>
        <w:tc>
          <w:tcPr>
            <w:tcW w:w="1368" w:type="dxa"/>
            <w:noWrap/>
            <w:hideMark/>
          </w:tcPr>
          <w:p w14:paraId="3A7D4B9B" w14:textId="77777777" w:rsidR="009B3AA4" w:rsidRPr="004D0C63" w:rsidRDefault="009B3AA4" w:rsidP="00F85C35">
            <w:pPr>
              <w:rPr>
                <w:lang/>
              </w:rPr>
            </w:pPr>
            <w:r w:rsidRPr="004D0C63">
              <w:rPr>
                <w:lang/>
              </w:rPr>
              <w:t>31021000</w:t>
            </w:r>
          </w:p>
        </w:tc>
        <w:tc>
          <w:tcPr>
            <w:tcW w:w="5296" w:type="dxa"/>
            <w:hideMark/>
          </w:tcPr>
          <w:p w14:paraId="73CA450F" w14:textId="77777777" w:rsidR="009B3AA4" w:rsidRPr="004D0C63" w:rsidRDefault="009B3AA4" w:rsidP="00F85C35">
            <w:pPr>
              <w:rPr>
                <w:lang/>
              </w:rPr>
            </w:pPr>
            <w:r w:rsidRPr="004D0C63">
              <w:rPr>
                <w:lang/>
              </w:rPr>
              <w:t>Kitchen furniture</w:t>
            </w:r>
          </w:p>
        </w:tc>
        <w:tc>
          <w:tcPr>
            <w:tcW w:w="283" w:type="dxa"/>
            <w:noWrap/>
            <w:hideMark/>
          </w:tcPr>
          <w:p w14:paraId="31C842CA" w14:textId="77777777" w:rsidR="009B3AA4" w:rsidRPr="004D0C63" w:rsidRDefault="009B3AA4" w:rsidP="00F85C35">
            <w:pPr>
              <w:rPr>
                <w:lang/>
              </w:rPr>
            </w:pPr>
            <w:r w:rsidRPr="004D0C63">
              <w:rPr>
                <w:lang/>
              </w:rPr>
              <w:t>2,47</w:t>
            </w:r>
          </w:p>
        </w:tc>
        <w:tc>
          <w:tcPr>
            <w:tcW w:w="851" w:type="dxa"/>
            <w:noWrap/>
            <w:hideMark/>
          </w:tcPr>
          <w:p w14:paraId="0E6364F8" w14:textId="77777777" w:rsidR="009B3AA4" w:rsidRPr="004D0C63" w:rsidRDefault="009B3AA4" w:rsidP="00F85C35">
            <w:pPr>
              <w:rPr>
                <w:lang/>
              </w:rPr>
            </w:pPr>
            <w:r w:rsidRPr="004D0C63">
              <w:rPr>
                <w:lang/>
              </w:rPr>
              <w:t>20,00</w:t>
            </w:r>
          </w:p>
        </w:tc>
        <w:tc>
          <w:tcPr>
            <w:tcW w:w="5386" w:type="dxa"/>
          </w:tcPr>
          <w:p w14:paraId="7A238530" w14:textId="7682DE6F" w:rsidR="009B3AA4" w:rsidRPr="004D0C63" w:rsidRDefault="00730732" w:rsidP="00F85C35">
            <w:pPr>
              <w:rPr>
                <w:lang/>
              </w:rPr>
            </w:pPr>
            <w:r w:rsidRPr="004D0C63">
              <w:fldChar w:fldCharType="begin"/>
            </w:r>
            <w:r w:rsidR="00121B53" w:rsidRPr="004D0C63">
              <w:instrText xml:space="preserve"> ADDIN ZOTERO_ITEM CSL_CITATION {"citationID":"aw5avsf6","properties":{"unsorted":false,"formattedCitation":"(Aloco Kitchens, 2025; Hoxha &amp; Jusselme, 2017; Wagner et al., 2022)","plainCitation":"(Aloco Kitchens, 2025; Hoxha &amp; Jusselme, 2017; Wagner et al., 2022)","noteIndex":0},"citationItems":[{"id":1546,"uris":["http://zotero.org/users/16823286/items/KPMBK64L"],"itemData":{"id":1546,"type":"webpage","abstract":"Your kitchen cabinets work hard every day. They store your pots, pans, and food. You want them to be reliable and long-lasting. Understanding the kitchen","language":"en-GB","note":"section: Uncategorized","title":"How Long Do Kitchen Cabinets Last? A Guide To Cabinet Lifespan","title-short":"How Long Do Kitchen Cabinets Last?","URL":"https://alocokitchens.ie/how-long-do-kitchen-cabinets/","author":[{"literal":"Aloco Kitchens"}],"accessed":{"date-parts":[["2026",6,15]]},"issued":{"date-parts":[["2025",8,8]]}}},{"id":72,"uris":["http://zotero.org/users/16823286/items/394BMTRN"],"itemData":{"id":72,"type":"article-journal","container-title":"Science of The Total Environment","DOI":"10.1016/j.scitotenv.2017.03.107","ISSN":"00489697","journalAbbreviation":"Science of The Total Environment","language":"en","page":"405-416","source":"DOI.org (Crossref)","title":"On the necessity of improving the environmental impacts of furniture and appliances in net-zero energy buildings","volume":"596-597","author":[{"family":"Hoxha","given":"Endrit"},{"family":"Jusselme","given":"Thomas"}],"issued":{"date-parts":[["2017",10]]}}},{"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fldChar w:fldCharType="separate"/>
            </w:r>
            <w:r w:rsidR="00121B53" w:rsidRPr="004D0C63">
              <w:rPr>
                <w:rFonts w:ascii="Aptos" w:hAnsi="Aptos"/>
              </w:rPr>
              <w:t>(Aloco Kitchens, 2025; Hoxha &amp; Jusselme, 2017; Wagner et al., 2022)</w:t>
            </w:r>
            <w:r w:rsidRPr="004D0C63">
              <w:fldChar w:fldCharType="end"/>
            </w:r>
          </w:p>
        </w:tc>
      </w:tr>
      <w:tr w:rsidR="009B3AA4" w:rsidRPr="004D0C63" w14:paraId="356B96F1" w14:textId="6ED5977C" w:rsidTr="376C0789">
        <w:trPr>
          <w:trHeight w:val="315"/>
        </w:trPr>
        <w:tc>
          <w:tcPr>
            <w:tcW w:w="986" w:type="dxa"/>
            <w:noWrap/>
            <w:hideMark/>
          </w:tcPr>
          <w:p w14:paraId="637B41CA" w14:textId="77777777" w:rsidR="009B3AA4" w:rsidRPr="004D0C63" w:rsidRDefault="009B3AA4" w:rsidP="00F85C35">
            <w:pPr>
              <w:rPr>
                <w:lang/>
              </w:rPr>
            </w:pPr>
            <w:r w:rsidRPr="004D0C63">
              <w:rPr>
                <w:lang/>
              </w:rPr>
              <w:t>940410</w:t>
            </w:r>
          </w:p>
        </w:tc>
        <w:tc>
          <w:tcPr>
            <w:tcW w:w="1368" w:type="dxa"/>
            <w:noWrap/>
            <w:hideMark/>
          </w:tcPr>
          <w:p w14:paraId="0A97DDA5" w14:textId="77777777" w:rsidR="009B3AA4" w:rsidRPr="004D0C63" w:rsidRDefault="009B3AA4" w:rsidP="00F85C35">
            <w:pPr>
              <w:rPr>
                <w:lang/>
              </w:rPr>
            </w:pPr>
            <w:r w:rsidRPr="004D0C63">
              <w:rPr>
                <w:lang/>
              </w:rPr>
              <w:t>31031100</w:t>
            </w:r>
          </w:p>
        </w:tc>
        <w:tc>
          <w:tcPr>
            <w:tcW w:w="5296" w:type="dxa"/>
            <w:hideMark/>
          </w:tcPr>
          <w:p w14:paraId="7F1EC5B3" w14:textId="19B6B7FE" w:rsidR="009B3AA4" w:rsidRPr="004D0C63" w:rsidRDefault="009B3AA4" w:rsidP="00F85C35">
            <w:pPr>
              <w:rPr>
                <w:lang/>
              </w:rPr>
            </w:pPr>
            <w:r w:rsidRPr="004D0C63">
              <w:rPr>
                <w:lang/>
              </w:rPr>
              <w:t xml:space="preserve">Mattress supports </w:t>
            </w:r>
          </w:p>
        </w:tc>
        <w:tc>
          <w:tcPr>
            <w:tcW w:w="283" w:type="dxa"/>
            <w:noWrap/>
            <w:hideMark/>
          </w:tcPr>
          <w:p w14:paraId="5A935E29" w14:textId="77777777" w:rsidR="009B3AA4" w:rsidRPr="004D0C63" w:rsidRDefault="009B3AA4" w:rsidP="00F85C35">
            <w:pPr>
              <w:rPr>
                <w:lang/>
              </w:rPr>
            </w:pPr>
            <w:r w:rsidRPr="004D0C63">
              <w:rPr>
                <w:lang/>
              </w:rPr>
              <w:t>2,47</w:t>
            </w:r>
          </w:p>
        </w:tc>
        <w:tc>
          <w:tcPr>
            <w:tcW w:w="851" w:type="dxa"/>
            <w:noWrap/>
            <w:hideMark/>
          </w:tcPr>
          <w:p w14:paraId="4F510CCC" w14:textId="77777777" w:rsidR="009B3AA4" w:rsidRPr="004D0C63" w:rsidRDefault="009B3AA4" w:rsidP="00F85C35">
            <w:pPr>
              <w:rPr>
                <w:lang/>
              </w:rPr>
            </w:pPr>
            <w:r w:rsidRPr="004D0C63">
              <w:rPr>
                <w:lang/>
              </w:rPr>
              <w:t>10,00</w:t>
            </w:r>
          </w:p>
        </w:tc>
        <w:tc>
          <w:tcPr>
            <w:tcW w:w="5386" w:type="dxa"/>
          </w:tcPr>
          <w:p w14:paraId="1321526E" w14:textId="687A3207" w:rsidR="009B3AA4" w:rsidRPr="004D0C63" w:rsidRDefault="009B3AA4" w:rsidP="00F85C35">
            <w:pPr>
              <w:rPr>
                <w:lang/>
              </w:rPr>
            </w:pPr>
            <w:r w:rsidRPr="004D0C63">
              <w:t>(Sleep Republic, n.d.)</w:t>
            </w:r>
          </w:p>
        </w:tc>
      </w:tr>
      <w:tr w:rsidR="009B3AA4" w:rsidRPr="004D0C63" w14:paraId="72204899" w14:textId="27E8260B" w:rsidTr="376C0789">
        <w:trPr>
          <w:trHeight w:val="315"/>
        </w:trPr>
        <w:tc>
          <w:tcPr>
            <w:tcW w:w="986" w:type="dxa"/>
            <w:noWrap/>
            <w:hideMark/>
          </w:tcPr>
          <w:p w14:paraId="7B8A7B61" w14:textId="77777777" w:rsidR="009B3AA4" w:rsidRPr="004D0C63" w:rsidRDefault="009B3AA4" w:rsidP="00F85C35">
            <w:pPr>
              <w:rPr>
                <w:lang/>
              </w:rPr>
            </w:pPr>
            <w:r w:rsidRPr="004D0C63">
              <w:rPr>
                <w:lang/>
              </w:rPr>
              <w:t>940421</w:t>
            </w:r>
          </w:p>
        </w:tc>
        <w:tc>
          <w:tcPr>
            <w:tcW w:w="1368" w:type="dxa"/>
            <w:noWrap/>
            <w:hideMark/>
          </w:tcPr>
          <w:p w14:paraId="0AAC44A8" w14:textId="77777777" w:rsidR="009B3AA4" w:rsidRPr="004D0C63" w:rsidRDefault="009B3AA4" w:rsidP="00F85C35">
            <w:pPr>
              <w:rPr>
                <w:lang/>
              </w:rPr>
            </w:pPr>
            <w:r w:rsidRPr="004D0C63">
              <w:rPr>
                <w:lang/>
              </w:rPr>
              <w:t>31031230</w:t>
            </w:r>
          </w:p>
        </w:tc>
        <w:tc>
          <w:tcPr>
            <w:tcW w:w="5296" w:type="dxa"/>
            <w:hideMark/>
          </w:tcPr>
          <w:p w14:paraId="0DD2A3CC" w14:textId="11BD553B" w:rsidR="009B3AA4" w:rsidRPr="004D0C63" w:rsidRDefault="009B3AA4" w:rsidP="00F85C35">
            <w:pPr>
              <w:rPr>
                <w:lang/>
              </w:rPr>
            </w:pPr>
            <w:r w:rsidRPr="004D0C63">
              <w:rPr>
                <w:lang/>
              </w:rPr>
              <w:t xml:space="preserve">Mattresses of cellular rubber </w:t>
            </w:r>
          </w:p>
        </w:tc>
        <w:tc>
          <w:tcPr>
            <w:tcW w:w="283" w:type="dxa"/>
            <w:noWrap/>
            <w:hideMark/>
          </w:tcPr>
          <w:p w14:paraId="64E27684" w14:textId="77777777" w:rsidR="009B3AA4" w:rsidRPr="004D0C63" w:rsidRDefault="009B3AA4" w:rsidP="00F85C35">
            <w:pPr>
              <w:rPr>
                <w:lang/>
              </w:rPr>
            </w:pPr>
            <w:r w:rsidRPr="004D0C63">
              <w:rPr>
                <w:lang/>
              </w:rPr>
              <w:t>2,47</w:t>
            </w:r>
          </w:p>
        </w:tc>
        <w:tc>
          <w:tcPr>
            <w:tcW w:w="851" w:type="dxa"/>
            <w:noWrap/>
            <w:hideMark/>
          </w:tcPr>
          <w:p w14:paraId="3F459B81" w14:textId="77777777" w:rsidR="009B3AA4" w:rsidRPr="004D0C63" w:rsidRDefault="009B3AA4" w:rsidP="00F85C35">
            <w:pPr>
              <w:rPr>
                <w:lang/>
              </w:rPr>
            </w:pPr>
            <w:r w:rsidRPr="004D0C63">
              <w:rPr>
                <w:lang/>
              </w:rPr>
              <w:t>10,00</w:t>
            </w:r>
          </w:p>
        </w:tc>
        <w:tc>
          <w:tcPr>
            <w:tcW w:w="5386" w:type="dxa"/>
          </w:tcPr>
          <w:p w14:paraId="10083CA9" w14:textId="02ED5009" w:rsidR="009B3AA4" w:rsidRPr="004D0C63" w:rsidRDefault="009B3AA4" w:rsidP="00F85C35">
            <w:r w:rsidRPr="004D0C63">
              <w:fldChar w:fldCharType="begin"/>
            </w:r>
            <w:r w:rsidRPr="004D0C63">
              <w:instrText xml:space="preserve"> ADDIN ZOTERO_ITEM CSL_CITATION {"citationID":"itYCMf4e","properties":{"unsorted":false,"formattedCitation":"(Arias Madero et al., 2025; Lano\\uc0\\u235{} et al., 2013)","plainCitation":"(Arias Madero et al., 2025; Lanoë et al., 2013)","noteIndex":0},"citationItems":[{"id":67,"uris":["http://zotero.org/users/16823286/items/LQ4QWP7K"],"itemData":{"id":67,"type":"article-journal","abstract":"Mattresses represent one of the most widespread and problematic bulky waste streams worldwide, due to their unavoidable daily use, their high presence in municipal solid waste flows, and the complexity of their end-of-life management. Their heterogeneous composition—combining polyurethane foams, textiles, metal springs, and adhesives—makes separation and recovery difficult, leading many discarded mattresses to end up in landfills or incinerators, with associated greenhouse gas emissions and the loss of valuable secondary resources. Within this context, recycling emerges as a priority alternative under the circular economy framework, enabling material recovery and reducing reliance on traditional disposal methods. Among current options, mechanical recycling is especially promising, as it provides energy savings and lower emissions compared to thermal treatments. However, its large-scale implementation requires improvements in product design, collection logistics, and regulatory frameworks to address existing challenges. This article provides a critical review of the current state of mattress recycling and valorization, examining technological advances, environmental impacts, and systemic barriers. It also highlights successful initiatives in the hospitality and healthcare sectors, which illustrate the potential of circular strategies to transform bulky waste management and promote sustainable material flows.","container-title":"Sustainability","DOI":"10.3390/su17188371","ISSN":"2071-1050","issue":"18","language":"en","license":"http://creativecommons.org/licenses/by/3.0/","note":"publisher: Multidisciplinary Digital Publishing Institute","page":"8371","source":"www.mdpi.com","title":"Discarded Mattresses: From Environmental Problem to Recoverable Resource","title-short":"Discarded Mattresses","volume":"17","author":[{"family":"Arias Madero","given":"Javier"},{"family":"Balmori Roiz","given":"Jose Antonio"},{"family":"Basterra Otero","given":"Luis-Alfonso"},{"family":"Diaz Gonzalez","given":"Iker"}],"issued":{"date-parts":[["2025",1]]}}},{"id":68,"uris":["http://zotero.org/users/16823286/items/3Z8726YS"],"itemData":{"id":68,"type":"article-journal","abstract":"Improvement of the environmental performance of processes and products is a common objective in industry, and has been receiving increased attention in recent years. The main objective of this work is to evaluate the potential environmental impact of two bedding products, a polyurethane foam mattress (PFM) and a pocket spring mattress (PSM). These two types are the most common mattresses used in Europe. A Life Cycle Assessment (LCA) shows that the PFM has a higher environmental impact than the PSM. For both products the main cause of environmental impact is the manufacturing process, respectively the polyurethane foam block moulding process for the PFM, and the pocket spring nucleus process for the PSM. A scenario analysis shows the possibility of reducing the environmental impact of the products’ life cycle using an alternative End-of-Life scenario, resorting to incineration rather than landﬁll. Two strategies were also studied in order to reduce the environmental impact of the PFM: (1) reutilization of foam that was sent to the waste system management, and (2) a 20% weight reduction of the polyurethane foam. The second strategy has proven to be the most effective.","container-title":"Journal of Cleaner Production","DOI":"10.1016/j.jclepro.2013.03.013","ISSN":"09596526","journalAbbreviation":"Journal of Cleaner Production","language":"en","page":"155-164","source":"DOI.org (Crossref)","title":"Improving the environmental performance of bedding products by using life cycle assessment at the design stage","volume":"52","author":[{"family":"Lanoë","given":"Thomas"},{"family":"Simões","given":"Carla L."},{"family":"Simoes","given":"Ricardo"}],"issued":{"date-parts":[["2013",8]]}}}],"schema":"https://github.com/citation-style-language/schema/raw/master/csl-citation.json"} </w:instrText>
            </w:r>
            <w:r w:rsidRPr="004D0C63">
              <w:fldChar w:fldCharType="separate"/>
            </w:r>
            <w:r w:rsidRPr="004D0C63">
              <w:t>(Arias Madero et al., 2025; Lanoë et al., 2013)</w:t>
            </w:r>
            <w:r w:rsidRPr="004D0C63">
              <w:fldChar w:fldCharType="end"/>
            </w:r>
          </w:p>
        </w:tc>
      </w:tr>
      <w:tr w:rsidR="009B3AA4" w:rsidRPr="004D0C63" w14:paraId="5F0A8C9F" w14:textId="5A02B8C4" w:rsidTr="376C0789">
        <w:trPr>
          <w:trHeight w:val="315"/>
        </w:trPr>
        <w:tc>
          <w:tcPr>
            <w:tcW w:w="986" w:type="dxa"/>
            <w:noWrap/>
            <w:hideMark/>
          </w:tcPr>
          <w:p w14:paraId="5B8E0633" w14:textId="77777777" w:rsidR="009B3AA4" w:rsidRPr="004D0C63" w:rsidRDefault="009B3AA4" w:rsidP="00F85C35">
            <w:pPr>
              <w:rPr>
                <w:lang/>
              </w:rPr>
            </w:pPr>
            <w:r w:rsidRPr="004D0C63">
              <w:rPr>
                <w:lang/>
              </w:rPr>
              <w:t>940421</w:t>
            </w:r>
          </w:p>
        </w:tc>
        <w:tc>
          <w:tcPr>
            <w:tcW w:w="1368" w:type="dxa"/>
            <w:noWrap/>
            <w:hideMark/>
          </w:tcPr>
          <w:p w14:paraId="7290ACAA" w14:textId="77777777" w:rsidR="009B3AA4" w:rsidRPr="004D0C63" w:rsidRDefault="009B3AA4" w:rsidP="00F85C35">
            <w:pPr>
              <w:rPr>
                <w:lang/>
              </w:rPr>
            </w:pPr>
            <w:r w:rsidRPr="004D0C63">
              <w:rPr>
                <w:lang/>
              </w:rPr>
              <w:t>31031250</w:t>
            </w:r>
          </w:p>
        </w:tc>
        <w:tc>
          <w:tcPr>
            <w:tcW w:w="5296" w:type="dxa"/>
            <w:hideMark/>
          </w:tcPr>
          <w:p w14:paraId="333CE34E" w14:textId="277B76A0" w:rsidR="009B3AA4" w:rsidRPr="004D0C63" w:rsidRDefault="009B3AA4" w:rsidP="00F85C35">
            <w:pPr>
              <w:rPr>
                <w:lang/>
              </w:rPr>
            </w:pPr>
            <w:r w:rsidRPr="004D0C63">
              <w:rPr>
                <w:lang/>
              </w:rPr>
              <w:t xml:space="preserve">Mattresses of cellular plastics </w:t>
            </w:r>
          </w:p>
        </w:tc>
        <w:tc>
          <w:tcPr>
            <w:tcW w:w="283" w:type="dxa"/>
            <w:noWrap/>
            <w:hideMark/>
          </w:tcPr>
          <w:p w14:paraId="41E8F064" w14:textId="77777777" w:rsidR="009B3AA4" w:rsidRPr="004D0C63" w:rsidRDefault="009B3AA4" w:rsidP="00F85C35">
            <w:pPr>
              <w:rPr>
                <w:lang/>
              </w:rPr>
            </w:pPr>
            <w:r w:rsidRPr="004D0C63">
              <w:rPr>
                <w:lang/>
              </w:rPr>
              <w:t>2,47</w:t>
            </w:r>
          </w:p>
        </w:tc>
        <w:tc>
          <w:tcPr>
            <w:tcW w:w="851" w:type="dxa"/>
            <w:noWrap/>
            <w:hideMark/>
          </w:tcPr>
          <w:p w14:paraId="5F9B0AB2" w14:textId="77777777" w:rsidR="009B3AA4" w:rsidRPr="004D0C63" w:rsidRDefault="009B3AA4" w:rsidP="00F85C35">
            <w:pPr>
              <w:rPr>
                <w:lang/>
              </w:rPr>
            </w:pPr>
            <w:r w:rsidRPr="004D0C63">
              <w:rPr>
                <w:lang/>
              </w:rPr>
              <w:t>10,00</w:t>
            </w:r>
          </w:p>
        </w:tc>
        <w:tc>
          <w:tcPr>
            <w:tcW w:w="5386" w:type="dxa"/>
          </w:tcPr>
          <w:p w14:paraId="35772B1E" w14:textId="04CD89FA" w:rsidR="009B3AA4" w:rsidRPr="004D0C63" w:rsidRDefault="009B3AA4" w:rsidP="00F85C35">
            <w:r w:rsidRPr="004D0C63">
              <w:fldChar w:fldCharType="begin"/>
            </w:r>
            <w:r w:rsidR="00730732" w:rsidRPr="004D0C63">
              <w:instrText xml:space="preserve"> ADDIN ZOTERO_ITEM CSL_CITATION {"citationID":"MkjhJV5u","properties":{"unsorted":false,"formattedCitation":"(Arias Madero et al., 2025; Lano\\uc0\\u235{} et al., 2013)","plainCitation":"(Arias Madero et al., 2025; Lanoë et al., 2013)","noteIndex":0},"citationItems":[{"id":67,"uris":["http://zotero.org/users/16823286/items/LQ4QWP7K"],"itemData":{"id":67,"type":"article-journal","abstract":"Mattresses represent one of the most widespread and problematic bulky waste streams worldwide, due to their unavoidable daily use, their high presence in municipal solid waste flows, and the complexity of their end-of-life management. Their heterogeneous composition—combining polyurethane foams, textiles, metal springs, and adhesives—makes separation and recovery difficult, leading many discarded mattresses to end up in landfills or incinerators, with associated greenhouse gas emissions and the loss of valuable secondary resources. Within this context, recycling emerges as a priority alternative under the circular economy framework, enabling material recovery and reducing reliance on traditional disposal methods. Among current options, mechanical recycling is especially promising, as it provides energy savings and lower emissions compared to thermal treatments. However, its large-scale implementation requires improvements in product design, collection logistics, and regulatory frameworks to address existing challenges. This article provides a critical review of the current state of mattress recycling and valorization, examining technological advances, environmental impacts, and systemic barriers. It also highlights successful initiatives in the hospitality and healthcare sectors, which illustrate the potential of circular strategies to transform bulky waste management and promote sustainable material flows.","container-title":"Sustainability","DOI":"10.3390/su17188371","ISSN":"2071-1050","issue":"18","language":"en","license":"http://creativecommons.org/licenses/by/3.0/","note":"publisher: Multidisciplinary Digital Publishing Institute","page":"8371","source":"www.mdpi.com","title":"Discarded Mattresses: From Environmental Problem to Recoverable Resource","title-short":"Discarded Mattresses","volume":"17","author":[{"family":"Arias Madero","given":"Javier"},{"family":"Balmori Roiz","given":"Jose Antonio"},{"family":"Basterra Otero","given":"Luis-Alfonso"},{"family":"Diaz Gonzalez","given":"Iker"}],"issued":{"date-parts":[["2025",1]]}}},{"id":68,"uris":["http://zotero.org/users/16823286/items/3Z8726YS"],"itemData":{"id":68,"type":"article-journal","abstract":"Improvement of the environmental performance of processes and products is a common objective in industry, and has been receiving increased attention in recent years. The main objective of this work is to evaluate the potential environmental impact of two bedding products, a polyurethane foam mattress (PFM) and a pocket spring mattress (PSM). These two types are the most common mattresses used in Europe. A Life Cycle Assessment (LCA) shows that the PFM has a higher environmental impact than the PSM. For both products the main cause of environmental impact is the manufacturing process, respectively the polyurethane foam block moulding process for the PFM, and the pocket spring nucleus process for the PSM. A scenario analysis shows the possibility of reducing the environmental impact of the products’ life cycle using an alternative End-of-Life scenario, resorting to incineration rather than landﬁll. Two strategies were also studied in order to reduce the environmental impact of the PFM: (1) reutilization of foam that was sent to the waste system management, and (2) a 20% weight reduction of the polyurethane foam. The second strategy has proven to be the most effective.","container-title":"Journal of Cleaner Production","DOI":"10.1016/j.jclepro.2013.03.013","ISSN":"09596526","journalAbbreviation":"Journal of Cleaner Production","language":"en","page":"155-164","source":"DOI.org (Crossref)","title":"Improving the environmental performance of bedding products by using life cycle assessment at the design stage","volume":"52","author":[{"family":"Lanoë","given":"Thomas"},{"family":"Simões","given":"Carla L."},{"family":"Simoes","given":"Ricardo"}],"issued":{"date-parts":[["2013",8]]}}}],"schema":"https://github.com/citation-style-language/schema/raw/master/csl-citation.json"} </w:instrText>
            </w:r>
            <w:r w:rsidRPr="004D0C63">
              <w:fldChar w:fldCharType="separate"/>
            </w:r>
            <w:r w:rsidRPr="004D0C63">
              <w:t>(Arias Madero et al., 2025; Lanoë et al., 2013)</w:t>
            </w:r>
            <w:r w:rsidRPr="004D0C63">
              <w:fldChar w:fldCharType="end"/>
            </w:r>
          </w:p>
        </w:tc>
      </w:tr>
      <w:tr w:rsidR="009B3AA4" w:rsidRPr="004D0C63" w14:paraId="201F58CE" w14:textId="729F2F60" w:rsidTr="376C0789">
        <w:trPr>
          <w:trHeight w:val="315"/>
        </w:trPr>
        <w:tc>
          <w:tcPr>
            <w:tcW w:w="986" w:type="dxa"/>
            <w:noWrap/>
            <w:hideMark/>
          </w:tcPr>
          <w:p w14:paraId="32C1930B" w14:textId="77777777" w:rsidR="009B3AA4" w:rsidRPr="004D0C63" w:rsidRDefault="009B3AA4" w:rsidP="00F85C35">
            <w:pPr>
              <w:rPr>
                <w:lang/>
              </w:rPr>
            </w:pPr>
            <w:r w:rsidRPr="004D0C63">
              <w:rPr>
                <w:lang/>
              </w:rPr>
              <w:t>940429</w:t>
            </w:r>
          </w:p>
        </w:tc>
        <w:tc>
          <w:tcPr>
            <w:tcW w:w="1368" w:type="dxa"/>
            <w:noWrap/>
            <w:hideMark/>
          </w:tcPr>
          <w:p w14:paraId="4732DA52" w14:textId="77777777" w:rsidR="009B3AA4" w:rsidRPr="004D0C63" w:rsidRDefault="009B3AA4" w:rsidP="00F85C35">
            <w:pPr>
              <w:rPr>
                <w:lang/>
              </w:rPr>
            </w:pPr>
            <w:r w:rsidRPr="004D0C63">
              <w:rPr>
                <w:lang/>
              </w:rPr>
              <w:t>31031270</w:t>
            </w:r>
          </w:p>
        </w:tc>
        <w:tc>
          <w:tcPr>
            <w:tcW w:w="5296" w:type="dxa"/>
            <w:hideMark/>
          </w:tcPr>
          <w:p w14:paraId="04EE6704" w14:textId="4682A8D3" w:rsidR="009B3AA4" w:rsidRPr="004D0C63" w:rsidRDefault="009B3AA4" w:rsidP="00F85C35">
            <w:pPr>
              <w:rPr>
                <w:lang/>
              </w:rPr>
            </w:pPr>
            <w:r w:rsidRPr="004D0C63">
              <w:rPr>
                <w:lang/>
              </w:rPr>
              <w:t xml:space="preserve">Mattresses with spring interiors </w:t>
            </w:r>
          </w:p>
        </w:tc>
        <w:tc>
          <w:tcPr>
            <w:tcW w:w="283" w:type="dxa"/>
            <w:noWrap/>
            <w:hideMark/>
          </w:tcPr>
          <w:p w14:paraId="48F2B528" w14:textId="77777777" w:rsidR="009B3AA4" w:rsidRPr="004D0C63" w:rsidRDefault="009B3AA4" w:rsidP="00F85C35">
            <w:pPr>
              <w:rPr>
                <w:lang/>
              </w:rPr>
            </w:pPr>
            <w:r w:rsidRPr="004D0C63">
              <w:rPr>
                <w:lang/>
              </w:rPr>
              <w:t>2,47</w:t>
            </w:r>
          </w:p>
        </w:tc>
        <w:tc>
          <w:tcPr>
            <w:tcW w:w="851" w:type="dxa"/>
            <w:noWrap/>
            <w:hideMark/>
          </w:tcPr>
          <w:p w14:paraId="3E965EC9" w14:textId="77777777" w:rsidR="009B3AA4" w:rsidRPr="004D0C63" w:rsidRDefault="009B3AA4" w:rsidP="00F85C35">
            <w:pPr>
              <w:rPr>
                <w:lang/>
              </w:rPr>
            </w:pPr>
            <w:r w:rsidRPr="004D0C63">
              <w:rPr>
                <w:lang/>
              </w:rPr>
              <w:t>10,00</w:t>
            </w:r>
          </w:p>
        </w:tc>
        <w:tc>
          <w:tcPr>
            <w:tcW w:w="5386" w:type="dxa"/>
          </w:tcPr>
          <w:p w14:paraId="5FE96A16" w14:textId="30353E48" w:rsidR="009B3AA4" w:rsidRPr="004D0C63" w:rsidRDefault="009B3AA4" w:rsidP="00F85C35">
            <w:r w:rsidRPr="004D0C63">
              <w:fldChar w:fldCharType="begin"/>
            </w:r>
            <w:r w:rsidR="00730732" w:rsidRPr="004D0C63">
              <w:instrText xml:space="preserve"> ADDIN ZOTERO_ITEM CSL_CITATION {"citationID":"CSuIsMKp","properties":{"unsorted":false,"formattedCitation":"(Arias Madero et al., 2025; Lano\\uc0\\u235{} et al., 2013)","plainCitation":"(Arias Madero et al., 2025; Lanoë et al., 2013)","noteIndex":0},"citationItems":[{"id":67,"uris":["http://zotero.org/users/16823286/items/LQ4QWP7K"],"itemData":{"id":67,"type":"article-journal","abstract":"Mattresses represent one of the most widespread and problematic bulky waste streams worldwide, due to their unavoidable daily use, their high presence in municipal solid waste flows, and the complexity of their end-of-life management. Their heterogeneous composition—combining polyurethane foams, textiles, metal springs, and adhesives—makes separation and recovery difficult, leading many discarded mattresses to end up in landfills or incinerators, with associated greenhouse gas emissions and the loss of valuable secondary resources. Within this context, recycling emerges as a priority alternative under the circular economy framework, enabling material recovery and reducing reliance on traditional disposal methods. Among current options, mechanical recycling is especially promising, as it provides energy savings and lower emissions compared to thermal treatments. However, its large-scale implementation requires improvements in product design, collection logistics, and regulatory frameworks to address existing challenges. This article provides a critical review of the current state of mattress recycling and valorization, examining technological advances, environmental impacts, and systemic barriers. It also highlights successful initiatives in the hospitality and healthcare sectors, which illustrate the potential of circular strategies to transform bulky waste management and promote sustainable material flows.","container-title":"Sustainability","DOI":"10.3390/su17188371","ISSN":"2071-1050","issue":"18","language":"en","license":"http://creativecommons.org/licenses/by/3.0/","note":"publisher: Multidisciplinary Digital Publishing Institute","page":"8371","source":"www.mdpi.com","title":"Discarded Mattresses: From Environmental Problem to Recoverable Resource","title-short":"Discarded Mattresses","volume":"17","author":[{"family":"Arias Madero","given":"Javier"},{"family":"Balmori Roiz","given":"Jose Antonio"},{"family":"Basterra Otero","given":"Luis-Alfonso"},{"family":"Diaz Gonzalez","given":"Iker"}],"issued":{"date-parts":[["2025",1]]}}},{"id":68,"uris":["http://zotero.org/users/16823286/items/3Z8726YS"],"itemData":{"id":68,"type":"article-journal","abstract":"Improvement of the environmental performance of processes and products is a common objective in industry, and has been receiving increased attention in recent years. The main objective of this work is to evaluate the potential environmental impact of two bedding products, a polyurethane foam mattress (PFM) and a pocket spring mattress (PSM). These two types are the most common mattresses used in Europe. A Life Cycle Assessment (LCA) shows that the PFM has a higher environmental impact than the PSM. For both products the main cause of environmental impact is the manufacturing process, respectively the polyurethane foam block moulding process for the PFM, and the pocket spring nucleus process for the PSM. A scenario analysis shows the possibility of reducing the environmental impact of the products’ life cycle using an alternative End-of-Life scenario, resorting to incineration rather than landﬁll. Two strategies were also studied in order to reduce the environmental impact of the PFM: (1) reutilization of foam that was sent to the waste system management, and (2) a 20% weight reduction of the polyurethane foam. The second strategy has proven to be the most effective.","container-title":"Journal of Cleaner Production","DOI":"10.1016/j.jclepro.2013.03.013","ISSN":"09596526","journalAbbreviation":"Journal of Cleaner Production","language":"en","page":"155-164","source":"DOI.org (Crossref)","title":"Improving the environmental performance of bedding products by using life cycle assessment at the design stage","volume":"52","author":[{"family":"Lanoë","given":"Thomas"},{"family":"Simões","given":"Carla L."},{"family":"Simoes","given":"Ricardo"}],"issued":{"date-parts":[["2013",8]]}}}],"schema":"https://github.com/citation-style-language/schema/raw/master/csl-citation.json"} </w:instrText>
            </w:r>
            <w:r w:rsidRPr="004D0C63">
              <w:fldChar w:fldCharType="separate"/>
            </w:r>
            <w:r w:rsidRPr="004D0C63">
              <w:t>(Arias Madero et al., 2025; Lanoë et al., 2013)</w:t>
            </w:r>
            <w:r w:rsidRPr="004D0C63">
              <w:fldChar w:fldCharType="end"/>
            </w:r>
          </w:p>
        </w:tc>
      </w:tr>
      <w:tr w:rsidR="009B3AA4" w:rsidRPr="004D0C63" w14:paraId="0AC782C8" w14:textId="3B0C7370" w:rsidTr="376C0789">
        <w:trPr>
          <w:trHeight w:val="315"/>
        </w:trPr>
        <w:tc>
          <w:tcPr>
            <w:tcW w:w="986" w:type="dxa"/>
            <w:noWrap/>
            <w:hideMark/>
          </w:tcPr>
          <w:p w14:paraId="6D9E98C5" w14:textId="77777777" w:rsidR="009B3AA4" w:rsidRPr="004D0C63" w:rsidRDefault="009B3AA4" w:rsidP="00F85C35">
            <w:pPr>
              <w:rPr>
                <w:lang/>
              </w:rPr>
            </w:pPr>
            <w:r w:rsidRPr="004D0C63">
              <w:rPr>
                <w:lang/>
              </w:rPr>
              <w:t>940429</w:t>
            </w:r>
          </w:p>
        </w:tc>
        <w:tc>
          <w:tcPr>
            <w:tcW w:w="1368" w:type="dxa"/>
            <w:noWrap/>
            <w:hideMark/>
          </w:tcPr>
          <w:p w14:paraId="7857B7C5" w14:textId="77777777" w:rsidR="009B3AA4" w:rsidRPr="004D0C63" w:rsidRDefault="009B3AA4" w:rsidP="00F85C35">
            <w:pPr>
              <w:rPr>
                <w:lang/>
              </w:rPr>
            </w:pPr>
            <w:r w:rsidRPr="004D0C63">
              <w:rPr>
                <w:lang/>
              </w:rPr>
              <w:t>31031290</w:t>
            </w:r>
          </w:p>
        </w:tc>
        <w:tc>
          <w:tcPr>
            <w:tcW w:w="5296" w:type="dxa"/>
            <w:hideMark/>
          </w:tcPr>
          <w:p w14:paraId="58320AA8" w14:textId="400DD8B9" w:rsidR="009B3AA4" w:rsidRPr="004D0C63" w:rsidRDefault="009B3AA4" w:rsidP="00F85C35">
            <w:pPr>
              <w:rPr>
                <w:lang/>
              </w:rPr>
            </w:pPr>
            <w:r w:rsidRPr="004D0C63">
              <w:rPr>
                <w:lang/>
              </w:rPr>
              <w:t xml:space="preserve">Other Mattresses </w:t>
            </w:r>
          </w:p>
        </w:tc>
        <w:tc>
          <w:tcPr>
            <w:tcW w:w="283" w:type="dxa"/>
            <w:noWrap/>
            <w:hideMark/>
          </w:tcPr>
          <w:p w14:paraId="12CFC63F" w14:textId="77777777" w:rsidR="009B3AA4" w:rsidRPr="004D0C63" w:rsidRDefault="009B3AA4" w:rsidP="00F85C35">
            <w:pPr>
              <w:rPr>
                <w:lang/>
              </w:rPr>
            </w:pPr>
            <w:r w:rsidRPr="004D0C63">
              <w:rPr>
                <w:lang/>
              </w:rPr>
              <w:t>2,47</w:t>
            </w:r>
          </w:p>
        </w:tc>
        <w:tc>
          <w:tcPr>
            <w:tcW w:w="851" w:type="dxa"/>
            <w:noWrap/>
            <w:hideMark/>
          </w:tcPr>
          <w:p w14:paraId="1FBFEC1B" w14:textId="77777777" w:rsidR="009B3AA4" w:rsidRPr="004D0C63" w:rsidRDefault="009B3AA4" w:rsidP="00F85C35">
            <w:pPr>
              <w:rPr>
                <w:lang/>
              </w:rPr>
            </w:pPr>
            <w:r w:rsidRPr="004D0C63">
              <w:rPr>
                <w:lang/>
              </w:rPr>
              <w:t>10,00</w:t>
            </w:r>
          </w:p>
        </w:tc>
        <w:tc>
          <w:tcPr>
            <w:tcW w:w="5386" w:type="dxa"/>
          </w:tcPr>
          <w:p w14:paraId="47BDB62F" w14:textId="00A45E6E" w:rsidR="00950CE4" w:rsidRPr="004D0C63" w:rsidRDefault="009B3AA4" w:rsidP="00F85C35">
            <w:pPr>
              <w:rPr>
                <w:rFonts w:ascii="Aptos" w:hAnsi="Aptos"/>
              </w:rPr>
            </w:pPr>
            <w:r w:rsidRPr="004D0C63">
              <w:fldChar w:fldCharType="begin"/>
            </w:r>
            <w:r w:rsidR="00AF39D3" w:rsidRPr="004D0C63">
              <w:instrText xml:space="preserve"> ADDIN ZOTERO_ITEM CSL_CITATION {"citationID":"ht8DBC3S","properties":{"unsorted":false,"formattedCitation":"(Arias Madero et al., 2025; Lano\\uc0\\u235{} et al., 2013)","plainCitation":"(Arias Madero et al., 2025; Lanoë et al., 2013)","dontUpdate":true,"noteIndex":0},"citationItems":[{"id":67,"uris":["http://zotero.org/users/16823286/items/LQ4QWP7K"],"itemData":{"id":67,"type":"article-journal","abstract":"Mattresses represent one of the most widespread and problematic bulky waste streams worldwide, due to their unavoidable daily use, their high presence in municipal solid waste flows, and the complexity of their end-of-life management. Their heterogeneous composition—combining polyurethane foams, textiles, metal springs, and adhesives—makes separation and recovery difficult, leading many discarded mattresses to end up in landfills or incinerators, with associated greenhouse gas emissions and the loss of valuable secondary resources. Within this context, recycling emerges as a priority alternative under the circular economy framework, enabling material recovery and reducing reliance on traditional disposal methods. Among current options, mechanical recycling is especially promising, as it provides energy savings and lower emissions compared to thermal treatments. However, its large-scale implementation requires improvements in product design, collection logistics, and regulatory frameworks to address existing challenges. This article provides a critical review of the current state of mattress recycling and valorization, examining technological advances, environmental impacts, and systemic barriers. It also highlights successful initiatives in the hospitality and healthcare sectors, which illustrate the potential of circular strategies to transform bulky waste management and promote sustainable material flows.","container-title":"Sustainability","DOI":"10.3390/su17188371","ISSN":"2071-1050","issue":"18","language":"en","license":"http://creativecommons.org/licenses/by/3.0/","note":"publisher: Multidisciplinary Digital Publishing Institute","page":"8371","source":"www.mdpi.com","title":"Discarded Mattresses: From Environmental Problem to Recoverable Resource","title-short":"Discarded Mattresses","volume":"17","author":[{"family":"Arias Madero","given":"Javier"},{"family":"Balmori Roiz","given":"Jose Antonio"},{"family":"Basterra Otero","given":"Luis-Alfonso"},{"family":"Diaz Gonzalez","given":"Iker"}],"issued":{"date-parts":[["2025",1]]}}},{"id":68,"uris":["http://zotero.org/users/16823286/items/3Z8726YS"],"itemData":{"id":68,"type":"article-journal","abstract":"Improvement of the environmental performance of processes and products is a common objective in industry, and has been receiving increased attention in recent years. The main objective of this work is to evaluate the potential environmental impact of two bedding products, a polyurethane foam mattress (PFM) and a pocket spring mattress (PSM). These two types are the most common mattresses used in Europe. A Life Cycle Assessment (LCA) shows that the PFM has a higher environmental impact than the PSM. For both products the main cause of environmental impact is the manufacturing process, respectively the polyurethane foam block moulding process for the PFM, and the pocket spring nucleus process for the PSM. A scenario analysis shows the possibility of reducing the environmental impact of the products’ life cycle using an alternative End-of-Life scenario, resorting to incineration rather than landﬁll. Two strategies were also studied in order to reduce the environmental impact of the PFM: (1) reutilization of foam that was sent to the waste system management, and (2) a 20% weight reduction of the polyurethane foam. The second strategy has proven to be the most effective.","container-title":"Journal of Cleaner Production","DOI":"10.1016/j.jclepro.2013.03.013","ISSN":"09596526","journalAbbreviation":"Journal of Cleaner Production","language":"en","page":"155-164","source":"DOI.org (Crossref)","title":"Improving the environmental performance of bedding products by using life cycle assessment at the design stage","volume":"52","author":[{"family":"Lanoë","given":"Thomas"},{"family":"Simões","given":"Carla L."},{"family":"Simoes","given":"Ricardo"}],"issued":{"date-parts":[["2013",8]]}}}],"schema":"https://github.com/citation-style-language/schema/raw/master/csl-citation.json"} </w:instrText>
            </w:r>
            <w:r w:rsidRPr="004D0C63">
              <w:fldChar w:fldCharType="separate"/>
            </w:r>
            <w:r w:rsidR="00950CE4" w:rsidRPr="004D0C63">
              <w:rPr>
                <w:rFonts w:ascii="Aptos" w:hAnsi="Aptos"/>
              </w:rPr>
              <w:fldChar w:fldCharType="begin"/>
            </w:r>
            <w:r w:rsidR="00950CE4" w:rsidRPr="004D0C63">
              <w:rPr>
                <w:rFonts w:ascii="Aptos" w:hAnsi="Aptos"/>
              </w:rPr>
              <w:instrText xml:space="preserve"> INCLUDETEXT "C:\\Users\\BELFIO~1\\AppData\\Local\\Temp\\ZOT985A.tmp" \c MSRTF </w:instrText>
            </w:r>
            <w:r w:rsidR="00950CE4" w:rsidRPr="004D0C63">
              <w:rPr>
                <w:rFonts w:ascii="Aptos" w:hAnsi="Aptos"/>
              </w:rPr>
              <w:fldChar w:fldCharType="separate"/>
            </w:r>
            <w:r w:rsidR="00950CE4" w:rsidRPr="004D0C63">
              <w:rPr>
                <w:rFonts w:ascii="Aptos" w:hAnsi="Aptos"/>
                <w:kern w:val="0"/>
              </w:rPr>
              <w:t>(Arias Madero et al., 2025; Lanoë et al., 2013)</w:t>
            </w:r>
          </w:p>
          <w:p w14:paraId="67B57630" w14:textId="1093F3B4" w:rsidR="009B3AA4" w:rsidRPr="004D0C63" w:rsidRDefault="00950CE4" w:rsidP="00F85C35">
            <w:r w:rsidRPr="004D0C63">
              <w:rPr>
                <w:rFonts w:ascii="Aptos" w:hAnsi="Aptos"/>
              </w:rPr>
              <w:fldChar w:fldCharType="end"/>
            </w:r>
            <w:r w:rsidR="009B3AA4" w:rsidRPr="004D0C63">
              <w:fldChar w:fldCharType="end"/>
            </w:r>
          </w:p>
        </w:tc>
      </w:tr>
      <w:tr w:rsidR="009B3AA4" w:rsidRPr="004D0C63" w14:paraId="2308E0FD" w14:textId="12CFB582" w:rsidTr="376C0789">
        <w:trPr>
          <w:trHeight w:val="315"/>
        </w:trPr>
        <w:tc>
          <w:tcPr>
            <w:tcW w:w="986" w:type="dxa"/>
            <w:noWrap/>
            <w:hideMark/>
          </w:tcPr>
          <w:p w14:paraId="22F0F292" w14:textId="77777777" w:rsidR="009B3AA4" w:rsidRPr="004D0C63" w:rsidRDefault="009B3AA4" w:rsidP="00F85C35">
            <w:pPr>
              <w:rPr>
                <w:lang/>
              </w:rPr>
            </w:pPr>
            <w:r w:rsidRPr="004D0C63">
              <w:rPr>
                <w:lang/>
              </w:rPr>
              <w:t>940370</w:t>
            </w:r>
          </w:p>
        </w:tc>
        <w:tc>
          <w:tcPr>
            <w:tcW w:w="1368" w:type="dxa"/>
            <w:noWrap/>
            <w:hideMark/>
          </w:tcPr>
          <w:p w14:paraId="1096A28F" w14:textId="77777777" w:rsidR="009B3AA4" w:rsidRPr="004D0C63" w:rsidRDefault="009B3AA4" w:rsidP="00F85C35">
            <w:pPr>
              <w:rPr>
                <w:lang/>
              </w:rPr>
            </w:pPr>
            <w:r w:rsidRPr="004D0C63">
              <w:rPr>
                <w:lang/>
              </w:rPr>
              <w:t>31091430</w:t>
            </w:r>
          </w:p>
        </w:tc>
        <w:tc>
          <w:tcPr>
            <w:tcW w:w="5296" w:type="dxa"/>
            <w:hideMark/>
          </w:tcPr>
          <w:p w14:paraId="7DE7016A" w14:textId="6E401024" w:rsidR="009B3AA4" w:rsidRPr="004D0C63" w:rsidRDefault="009B3AA4" w:rsidP="00F85C35">
            <w:pPr>
              <w:rPr>
                <w:lang/>
              </w:rPr>
            </w:pPr>
            <w:r w:rsidRPr="004D0C63">
              <w:rPr>
                <w:lang/>
              </w:rPr>
              <w:t xml:space="preserve">Furniture of plastics </w:t>
            </w:r>
          </w:p>
        </w:tc>
        <w:tc>
          <w:tcPr>
            <w:tcW w:w="283" w:type="dxa"/>
            <w:noWrap/>
            <w:hideMark/>
          </w:tcPr>
          <w:p w14:paraId="222E4BED" w14:textId="77777777" w:rsidR="009B3AA4" w:rsidRPr="004D0C63" w:rsidRDefault="009B3AA4" w:rsidP="00F85C35">
            <w:pPr>
              <w:rPr>
                <w:lang/>
              </w:rPr>
            </w:pPr>
            <w:r w:rsidRPr="004D0C63">
              <w:rPr>
                <w:lang/>
              </w:rPr>
              <w:t>2,2</w:t>
            </w:r>
          </w:p>
        </w:tc>
        <w:tc>
          <w:tcPr>
            <w:tcW w:w="851" w:type="dxa"/>
            <w:noWrap/>
            <w:hideMark/>
          </w:tcPr>
          <w:p w14:paraId="1ED31CB2" w14:textId="77777777" w:rsidR="009B3AA4" w:rsidRPr="004D0C63" w:rsidRDefault="009B3AA4" w:rsidP="00F85C35">
            <w:pPr>
              <w:rPr>
                <w:lang/>
              </w:rPr>
            </w:pPr>
            <w:r w:rsidRPr="004D0C63">
              <w:rPr>
                <w:lang/>
              </w:rPr>
              <w:t>8,00</w:t>
            </w:r>
          </w:p>
        </w:tc>
        <w:tc>
          <w:tcPr>
            <w:tcW w:w="5386" w:type="dxa"/>
          </w:tcPr>
          <w:p w14:paraId="4572F446" w14:textId="6A80108A" w:rsidR="009B3AA4" w:rsidRPr="004D0C63" w:rsidRDefault="009B3AA4" w:rsidP="00F85C35">
            <w:pPr>
              <w:rPr>
                <w:lang/>
              </w:rPr>
            </w:pPr>
            <w:r w:rsidRPr="004D0C63">
              <w:rPr>
                <w:lang/>
              </w:rPr>
              <w:fldChar w:fldCharType="begin"/>
            </w:r>
            <w:r w:rsidRPr="004D0C63">
              <w:rPr>
                <w:lang/>
              </w:rPr>
              <w:instrText xml:space="preserve"> ADDIN ZOTERO_ITEM CSL_CITATION {"citationID":"c0sCsuLK","properties":{"unsorted":false,"formattedCitation":"(Wagner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00950CE4" w:rsidRPr="004D0C63">
              <w:rPr>
                <w:rFonts w:ascii="Aptos" w:hAnsi="Aptos"/>
                <w:lang/>
              </w:rPr>
              <w:t>(Wagner et al., 2022)</w:t>
            </w:r>
            <w:r w:rsidRPr="004D0C63">
              <w:rPr>
                <w:lang/>
              </w:rPr>
              <w:fldChar w:fldCharType="end"/>
            </w:r>
          </w:p>
        </w:tc>
      </w:tr>
      <w:tr w:rsidR="009B3AA4" w:rsidRPr="004D0C63" w14:paraId="35657C80" w14:textId="473BA67C" w:rsidTr="376C0789">
        <w:trPr>
          <w:trHeight w:val="315"/>
        </w:trPr>
        <w:tc>
          <w:tcPr>
            <w:tcW w:w="986" w:type="dxa"/>
            <w:noWrap/>
            <w:hideMark/>
          </w:tcPr>
          <w:p w14:paraId="26AC0003" w14:textId="77777777" w:rsidR="009B3AA4" w:rsidRPr="004D0C63" w:rsidRDefault="009B3AA4" w:rsidP="00F85C35">
            <w:pPr>
              <w:rPr>
                <w:lang/>
              </w:rPr>
            </w:pPr>
            <w:r w:rsidRPr="004D0C63">
              <w:rPr>
                <w:lang/>
              </w:rPr>
              <w:t>940380</w:t>
            </w:r>
          </w:p>
        </w:tc>
        <w:tc>
          <w:tcPr>
            <w:tcW w:w="1368" w:type="dxa"/>
            <w:noWrap/>
            <w:hideMark/>
          </w:tcPr>
          <w:p w14:paraId="2F892C1D" w14:textId="77777777" w:rsidR="009B3AA4" w:rsidRPr="004D0C63" w:rsidRDefault="009B3AA4" w:rsidP="00F85C35">
            <w:pPr>
              <w:rPr>
                <w:lang/>
              </w:rPr>
            </w:pPr>
            <w:r w:rsidRPr="004D0C63">
              <w:rPr>
                <w:lang/>
              </w:rPr>
              <w:t>31091450</w:t>
            </w:r>
          </w:p>
        </w:tc>
        <w:tc>
          <w:tcPr>
            <w:tcW w:w="5296" w:type="dxa"/>
            <w:hideMark/>
          </w:tcPr>
          <w:p w14:paraId="3C6E10C7" w14:textId="2AB8143D" w:rsidR="009B3AA4" w:rsidRPr="004D0C63" w:rsidRDefault="009B3AA4" w:rsidP="00F85C35">
            <w:pPr>
              <w:rPr>
                <w:lang/>
              </w:rPr>
            </w:pPr>
            <w:r w:rsidRPr="004D0C63">
              <w:rPr>
                <w:lang/>
              </w:rPr>
              <w:t xml:space="preserve">Furniture of materials other than metal, wood or plastic </w:t>
            </w:r>
          </w:p>
        </w:tc>
        <w:tc>
          <w:tcPr>
            <w:tcW w:w="283" w:type="dxa"/>
            <w:noWrap/>
            <w:hideMark/>
          </w:tcPr>
          <w:p w14:paraId="65867DA1" w14:textId="77777777" w:rsidR="009B3AA4" w:rsidRPr="004D0C63" w:rsidRDefault="009B3AA4" w:rsidP="00F85C35">
            <w:pPr>
              <w:rPr>
                <w:lang/>
              </w:rPr>
            </w:pPr>
            <w:r w:rsidRPr="004D0C63">
              <w:rPr>
                <w:lang/>
              </w:rPr>
              <w:t>2,2</w:t>
            </w:r>
          </w:p>
        </w:tc>
        <w:tc>
          <w:tcPr>
            <w:tcW w:w="851" w:type="dxa"/>
            <w:noWrap/>
            <w:hideMark/>
          </w:tcPr>
          <w:p w14:paraId="3AEF6362" w14:textId="77777777" w:rsidR="009B3AA4" w:rsidRPr="004D0C63" w:rsidRDefault="009B3AA4" w:rsidP="00F85C35">
            <w:pPr>
              <w:rPr>
                <w:lang/>
              </w:rPr>
            </w:pPr>
            <w:r w:rsidRPr="004D0C63">
              <w:rPr>
                <w:lang/>
              </w:rPr>
              <w:t>10,00</w:t>
            </w:r>
          </w:p>
        </w:tc>
        <w:tc>
          <w:tcPr>
            <w:tcW w:w="5386" w:type="dxa"/>
          </w:tcPr>
          <w:p w14:paraId="566EBE29" w14:textId="156DB22C" w:rsidR="009B3AA4" w:rsidRPr="004D0C63" w:rsidRDefault="009B3AA4" w:rsidP="00F85C35">
            <w:pPr>
              <w:rPr>
                <w:lang/>
              </w:rPr>
            </w:pPr>
            <w:r w:rsidRPr="004D0C63">
              <w:rPr>
                <w:lang/>
              </w:rPr>
              <w:fldChar w:fldCharType="begin"/>
            </w:r>
            <w:r w:rsidRPr="004D0C63">
              <w:rPr>
                <w:lang/>
              </w:rPr>
              <w:instrText xml:space="preserve"> ADDIN ZOTERO_ITEM CSL_CITATION {"citationID":"blg7rbtp","properties":{"unsorted":false,"formattedCitation":"(Wagner et al., 2022)","plainCitation":"(Wagner et al., 2022)","noteIndex":0},"citationItems":[{"id":11,"uris":["http://zotero.org/users/16823286/items/JIDPR65F"],"itemData":{"id":11,"type":"article-journal","abstract":"Evaluation of the collection and recovery of selected waste streams for the further development of circular economy As part of the general producer responsibility regulated by the German Circular Economy Act, there are special legal regulations for the collection and environmentally sound disposal of certain waste streams (e.g. for packaging, batteries, waste electrical and electronic equipment, end-of-life vehicles). These require producers to set up collection systems for the disposal of the corresponding waste and to achieve certain recycling and, in some cases, collection rates. The research project examined whether and how resource conservation and environmental relief potentials can be realized for other waste streams - especially end-of-life tyres and used textiles - through improved collection and recovery.","language":"en","source":"Zotero","title":"Evaluation of the collection and recovery of selected waste streams for the further development of circular economy","author":[{"family":"Wagner","given":"Jörg"},{"family":"Steinmetzer","given":"Sonja"},{"family":"Theophil","given":"Laura"},{"family":"Strues","given":"Anna-Sophie"},{"family":"Kösegi","given":"Nicole"}],"issued":{"date-parts":[["2022"]]}}}],"schema":"https://github.com/citation-style-language/schema/raw/master/csl-citation.json"} </w:instrText>
            </w:r>
            <w:r w:rsidRPr="004D0C63">
              <w:rPr>
                <w:lang/>
              </w:rPr>
              <w:fldChar w:fldCharType="separate"/>
            </w:r>
            <w:r w:rsidR="00950CE4" w:rsidRPr="004D0C63">
              <w:rPr>
                <w:rFonts w:ascii="Aptos" w:hAnsi="Aptos"/>
                <w:lang/>
              </w:rPr>
              <w:t>(Wagner et al., 2022)</w:t>
            </w:r>
            <w:r w:rsidRPr="004D0C63">
              <w:rPr>
                <w:lang/>
              </w:rPr>
              <w:fldChar w:fldCharType="end"/>
            </w:r>
          </w:p>
        </w:tc>
      </w:tr>
    </w:tbl>
    <w:p w14:paraId="3563B5E2" w14:textId="77777777" w:rsidR="0016711A" w:rsidRPr="004D0C63" w:rsidRDefault="0016711A" w:rsidP="00F85C35">
      <w:pPr>
        <w:sectPr w:rsidR="0016711A" w:rsidRPr="004D0C63" w:rsidSect="0016711A">
          <w:pgSz w:w="16838" w:h="11906" w:orient="landscape"/>
          <w:pgMar w:top="1440" w:right="1440" w:bottom="1440" w:left="1440" w:header="709" w:footer="709" w:gutter="0"/>
          <w:cols w:space="708"/>
          <w:docGrid w:linePitch="360"/>
        </w:sectPr>
      </w:pPr>
    </w:p>
    <w:p w14:paraId="4F1E87C3" w14:textId="3684318E" w:rsidR="0030232E" w:rsidRPr="004D0C63" w:rsidRDefault="00C6529B" w:rsidP="00DC0527">
      <w:pPr>
        <w:pStyle w:val="Heading1"/>
      </w:pPr>
      <w:bookmarkStart w:id="13" w:name="_Toc236230882"/>
      <w:commentRangeStart w:id="14"/>
      <w:r w:rsidRPr="004D0C63">
        <w:lastRenderedPageBreak/>
        <w:t>Extensive r</w:t>
      </w:r>
      <w:r w:rsidR="0030232E" w:rsidRPr="004D0C63">
        <w:t>esults</w:t>
      </w:r>
      <w:bookmarkEnd w:id="13"/>
      <w:commentRangeEnd w:id="14"/>
      <w:r w:rsidRPr="004D0C63">
        <w:rPr>
          <w:rStyle w:val="CommentReference"/>
          <w:sz w:val="24"/>
          <w:szCs w:val="24"/>
        </w:rPr>
        <w:commentReference w:id="14"/>
      </w:r>
    </w:p>
    <w:p w14:paraId="5A767E62" w14:textId="33C2E64B" w:rsidR="00F9165F" w:rsidRPr="004D0C63" w:rsidRDefault="00B61981" w:rsidP="00F85C35">
      <w:r w:rsidRPr="004D0C63">
        <w:t xml:space="preserve">Note in the results that stock may result negative in the years prior to 2015 because we assume an initial </w:t>
      </w:r>
      <w:r w:rsidR="00404184" w:rsidRPr="004D0C63">
        <w:t xml:space="preserve">stock of 0. If </w:t>
      </w:r>
      <w:r w:rsidR="006F5A49" w:rsidRPr="004D0C63">
        <w:t xml:space="preserve">in those years a lot of the production is exported </w:t>
      </w:r>
      <w:r w:rsidR="00BC52AF" w:rsidRPr="004D0C63">
        <w:t>because products from previous years are discarded and not enough initial stock was assumed, the stock balance may appear negative</w:t>
      </w:r>
      <w:r w:rsidR="00E15E5F" w:rsidRPr="004D0C63">
        <w:t xml:space="preserve"> due to this modelling choice.</w:t>
      </w:r>
      <w:r w:rsidR="00824C37" w:rsidRPr="004D0C63">
        <w:t xml:space="preserve"> Some of the non-reported data mentioned in the previous section may also affect </w:t>
      </w:r>
      <w:r w:rsidR="00C52683" w:rsidRPr="004D0C63">
        <w:t xml:space="preserve">some of the detailed stock and appear that specific products in certain countries are absent or disproportionally </w:t>
      </w:r>
      <w:r w:rsidR="004C0CF1" w:rsidRPr="004D0C63">
        <w:t>small in amounts.</w:t>
      </w:r>
    </w:p>
    <w:p w14:paraId="6508999B" w14:textId="2D91CF12" w:rsidR="00AC2BCE" w:rsidRPr="004D0C63" w:rsidRDefault="00F708DB" w:rsidP="00DC0527">
      <w:pPr>
        <w:pStyle w:val="Heading2"/>
      </w:pPr>
      <w:bookmarkStart w:id="15" w:name="_Toc236230883"/>
      <w:r w:rsidRPr="004D0C63">
        <w:t>Countries</w:t>
      </w:r>
      <w:r w:rsidR="00C6529B" w:rsidRPr="004D0C63">
        <w:t>’</w:t>
      </w:r>
      <w:r w:rsidRPr="004D0C63">
        <w:t xml:space="preserve"> </w:t>
      </w:r>
      <w:r w:rsidR="00C6529B" w:rsidRPr="004D0C63">
        <w:t>time series</w:t>
      </w:r>
      <w:bookmarkEnd w:id="15"/>
    </w:p>
    <w:p w14:paraId="5DB5CE1A" w14:textId="6D6B0BE6" w:rsidR="00F708DB" w:rsidRPr="004D0C63" w:rsidRDefault="00F708DB" w:rsidP="00F85C35">
      <w:commentRangeStart w:id="16"/>
      <w:r w:rsidRPr="004D0C63">
        <w:rPr>
          <w:noProof/>
        </w:rPr>
        <w:drawing>
          <wp:inline distT="0" distB="0" distL="0" distR="0" wp14:anchorId="3EB47B67" wp14:editId="57B8AD13">
            <wp:extent cx="5731510" cy="3575685"/>
            <wp:effectExtent l="0" t="0" r="2540" b="5715"/>
            <wp:docPr id="365726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26458" name=""/>
                    <pic:cNvPicPr/>
                  </pic:nvPicPr>
                  <pic:blipFill>
                    <a:blip r:embed="rId21"/>
                    <a:stretch>
                      <a:fillRect/>
                    </a:stretch>
                  </pic:blipFill>
                  <pic:spPr>
                    <a:xfrm>
                      <a:off x="0" y="0"/>
                      <a:ext cx="5731510" cy="3575685"/>
                    </a:xfrm>
                    <a:prstGeom prst="rect">
                      <a:avLst/>
                    </a:prstGeom>
                  </pic:spPr>
                </pic:pic>
              </a:graphicData>
            </a:graphic>
          </wp:inline>
        </w:drawing>
      </w:r>
      <w:commentRangeEnd w:id="16"/>
      <w:r w:rsidRPr="004D0C63">
        <w:rPr>
          <w:rStyle w:val="CommentReference"/>
          <w:sz w:val="22"/>
          <w:szCs w:val="24"/>
        </w:rPr>
        <w:commentReference w:id="16"/>
      </w:r>
    </w:p>
    <w:p w14:paraId="2DA6C3F2" w14:textId="48940CE5" w:rsidR="004654E3" w:rsidRPr="004D0C63" w:rsidRDefault="00354E7C" w:rsidP="00F85C35">
      <w:pPr>
        <w:pStyle w:val="Caption"/>
      </w:pPr>
      <w:r w:rsidRPr="004D0C63">
        <w:t>Figure S</w:t>
      </w:r>
      <w:fldSimple w:instr=" SEQ Figure_S \* ARABIC ">
        <w:r w:rsidR="00A939E8" w:rsidRPr="004D0C63">
          <w:t>3</w:t>
        </w:r>
      </w:fldSimple>
      <w:r w:rsidRPr="004D0C63">
        <w:t xml:space="preserve">. </w:t>
      </w:r>
      <w:r w:rsidR="00242DDA" w:rsidRPr="004D0C63">
        <w:t xml:space="preserve">Total yearly </w:t>
      </w:r>
      <w:r w:rsidR="006378F4" w:rsidRPr="004D0C63">
        <w:t>e</w:t>
      </w:r>
      <w:r w:rsidR="00242DDA" w:rsidRPr="004D0C63">
        <w:t xml:space="preserve">xport in </w:t>
      </w:r>
      <w:r w:rsidR="001659A1" w:rsidRPr="004D0C63">
        <w:t>e</w:t>
      </w:r>
      <w:r w:rsidR="006378F4" w:rsidRPr="004D0C63">
        <w:t xml:space="preserve">uro and </w:t>
      </w:r>
      <w:r w:rsidR="001659A1" w:rsidRPr="004D0C63">
        <w:t>m</w:t>
      </w:r>
      <w:r w:rsidR="006378F4" w:rsidRPr="004D0C63">
        <w:t>egatonnes</w:t>
      </w:r>
      <w:r w:rsidR="00242DDA" w:rsidRPr="004D0C63">
        <w:t xml:space="preserve"> of all furniture products in EU27 countries</w:t>
      </w:r>
      <w:r w:rsidR="001659A1" w:rsidRPr="004D0C63">
        <w:t>.</w:t>
      </w:r>
    </w:p>
    <w:p w14:paraId="4B474AA7" w14:textId="1D9E6DCC" w:rsidR="00F708DB" w:rsidRPr="004D0C63" w:rsidRDefault="00F708DB" w:rsidP="00F85C35">
      <w:r w:rsidRPr="004D0C63">
        <w:rPr>
          <w:noProof/>
        </w:rPr>
        <w:lastRenderedPageBreak/>
        <w:drawing>
          <wp:inline distT="0" distB="0" distL="0" distR="0" wp14:anchorId="61E6FE47" wp14:editId="0C7ABB4D">
            <wp:extent cx="5731510" cy="3575685"/>
            <wp:effectExtent l="0" t="0" r="2540" b="5715"/>
            <wp:docPr id="1977707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07550" name=""/>
                    <pic:cNvPicPr/>
                  </pic:nvPicPr>
                  <pic:blipFill>
                    <a:blip r:embed="rId22"/>
                    <a:stretch>
                      <a:fillRect/>
                    </a:stretch>
                  </pic:blipFill>
                  <pic:spPr>
                    <a:xfrm>
                      <a:off x="0" y="0"/>
                      <a:ext cx="5731510" cy="3575685"/>
                    </a:xfrm>
                    <a:prstGeom prst="rect">
                      <a:avLst/>
                    </a:prstGeom>
                  </pic:spPr>
                </pic:pic>
              </a:graphicData>
            </a:graphic>
          </wp:inline>
        </w:drawing>
      </w:r>
    </w:p>
    <w:p w14:paraId="32B405E1" w14:textId="37645BCF" w:rsidR="001659A1" w:rsidRPr="004D0C63" w:rsidRDefault="001659A1" w:rsidP="00F85C35">
      <w:pPr>
        <w:pStyle w:val="Caption"/>
      </w:pPr>
      <w:r w:rsidRPr="004D0C63">
        <w:t>Figure S</w:t>
      </w:r>
      <w:fldSimple w:instr=" SEQ Figure_S \* ARABIC ">
        <w:r w:rsidR="00A939E8" w:rsidRPr="004D0C63">
          <w:t>4</w:t>
        </w:r>
      </w:fldSimple>
      <w:r w:rsidRPr="004D0C63">
        <w:t>. Total yearly import in euro and megatonnes of all furniture products in EU27 countries.</w:t>
      </w:r>
    </w:p>
    <w:p w14:paraId="770CC032" w14:textId="066F4790" w:rsidR="00FE19AF" w:rsidRPr="004D0C63" w:rsidRDefault="009424B2" w:rsidP="00F85C35">
      <w:r w:rsidRPr="004D0C63">
        <w:rPr>
          <w:noProof/>
        </w:rPr>
        <w:drawing>
          <wp:inline distT="0" distB="0" distL="0" distR="0" wp14:anchorId="7619236B" wp14:editId="7458B73D">
            <wp:extent cx="5731510" cy="3575685"/>
            <wp:effectExtent l="0" t="0" r="2540" b="5715"/>
            <wp:docPr id="2038323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23147" name=""/>
                    <pic:cNvPicPr/>
                  </pic:nvPicPr>
                  <pic:blipFill>
                    <a:blip r:embed="rId23"/>
                    <a:stretch>
                      <a:fillRect/>
                    </a:stretch>
                  </pic:blipFill>
                  <pic:spPr>
                    <a:xfrm>
                      <a:off x="0" y="0"/>
                      <a:ext cx="5731510" cy="3575685"/>
                    </a:xfrm>
                    <a:prstGeom prst="rect">
                      <a:avLst/>
                    </a:prstGeom>
                  </pic:spPr>
                </pic:pic>
              </a:graphicData>
            </a:graphic>
          </wp:inline>
        </w:drawing>
      </w:r>
    </w:p>
    <w:p w14:paraId="6AB91D7F" w14:textId="01B2E40D" w:rsidR="001659A1" w:rsidRPr="004D0C63" w:rsidRDefault="001659A1" w:rsidP="00F85C35">
      <w:pPr>
        <w:pStyle w:val="Caption"/>
      </w:pPr>
      <w:r w:rsidRPr="004D0C63">
        <w:t>Figure S</w:t>
      </w:r>
      <w:fldSimple w:instr=" SEQ Figure_S \* ARABIC ">
        <w:r w:rsidR="00A939E8" w:rsidRPr="004D0C63">
          <w:t>5</w:t>
        </w:r>
      </w:fldSimple>
      <w:r w:rsidRPr="004D0C63">
        <w:t>. Total yearly production in euro and megatonnes of all furniture products in EU27 countries. Uncertainty</w:t>
      </w:r>
      <w:r w:rsidR="00454400" w:rsidRPr="004D0C63">
        <w:t xml:space="preserve"> reported</w:t>
      </w:r>
      <w:r w:rsidRPr="004D0C63">
        <w:t xml:space="preserve"> represents the total std</w:t>
      </w:r>
      <w:r w:rsidR="00454400" w:rsidRPr="004D0C63">
        <w:t>.</w:t>
      </w:r>
    </w:p>
    <w:p w14:paraId="1D6302FC" w14:textId="79005C70" w:rsidR="009424B2" w:rsidRPr="004D0C63" w:rsidRDefault="007258F5" w:rsidP="00F85C35">
      <w:r w:rsidRPr="004D0C63">
        <w:rPr>
          <w:noProof/>
        </w:rPr>
        <w:lastRenderedPageBreak/>
        <w:drawing>
          <wp:inline distT="0" distB="0" distL="0" distR="0" wp14:anchorId="1DE73A5D" wp14:editId="53607041">
            <wp:extent cx="5731510" cy="3575685"/>
            <wp:effectExtent l="0" t="0" r="2540" b="5715"/>
            <wp:docPr id="128599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90729" name=""/>
                    <pic:cNvPicPr/>
                  </pic:nvPicPr>
                  <pic:blipFill>
                    <a:blip r:embed="rId24"/>
                    <a:stretch>
                      <a:fillRect/>
                    </a:stretch>
                  </pic:blipFill>
                  <pic:spPr>
                    <a:xfrm>
                      <a:off x="0" y="0"/>
                      <a:ext cx="5731510" cy="3575685"/>
                    </a:xfrm>
                    <a:prstGeom prst="rect">
                      <a:avLst/>
                    </a:prstGeom>
                  </pic:spPr>
                </pic:pic>
              </a:graphicData>
            </a:graphic>
          </wp:inline>
        </w:drawing>
      </w:r>
    </w:p>
    <w:p w14:paraId="1B1BA82B" w14:textId="297F7146" w:rsidR="001659A1" w:rsidRPr="004D0C63" w:rsidRDefault="001659A1" w:rsidP="00F85C35">
      <w:pPr>
        <w:pStyle w:val="Caption"/>
      </w:pPr>
      <w:r w:rsidRPr="004D0C63">
        <w:t>Figure S</w:t>
      </w:r>
      <w:fldSimple w:instr=" SEQ Figure_S \* ARABIC ">
        <w:r w:rsidR="00A939E8" w:rsidRPr="004D0C63">
          <w:t>6</w:t>
        </w:r>
      </w:fldSimple>
      <w:r w:rsidRPr="004D0C63">
        <w:t>. Total yearly consumption in euro and megatonnes of all furniture products in EU27 countries.</w:t>
      </w:r>
      <w:r w:rsidR="00F85514" w:rsidRPr="004D0C63">
        <w:t xml:space="preserve"> Uncertainty reported represents the total std.</w:t>
      </w:r>
    </w:p>
    <w:p w14:paraId="04B22F80" w14:textId="21B76170" w:rsidR="007258F5" w:rsidRPr="004D0C63" w:rsidRDefault="007258F5" w:rsidP="00F85C35">
      <w:r w:rsidRPr="004D0C63">
        <w:rPr>
          <w:noProof/>
        </w:rPr>
        <w:drawing>
          <wp:inline distT="0" distB="0" distL="0" distR="0" wp14:anchorId="1321C9A7" wp14:editId="13FCB862">
            <wp:extent cx="5731510" cy="3573145"/>
            <wp:effectExtent l="0" t="0" r="2540" b="8255"/>
            <wp:docPr id="2073697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97219" name=""/>
                    <pic:cNvPicPr/>
                  </pic:nvPicPr>
                  <pic:blipFill>
                    <a:blip r:embed="rId25"/>
                    <a:stretch>
                      <a:fillRect/>
                    </a:stretch>
                  </pic:blipFill>
                  <pic:spPr>
                    <a:xfrm>
                      <a:off x="0" y="0"/>
                      <a:ext cx="5731510" cy="3573145"/>
                    </a:xfrm>
                    <a:prstGeom prst="rect">
                      <a:avLst/>
                    </a:prstGeom>
                  </pic:spPr>
                </pic:pic>
              </a:graphicData>
            </a:graphic>
          </wp:inline>
        </w:drawing>
      </w:r>
    </w:p>
    <w:p w14:paraId="230A227A" w14:textId="7BAA312A" w:rsidR="001659A1" w:rsidRPr="004D0C63" w:rsidRDefault="001659A1" w:rsidP="00F85C35">
      <w:pPr>
        <w:pStyle w:val="Caption"/>
      </w:pPr>
      <w:r w:rsidRPr="004D0C63">
        <w:t>Figure S</w:t>
      </w:r>
      <w:fldSimple w:instr=" SEQ Figure_S \* ARABIC ">
        <w:r w:rsidR="00A939E8" w:rsidRPr="004D0C63">
          <w:t>7</w:t>
        </w:r>
      </w:fldSimple>
      <w:r w:rsidRPr="004D0C63">
        <w:t>. Total yearly stock in euro and megatonnes of all furniture products in EU27 countries.</w:t>
      </w:r>
      <w:r w:rsidR="00F85514" w:rsidRPr="004D0C63">
        <w:t xml:space="preserve"> Uncertainty reported represents the total std.</w:t>
      </w:r>
    </w:p>
    <w:p w14:paraId="40D170C0" w14:textId="77777777" w:rsidR="009D2F03" w:rsidRPr="004D0C63" w:rsidRDefault="009D2F03" w:rsidP="00F85C35"/>
    <w:p w14:paraId="3B14247E" w14:textId="77777777" w:rsidR="009D2F03" w:rsidRPr="004D0C63" w:rsidRDefault="009D2F03" w:rsidP="00F85C35"/>
    <w:p w14:paraId="76A06374" w14:textId="77777777" w:rsidR="009D2F03" w:rsidRPr="004D0C63" w:rsidRDefault="009D2F03" w:rsidP="00F85C35"/>
    <w:p w14:paraId="67935B9E" w14:textId="77777777" w:rsidR="009D2F03" w:rsidRPr="004D0C63" w:rsidRDefault="009D2F03" w:rsidP="00F85C35"/>
    <w:p w14:paraId="088C007D" w14:textId="5BDFE9E3" w:rsidR="006169C5" w:rsidRPr="004D0C63" w:rsidRDefault="006169C5" w:rsidP="00DC0527">
      <w:pPr>
        <w:pStyle w:val="Heading2"/>
      </w:pPr>
      <w:bookmarkStart w:id="17" w:name="_Toc236230884"/>
      <w:r w:rsidRPr="004D0C63">
        <w:t>Products</w:t>
      </w:r>
      <w:r w:rsidR="00C6529B" w:rsidRPr="004D0C63">
        <w:t>’ time series</w:t>
      </w:r>
      <w:bookmarkEnd w:id="17"/>
      <w:r w:rsidRPr="004D0C63">
        <w:t xml:space="preserve"> </w:t>
      </w:r>
    </w:p>
    <w:p w14:paraId="1D796B81" w14:textId="21B08FD4" w:rsidR="006169C5" w:rsidRPr="004D0C63" w:rsidRDefault="009855B2" w:rsidP="00F85C35">
      <w:r w:rsidRPr="004D0C63">
        <w:rPr>
          <w:noProof/>
        </w:rPr>
        <w:drawing>
          <wp:inline distT="0" distB="0" distL="0" distR="0" wp14:anchorId="0D8A7E14" wp14:editId="3E26D187">
            <wp:extent cx="5731510" cy="3575685"/>
            <wp:effectExtent l="0" t="0" r="2540" b="5715"/>
            <wp:docPr id="194586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67308" name=""/>
                    <pic:cNvPicPr/>
                  </pic:nvPicPr>
                  <pic:blipFill>
                    <a:blip r:embed="rId26"/>
                    <a:stretch>
                      <a:fillRect/>
                    </a:stretch>
                  </pic:blipFill>
                  <pic:spPr>
                    <a:xfrm>
                      <a:off x="0" y="0"/>
                      <a:ext cx="5731510" cy="3575685"/>
                    </a:xfrm>
                    <a:prstGeom prst="rect">
                      <a:avLst/>
                    </a:prstGeom>
                  </pic:spPr>
                </pic:pic>
              </a:graphicData>
            </a:graphic>
          </wp:inline>
        </w:drawing>
      </w:r>
    </w:p>
    <w:p w14:paraId="4EF575C0" w14:textId="4D4F2A58" w:rsidR="00F85514" w:rsidRPr="004D0C63" w:rsidRDefault="00F85514" w:rsidP="00F85C35">
      <w:pPr>
        <w:pStyle w:val="Caption"/>
      </w:pPr>
      <w:r w:rsidRPr="004D0C63">
        <w:t>Figure S</w:t>
      </w:r>
      <w:fldSimple w:instr=" SEQ Figure_S \* ARABIC ">
        <w:r w:rsidR="00A939E8" w:rsidRPr="004D0C63">
          <w:t>8</w:t>
        </w:r>
      </w:fldSimple>
      <w:r w:rsidRPr="004D0C63">
        <w:t xml:space="preserve">. Total yearly </w:t>
      </w:r>
      <w:r w:rsidR="00B7235B" w:rsidRPr="004D0C63">
        <w:t>exports</w:t>
      </w:r>
      <w:r w:rsidRPr="004D0C63">
        <w:t xml:space="preserve"> in euro and megatonnes of all EU27 countries for the given products.</w:t>
      </w:r>
    </w:p>
    <w:p w14:paraId="3FECCF90" w14:textId="469F38B7" w:rsidR="009855B2" w:rsidRPr="004D0C63" w:rsidRDefault="00B76534" w:rsidP="00F85C35">
      <w:r w:rsidRPr="004D0C63">
        <w:rPr>
          <w:noProof/>
        </w:rPr>
        <w:drawing>
          <wp:inline distT="0" distB="0" distL="0" distR="0" wp14:anchorId="654F9254" wp14:editId="4E27EDE3">
            <wp:extent cx="5731510" cy="3575685"/>
            <wp:effectExtent l="0" t="0" r="2540" b="5715"/>
            <wp:docPr id="1622596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96598" name=""/>
                    <pic:cNvPicPr/>
                  </pic:nvPicPr>
                  <pic:blipFill>
                    <a:blip r:embed="rId27"/>
                    <a:stretch>
                      <a:fillRect/>
                    </a:stretch>
                  </pic:blipFill>
                  <pic:spPr>
                    <a:xfrm>
                      <a:off x="0" y="0"/>
                      <a:ext cx="5731510" cy="3575685"/>
                    </a:xfrm>
                    <a:prstGeom prst="rect">
                      <a:avLst/>
                    </a:prstGeom>
                  </pic:spPr>
                </pic:pic>
              </a:graphicData>
            </a:graphic>
          </wp:inline>
        </w:drawing>
      </w:r>
    </w:p>
    <w:p w14:paraId="215F343B" w14:textId="5BA9DE6E" w:rsidR="00F85514" w:rsidRPr="004D0C63" w:rsidRDefault="00F85514" w:rsidP="00F85C35">
      <w:pPr>
        <w:pStyle w:val="Caption"/>
      </w:pPr>
      <w:r w:rsidRPr="004D0C63">
        <w:t>Figure S</w:t>
      </w:r>
      <w:fldSimple w:instr=" SEQ Figure_S \* ARABIC ">
        <w:r w:rsidR="00A939E8" w:rsidRPr="004D0C63">
          <w:t>9</w:t>
        </w:r>
      </w:fldSimple>
      <w:r w:rsidRPr="004D0C63">
        <w:t xml:space="preserve">. Total yearly </w:t>
      </w:r>
      <w:r w:rsidR="00B7235B" w:rsidRPr="004D0C63">
        <w:t>exports</w:t>
      </w:r>
      <w:r w:rsidRPr="004D0C63">
        <w:t xml:space="preserve"> in euro and megatonnes of all EU27 countries for the given products.</w:t>
      </w:r>
    </w:p>
    <w:p w14:paraId="16E1E50D" w14:textId="3724ED4E" w:rsidR="00EF0C55" w:rsidRPr="004D0C63" w:rsidRDefault="00EF0C55" w:rsidP="00F85C35">
      <w:r w:rsidRPr="004D0C63">
        <w:rPr>
          <w:noProof/>
        </w:rPr>
        <w:lastRenderedPageBreak/>
        <w:drawing>
          <wp:inline distT="0" distB="0" distL="0" distR="0" wp14:anchorId="1EB0935E" wp14:editId="0491C031">
            <wp:extent cx="5731510" cy="3571875"/>
            <wp:effectExtent l="0" t="0" r="2540" b="9525"/>
            <wp:docPr id="1542551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51811" name=""/>
                    <pic:cNvPicPr/>
                  </pic:nvPicPr>
                  <pic:blipFill>
                    <a:blip r:embed="rId28"/>
                    <a:stretch>
                      <a:fillRect/>
                    </a:stretch>
                  </pic:blipFill>
                  <pic:spPr>
                    <a:xfrm>
                      <a:off x="0" y="0"/>
                      <a:ext cx="5731510" cy="3571875"/>
                    </a:xfrm>
                    <a:prstGeom prst="rect">
                      <a:avLst/>
                    </a:prstGeom>
                  </pic:spPr>
                </pic:pic>
              </a:graphicData>
            </a:graphic>
          </wp:inline>
        </w:drawing>
      </w:r>
    </w:p>
    <w:p w14:paraId="75B21D64" w14:textId="5549CAA1" w:rsidR="00F85514" w:rsidRPr="004D0C63" w:rsidRDefault="00F85514" w:rsidP="00F85C35">
      <w:pPr>
        <w:pStyle w:val="Caption"/>
      </w:pPr>
      <w:r w:rsidRPr="004D0C63">
        <w:t>Figure S</w:t>
      </w:r>
      <w:fldSimple w:instr=" SEQ Figure_S \* ARABIC ">
        <w:r w:rsidR="00A939E8" w:rsidRPr="004D0C63">
          <w:t>10</w:t>
        </w:r>
      </w:fldSimple>
      <w:r w:rsidRPr="004D0C63">
        <w:t>. Total yearly production in euro and megatonnes of all EU27 countries for the given products. Uncertainty reported represents the total std.</w:t>
      </w:r>
    </w:p>
    <w:p w14:paraId="5BA17AEE" w14:textId="61EA5BC0" w:rsidR="00EF0C55" w:rsidRPr="004D0C63" w:rsidRDefault="00D26DF3" w:rsidP="00F85C35">
      <w:r w:rsidRPr="004D0C63">
        <w:rPr>
          <w:noProof/>
        </w:rPr>
        <w:drawing>
          <wp:inline distT="0" distB="0" distL="0" distR="0" wp14:anchorId="76CEB2C8" wp14:editId="6FCA27DA">
            <wp:extent cx="5731510" cy="3571875"/>
            <wp:effectExtent l="0" t="0" r="2540" b="9525"/>
            <wp:docPr id="2042242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42005" name=""/>
                    <pic:cNvPicPr/>
                  </pic:nvPicPr>
                  <pic:blipFill>
                    <a:blip r:embed="rId29"/>
                    <a:stretch>
                      <a:fillRect/>
                    </a:stretch>
                  </pic:blipFill>
                  <pic:spPr>
                    <a:xfrm>
                      <a:off x="0" y="0"/>
                      <a:ext cx="5731510" cy="3571875"/>
                    </a:xfrm>
                    <a:prstGeom prst="rect">
                      <a:avLst/>
                    </a:prstGeom>
                  </pic:spPr>
                </pic:pic>
              </a:graphicData>
            </a:graphic>
          </wp:inline>
        </w:drawing>
      </w:r>
    </w:p>
    <w:p w14:paraId="5E8F1506" w14:textId="714FFF1A" w:rsidR="00F85514" w:rsidRPr="004D0C63" w:rsidRDefault="00F85514" w:rsidP="00F85C35">
      <w:pPr>
        <w:pStyle w:val="Caption"/>
      </w:pPr>
      <w:r w:rsidRPr="004D0C63">
        <w:t>Figure S</w:t>
      </w:r>
      <w:fldSimple w:instr=" SEQ Figure_S \* ARABIC ">
        <w:r w:rsidR="00A939E8" w:rsidRPr="004D0C63">
          <w:t>11</w:t>
        </w:r>
      </w:fldSimple>
      <w:r w:rsidRPr="004D0C63">
        <w:t>. Total yearly consumption in euro and megatonnes of all EU27 countries for the given products. Uncertainty reported represents the total std.</w:t>
      </w:r>
    </w:p>
    <w:p w14:paraId="45E5DBDC" w14:textId="582BDDAE" w:rsidR="004E4E53" w:rsidRPr="004D0C63" w:rsidRDefault="00D26DF3" w:rsidP="00F85C35">
      <w:r w:rsidRPr="004D0C63">
        <w:rPr>
          <w:noProof/>
        </w:rPr>
        <w:lastRenderedPageBreak/>
        <w:drawing>
          <wp:inline distT="0" distB="0" distL="0" distR="0" wp14:anchorId="7CF0E86F" wp14:editId="0416B538">
            <wp:extent cx="5731510" cy="3573145"/>
            <wp:effectExtent l="0" t="0" r="2540" b="8255"/>
            <wp:docPr id="889887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87736" name=""/>
                    <pic:cNvPicPr/>
                  </pic:nvPicPr>
                  <pic:blipFill>
                    <a:blip r:embed="rId30"/>
                    <a:stretch>
                      <a:fillRect/>
                    </a:stretch>
                  </pic:blipFill>
                  <pic:spPr>
                    <a:xfrm>
                      <a:off x="0" y="0"/>
                      <a:ext cx="5731510" cy="3573145"/>
                    </a:xfrm>
                    <a:prstGeom prst="rect">
                      <a:avLst/>
                    </a:prstGeom>
                  </pic:spPr>
                </pic:pic>
              </a:graphicData>
            </a:graphic>
          </wp:inline>
        </w:drawing>
      </w:r>
    </w:p>
    <w:p w14:paraId="75523DF0" w14:textId="00475009" w:rsidR="00F85514" w:rsidRPr="004D0C63" w:rsidRDefault="00F85514" w:rsidP="00F85C35">
      <w:pPr>
        <w:pStyle w:val="Caption"/>
      </w:pPr>
      <w:r w:rsidRPr="004D0C63">
        <w:t>Figure S</w:t>
      </w:r>
      <w:fldSimple w:instr=" SEQ Figure_S \* ARABIC ">
        <w:r w:rsidR="00A939E8" w:rsidRPr="004D0C63">
          <w:t>12</w:t>
        </w:r>
      </w:fldSimple>
      <w:r w:rsidRPr="004D0C63">
        <w:t>. Total yearly consumption in euro and megatonnes of all EU27 countries for the given products. Uncertainty reported represents the total std.</w:t>
      </w:r>
    </w:p>
    <w:p w14:paraId="2A2F594B" w14:textId="407A7996" w:rsidR="008D6FFC" w:rsidRPr="004D0C63" w:rsidRDefault="004E4E53" w:rsidP="00DC0527">
      <w:pPr>
        <w:pStyle w:val="Heading2"/>
      </w:pPr>
      <w:r w:rsidRPr="004D0C63">
        <w:br w:type="page"/>
      </w:r>
      <w:bookmarkStart w:id="18" w:name="_Toc236230885"/>
      <w:r w:rsidR="008D6FFC" w:rsidRPr="004D0C63">
        <w:lastRenderedPageBreak/>
        <w:t>Detailed stock</w:t>
      </w:r>
      <w:bookmarkEnd w:id="18"/>
    </w:p>
    <w:p w14:paraId="54DC5F19" w14:textId="72AC59AB" w:rsidR="00BB0EF3" w:rsidRPr="004D0C63" w:rsidRDefault="004E4CB2" w:rsidP="00F85C35">
      <w:r w:rsidRPr="004D0C63">
        <w:rPr>
          <w:noProof/>
        </w:rPr>
        <w:drawing>
          <wp:inline distT="0" distB="0" distL="0" distR="0" wp14:anchorId="35D779E8" wp14:editId="1536CEE8">
            <wp:extent cx="6096635" cy="7486650"/>
            <wp:effectExtent l="0" t="0" r="0" b="0"/>
            <wp:docPr id="1968449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6635" cy="7486650"/>
                    </a:xfrm>
                    <a:prstGeom prst="rect">
                      <a:avLst/>
                    </a:prstGeom>
                    <a:noFill/>
                  </pic:spPr>
                </pic:pic>
              </a:graphicData>
            </a:graphic>
          </wp:inline>
        </w:drawing>
      </w:r>
    </w:p>
    <w:p w14:paraId="01CFB214" w14:textId="66866CF3" w:rsidR="004E4CB2" w:rsidRPr="004D0C63" w:rsidRDefault="004E4CB2" w:rsidP="00F85C35">
      <w:pPr>
        <w:pStyle w:val="Caption"/>
      </w:pPr>
      <w:r w:rsidRPr="004D0C63">
        <w:t>Figure S</w:t>
      </w:r>
      <w:fldSimple w:instr=" SEQ Figure_S \* ARABIC ">
        <w:r w:rsidR="00A939E8" w:rsidRPr="004D0C63">
          <w:t>13</w:t>
        </w:r>
      </w:fldSimple>
      <w:r w:rsidRPr="004D0C63">
        <w:t xml:space="preserve">. Yearly stock amount in megatonnes for each product category and </w:t>
      </w:r>
      <w:r w:rsidR="002F0E29" w:rsidRPr="004D0C63">
        <w:t>EU</w:t>
      </w:r>
      <w:r w:rsidR="00E42A6F" w:rsidRPr="004D0C63">
        <w:t>27 country</w:t>
      </w:r>
      <w:r w:rsidR="00D40AAD" w:rsidRPr="004D0C63">
        <w:t xml:space="preserve">. Stock estimates before 2015 are not considered valid. </w:t>
      </w:r>
      <w:r w:rsidR="009E36F4" w:rsidRPr="004D0C63">
        <w:t>Countries’</w:t>
      </w:r>
      <w:r w:rsidR="00D40AAD" w:rsidRPr="004D0C63">
        <w:t xml:space="preserve"> names are reported according to their ISO 3-letter code.</w:t>
      </w:r>
    </w:p>
    <w:p w14:paraId="25FFAB33" w14:textId="668E63E1" w:rsidR="00E63F4E" w:rsidRPr="004D0C63" w:rsidRDefault="00E63F4E" w:rsidP="00F85C35">
      <w:r w:rsidRPr="004D0C63">
        <w:rPr>
          <w:noProof/>
        </w:rPr>
        <w:lastRenderedPageBreak/>
        <w:drawing>
          <wp:inline distT="0" distB="0" distL="0" distR="0" wp14:anchorId="33DE9A61" wp14:editId="32C5BA72">
            <wp:extent cx="6200140" cy="7590155"/>
            <wp:effectExtent l="0" t="0" r="0" b="0"/>
            <wp:docPr id="1745498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0140" cy="7590155"/>
                    </a:xfrm>
                    <a:prstGeom prst="rect">
                      <a:avLst/>
                    </a:prstGeom>
                    <a:noFill/>
                  </pic:spPr>
                </pic:pic>
              </a:graphicData>
            </a:graphic>
          </wp:inline>
        </w:drawing>
      </w:r>
    </w:p>
    <w:p w14:paraId="2D1A0270" w14:textId="4B37E702" w:rsidR="00D24C03" w:rsidRPr="004D0C63" w:rsidRDefault="00E42A6F" w:rsidP="00F85C35">
      <w:pPr>
        <w:pStyle w:val="Caption"/>
      </w:pPr>
      <w:r w:rsidRPr="004D0C63">
        <w:t>Figure S13 (continued). Yearly stock amount in megatonnes for each product category and EU27 country. Stock estimates before 2015 are not considered valid. Countries’ names are reported according to their ISO 3-letter code.</w:t>
      </w:r>
    </w:p>
    <w:p w14:paraId="03811235" w14:textId="178D0EED" w:rsidR="003B296D" w:rsidRPr="004D0C63" w:rsidRDefault="003B296D" w:rsidP="00F85C35">
      <w:r w:rsidRPr="004D0C63">
        <w:rPr>
          <w:noProof/>
        </w:rPr>
        <w:lastRenderedPageBreak/>
        <w:drawing>
          <wp:inline distT="0" distB="0" distL="0" distR="0" wp14:anchorId="79DE1665" wp14:editId="0FDC754F">
            <wp:extent cx="6218555" cy="7583805"/>
            <wp:effectExtent l="0" t="0" r="0" b="0"/>
            <wp:docPr id="338700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8555" cy="7583805"/>
                    </a:xfrm>
                    <a:prstGeom prst="rect">
                      <a:avLst/>
                    </a:prstGeom>
                    <a:noFill/>
                  </pic:spPr>
                </pic:pic>
              </a:graphicData>
            </a:graphic>
          </wp:inline>
        </w:drawing>
      </w:r>
    </w:p>
    <w:p w14:paraId="79086461" w14:textId="70D997D2" w:rsidR="00B67050" w:rsidRPr="004D0C63" w:rsidRDefault="00DF5BC8" w:rsidP="00F85C35">
      <w:pPr>
        <w:pStyle w:val="Caption"/>
      </w:pPr>
      <w:r w:rsidRPr="004D0C63">
        <w:t>Figure S13 (continued). Yearly stock amount in megatonnes for each product category and EU27 country. Stock estimates before 2015 are not considered valid. Countries’ names are reported according to their ISO 3-letter code.</w:t>
      </w:r>
    </w:p>
    <w:p w14:paraId="7D91A886" w14:textId="032734B2" w:rsidR="00B67050" w:rsidRPr="004D0C63" w:rsidRDefault="00B67050" w:rsidP="00F85C35"/>
    <w:p w14:paraId="012BD771" w14:textId="13E399E8" w:rsidR="00D24C03" w:rsidRPr="004D0C63" w:rsidRDefault="009E36F4" w:rsidP="00F85C35">
      <w:r w:rsidRPr="004D0C63">
        <w:rPr>
          <w:noProof/>
        </w:rPr>
        <w:lastRenderedPageBreak/>
        <w:drawing>
          <wp:inline distT="0" distB="0" distL="0" distR="0" wp14:anchorId="44B089A1" wp14:editId="25F06F1E">
            <wp:extent cx="6200140" cy="7566025"/>
            <wp:effectExtent l="0" t="0" r="0" b="0"/>
            <wp:docPr id="13595958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00140" cy="7566025"/>
                    </a:xfrm>
                    <a:prstGeom prst="rect">
                      <a:avLst/>
                    </a:prstGeom>
                    <a:noFill/>
                  </pic:spPr>
                </pic:pic>
              </a:graphicData>
            </a:graphic>
          </wp:inline>
        </w:drawing>
      </w:r>
    </w:p>
    <w:p w14:paraId="36DD46F5" w14:textId="77777777" w:rsidR="00DF5BC8" w:rsidRPr="004D0C63" w:rsidRDefault="00DF5BC8" w:rsidP="00F85C35">
      <w:pPr>
        <w:pStyle w:val="Caption"/>
      </w:pPr>
      <w:r w:rsidRPr="004D0C63">
        <w:t>Figure S13 (continued). Yearly stock amount in megatonnes for each product category and EU27 country. Stock estimates before 2015 are not considered valid. Countries’ names are reported according to their ISO 3-letter code.</w:t>
      </w:r>
    </w:p>
    <w:p w14:paraId="6ED37149" w14:textId="0DC4181A" w:rsidR="00B67050" w:rsidRPr="004D0C63" w:rsidRDefault="003F08C3" w:rsidP="00F85C35">
      <w:pPr>
        <w:pStyle w:val="Caption"/>
      </w:pPr>
      <w:r w:rsidRPr="004D0C63">
        <w:rPr>
          <w:noProof/>
        </w:rPr>
        <w:lastRenderedPageBreak/>
        <w:drawing>
          <wp:inline distT="0" distB="0" distL="0" distR="0" wp14:anchorId="695E10A3" wp14:editId="7885F290">
            <wp:extent cx="6193790" cy="4298315"/>
            <wp:effectExtent l="0" t="0" r="0" b="6985"/>
            <wp:docPr id="919598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3790" cy="4298315"/>
                    </a:xfrm>
                    <a:prstGeom prst="rect">
                      <a:avLst/>
                    </a:prstGeom>
                    <a:noFill/>
                  </pic:spPr>
                </pic:pic>
              </a:graphicData>
            </a:graphic>
          </wp:inline>
        </w:drawing>
      </w:r>
    </w:p>
    <w:p w14:paraId="66A35BF4" w14:textId="79225C8C" w:rsidR="00D24C03" w:rsidRPr="004D0C63" w:rsidRDefault="00DF5BC8" w:rsidP="00F85C35">
      <w:pPr>
        <w:pStyle w:val="Caption"/>
      </w:pPr>
      <w:r w:rsidRPr="004D0C63">
        <w:t>Figure S13 (continued). Yearly stock amount in megatonnes for each product category and EU27 country. Stock estimates before 2015 are not considered valid. Countries’ names are reported according to their ISO 3-letter code.</w:t>
      </w:r>
    </w:p>
    <w:p w14:paraId="44FE1C67" w14:textId="112BCE93" w:rsidR="00D24C03" w:rsidRPr="004D0C63" w:rsidRDefault="00C6529B" w:rsidP="00DC0527">
      <w:pPr>
        <w:pStyle w:val="Heading2"/>
      </w:pPr>
      <w:r w:rsidRPr="004D0C63">
        <w:t xml:space="preserve"> </w:t>
      </w:r>
      <w:bookmarkStart w:id="19" w:name="_Toc236230886"/>
      <w:r w:rsidRPr="004D0C63">
        <w:t>Waste</w:t>
      </w:r>
      <w:bookmarkEnd w:id="19"/>
    </w:p>
    <w:p w14:paraId="65AE4EA3" w14:textId="42797AF6" w:rsidR="000E1DE4" w:rsidRPr="004D0C63" w:rsidRDefault="000E1DE4" w:rsidP="00F85C35">
      <w:pPr>
        <w:pStyle w:val="Heading3"/>
      </w:pPr>
      <w:bookmarkStart w:id="20" w:name="_Toc236230887"/>
      <w:r w:rsidRPr="004D0C63">
        <w:t>Detailed material composition at the EU level</w:t>
      </w:r>
      <w:bookmarkEnd w:id="20"/>
    </w:p>
    <w:p w14:paraId="412625EE" w14:textId="6F89F1DA" w:rsidR="000E1DE4" w:rsidRPr="004D0C63" w:rsidRDefault="000E1DE4" w:rsidP="00F85C35">
      <w:r w:rsidRPr="004D0C63">
        <w:rPr>
          <w:noProof/>
        </w:rPr>
        <w:drawing>
          <wp:inline distT="0" distB="0" distL="0" distR="0" wp14:anchorId="1A102299" wp14:editId="07C7ECDF">
            <wp:extent cx="5554151" cy="2021305"/>
            <wp:effectExtent l="0" t="0" r="8890" b="0"/>
            <wp:docPr id="1189675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75007" name=""/>
                    <pic:cNvPicPr/>
                  </pic:nvPicPr>
                  <pic:blipFill rotWithShape="1">
                    <a:blip r:embed="rId36"/>
                    <a:srcRect t="-82" b="79793"/>
                    <a:stretch>
                      <a:fillRect/>
                    </a:stretch>
                  </pic:blipFill>
                  <pic:spPr bwMode="auto">
                    <a:xfrm>
                      <a:off x="0" y="0"/>
                      <a:ext cx="5587947" cy="2033604"/>
                    </a:xfrm>
                    <a:prstGeom prst="rect">
                      <a:avLst/>
                    </a:prstGeom>
                    <a:ln>
                      <a:noFill/>
                    </a:ln>
                    <a:extLst>
                      <a:ext uri="{53640926-AAD7-44D8-BBD7-CCE9431645EC}">
                        <a14:shadowObscured xmlns:a14="http://schemas.microsoft.com/office/drawing/2010/main"/>
                      </a:ext>
                    </a:extLst>
                  </pic:spPr>
                </pic:pic>
              </a:graphicData>
            </a:graphic>
          </wp:inline>
        </w:drawing>
      </w:r>
    </w:p>
    <w:p w14:paraId="60DF86EC" w14:textId="065B17CB" w:rsidR="006569DA" w:rsidRPr="004D0C63" w:rsidRDefault="00DF5BC8" w:rsidP="00F85C35">
      <w:pPr>
        <w:pStyle w:val="Caption"/>
      </w:pPr>
      <w:r w:rsidRPr="004D0C63">
        <w:t>Figure S</w:t>
      </w:r>
      <w:fldSimple w:instr=" SEQ Figure_S \* ARABIC ">
        <w:r w:rsidR="00A939E8" w:rsidRPr="004D0C63">
          <w:t>14</w:t>
        </w:r>
      </w:fldSimple>
      <w:r w:rsidRPr="004D0C63">
        <w:t>. Detailed material composition</w:t>
      </w:r>
      <w:r w:rsidR="008C2827" w:rsidRPr="004D0C63">
        <w:t xml:space="preserve"> of stock. Yearly amount of </w:t>
      </w:r>
      <w:r w:rsidR="00E43D69" w:rsidRPr="004D0C63">
        <w:t xml:space="preserve">each specific material divided </w:t>
      </w:r>
      <w:r w:rsidR="008E4AC6" w:rsidRPr="004D0C63">
        <w:t>into</w:t>
      </w:r>
      <w:r w:rsidR="00E43D69" w:rsidRPr="004D0C63">
        <w:t xml:space="preserve"> its macro material category aggregated for all products and EU27 country.</w:t>
      </w:r>
      <w:r w:rsidR="008776D5" w:rsidRPr="004D0C63">
        <w:t xml:space="preserve"> Absolute amounts before 2015 are not considered accurate.</w:t>
      </w:r>
    </w:p>
    <w:p w14:paraId="1C18DF54" w14:textId="013C5B62" w:rsidR="000E1DE4" w:rsidRPr="004D0C63" w:rsidRDefault="000E1DE4" w:rsidP="00F85C35">
      <w:r w:rsidRPr="004D0C63">
        <w:rPr>
          <w:noProof/>
        </w:rPr>
        <w:lastRenderedPageBreak/>
        <w:drawing>
          <wp:inline distT="0" distB="0" distL="0" distR="0" wp14:anchorId="038A651E" wp14:editId="11B68C88">
            <wp:extent cx="5766099" cy="8248697"/>
            <wp:effectExtent l="0" t="0" r="6350" b="0"/>
            <wp:docPr id="222432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75007" name=""/>
                    <pic:cNvPicPr/>
                  </pic:nvPicPr>
                  <pic:blipFill rotWithShape="1">
                    <a:blip r:embed="rId36"/>
                    <a:srcRect t="20249" b="1"/>
                    <a:stretch>
                      <a:fillRect/>
                    </a:stretch>
                  </pic:blipFill>
                  <pic:spPr bwMode="auto">
                    <a:xfrm>
                      <a:off x="0" y="0"/>
                      <a:ext cx="5779082" cy="8267269"/>
                    </a:xfrm>
                    <a:prstGeom prst="rect">
                      <a:avLst/>
                    </a:prstGeom>
                    <a:ln>
                      <a:noFill/>
                    </a:ln>
                    <a:extLst>
                      <a:ext uri="{53640926-AAD7-44D8-BBD7-CCE9431645EC}">
                        <a14:shadowObscured xmlns:a14="http://schemas.microsoft.com/office/drawing/2010/main"/>
                      </a:ext>
                    </a:extLst>
                  </pic:spPr>
                </pic:pic>
              </a:graphicData>
            </a:graphic>
          </wp:inline>
        </w:drawing>
      </w:r>
    </w:p>
    <w:p w14:paraId="365D2E80" w14:textId="3553D53A" w:rsidR="00E43D69" w:rsidRPr="004D0C63" w:rsidRDefault="00E43D69" w:rsidP="00F85C35">
      <w:pPr>
        <w:pStyle w:val="Caption"/>
      </w:pPr>
      <w:r w:rsidRPr="004D0C63">
        <w:t xml:space="preserve">Figure S14 (continued). Detailed material composition of stock. Yearly amount of each specific material divided </w:t>
      </w:r>
      <w:r w:rsidR="008E4AC6" w:rsidRPr="004D0C63">
        <w:t>into</w:t>
      </w:r>
      <w:r w:rsidRPr="004D0C63">
        <w:t xml:space="preserve"> its macro material category aggregated for all products and EU27 country.</w:t>
      </w:r>
      <w:r w:rsidR="008776D5" w:rsidRPr="004D0C63">
        <w:t xml:space="preserve"> Absolute amounts before 2015 are not considered accurate.</w:t>
      </w:r>
    </w:p>
    <w:p w14:paraId="02958BDC" w14:textId="77777777" w:rsidR="006569DA" w:rsidRPr="004D0C63" w:rsidRDefault="006569DA" w:rsidP="00F85C35"/>
    <w:p w14:paraId="2E163C80" w14:textId="2B60E35C" w:rsidR="009820A0" w:rsidRPr="004D0C63" w:rsidRDefault="00132132" w:rsidP="00F85C35">
      <w:pPr>
        <w:pStyle w:val="Heading3"/>
      </w:pPr>
      <w:bookmarkStart w:id="21" w:name="_Toc236230888"/>
      <w:r w:rsidRPr="004D0C63">
        <w:t>Material composition at the country level</w:t>
      </w:r>
      <w:bookmarkEnd w:id="21"/>
    </w:p>
    <w:p w14:paraId="5D51486C" w14:textId="7A6FBAE5" w:rsidR="00753DAD" w:rsidRPr="004D0C63" w:rsidRDefault="00753DAD" w:rsidP="00F85C35">
      <w:r w:rsidRPr="004D0C63">
        <w:rPr>
          <w:noProof/>
        </w:rPr>
        <w:drawing>
          <wp:inline distT="0" distB="0" distL="0" distR="0" wp14:anchorId="2B61E39F" wp14:editId="5861D054">
            <wp:extent cx="5999120" cy="5951621"/>
            <wp:effectExtent l="0" t="0" r="1905" b="0"/>
            <wp:docPr id="45139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9512" name=""/>
                    <pic:cNvPicPr/>
                  </pic:nvPicPr>
                  <pic:blipFill rotWithShape="1">
                    <a:blip r:embed="rId37"/>
                    <a:srcRect b="56118"/>
                    <a:stretch>
                      <a:fillRect/>
                    </a:stretch>
                  </pic:blipFill>
                  <pic:spPr bwMode="auto">
                    <a:xfrm>
                      <a:off x="0" y="0"/>
                      <a:ext cx="6066204" cy="6018174"/>
                    </a:xfrm>
                    <a:prstGeom prst="rect">
                      <a:avLst/>
                    </a:prstGeom>
                    <a:ln>
                      <a:noFill/>
                    </a:ln>
                    <a:extLst>
                      <a:ext uri="{53640926-AAD7-44D8-BBD7-CCE9431645EC}">
                        <a14:shadowObscured xmlns:a14="http://schemas.microsoft.com/office/drawing/2010/main"/>
                      </a:ext>
                    </a:extLst>
                  </pic:spPr>
                </pic:pic>
              </a:graphicData>
            </a:graphic>
          </wp:inline>
        </w:drawing>
      </w:r>
    </w:p>
    <w:p w14:paraId="0D1E0EE1" w14:textId="3B4083F6" w:rsidR="00121996" w:rsidRPr="004D0C63" w:rsidRDefault="00EE12B4" w:rsidP="00F85C35">
      <w:r w:rsidRPr="004D0C63">
        <w:rPr>
          <w:noProof/>
        </w:rPr>
        <w:drawing>
          <wp:inline distT="0" distB="0" distL="0" distR="0" wp14:anchorId="351341FE" wp14:editId="08E31C6A">
            <wp:extent cx="5727043" cy="581660"/>
            <wp:effectExtent l="0" t="0" r="7620" b="8890"/>
            <wp:docPr id="1021089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89821" name=""/>
                    <pic:cNvPicPr/>
                  </pic:nvPicPr>
                  <pic:blipFill rotWithShape="1">
                    <a:blip r:embed="rId38"/>
                    <a:srcRect t="38218" b="37934"/>
                    <a:stretch>
                      <a:fillRect/>
                    </a:stretch>
                  </pic:blipFill>
                  <pic:spPr bwMode="auto">
                    <a:xfrm>
                      <a:off x="0" y="0"/>
                      <a:ext cx="5756181" cy="584619"/>
                    </a:xfrm>
                    <a:prstGeom prst="rect">
                      <a:avLst/>
                    </a:prstGeom>
                    <a:ln>
                      <a:noFill/>
                    </a:ln>
                    <a:extLst>
                      <a:ext uri="{53640926-AAD7-44D8-BBD7-CCE9431645EC}">
                        <a14:shadowObscured xmlns:a14="http://schemas.microsoft.com/office/drawing/2010/main"/>
                      </a:ext>
                    </a:extLst>
                  </pic:spPr>
                </pic:pic>
              </a:graphicData>
            </a:graphic>
          </wp:inline>
        </w:drawing>
      </w:r>
    </w:p>
    <w:p w14:paraId="74792F54" w14:textId="549FB367" w:rsidR="00111B93" w:rsidRPr="004D0C63" w:rsidRDefault="00111B93" w:rsidP="00F85C35">
      <w:pPr>
        <w:pStyle w:val="Caption"/>
      </w:pPr>
      <w:r w:rsidRPr="004D0C63">
        <w:t>Figure S</w:t>
      </w:r>
      <w:fldSimple w:instr=" SEQ Figure_S \* ARABIC ">
        <w:r w:rsidR="00A939E8" w:rsidRPr="004D0C63">
          <w:t>15</w:t>
        </w:r>
      </w:fldSimple>
      <w:r w:rsidRPr="004D0C63">
        <w:t xml:space="preserve">. Material composition </w:t>
      </w:r>
      <w:r w:rsidR="00A939E8" w:rsidRPr="004D0C63">
        <w:t xml:space="preserve">in megatonnes </w:t>
      </w:r>
      <w:r w:rsidRPr="004D0C63">
        <w:t>of</w:t>
      </w:r>
      <w:r w:rsidR="00A939E8" w:rsidRPr="004D0C63">
        <w:t xml:space="preserve"> total furniture going to waste per EU27 country. Calculations before 2015 are not considered accurate.</w:t>
      </w:r>
    </w:p>
    <w:p w14:paraId="68776699" w14:textId="02BD5417" w:rsidR="00EE12B4" w:rsidRPr="004D0C63" w:rsidRDefault="00EE12B4" w:rsidP="00F85C35">
      <w:r w:rsidRPr="004D0C63">
        <w:rPr>
          <w:noProof/>
        </w:rPr>
        <w:lastRenderedPageBreak/>
        <w:drawing>
          <wp:inline distT="0" distB="0" distL="0" distR="0" wp14:anchorId="344F965A" wp14:editId="00304EF1">
            <wp:extent cx="5730201" cy="7247790"/>
            <wp:effectExtent l="0" t="0" r="4445" b="0"/>
            <wp:docPr id="804498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9512" name=""/>
                    <pic:cNvPicPr/>
                  </pic:nvPicPr>
                  <pic:blipFill rotWithShape="1">
                    <a:blip r:embed="rId37"/>
                    <a:srcRect t="44000" b="54"/>
                    <a:stretch>
                      <a:fillRect/>
                    </a:stretch>
                  </pic:blipFill>
                  <pic:spPr bwMode="auto">
                    <a:xfrm>
                      <a:off x="0" y="0"/>
                      <a:ext cx="5731510" cy="7249446"/>
                    </a:xfrm>
                    <a:prstGeom prst="rect">
                      <a:avLst/>
                    </a:prstGeom>
                    <a:ln>
                      <a:noFill/>
                    </a:ln>
                    <a:extLst>
                      <a:ext uri="{53640926-AAD7-44D8-BBD7-CCE9431645EC}">
                        <a14:shadowObscured xmlns:a14="http://schemas.microsoft.com/office/drawing/2010/main"/>
                      </a:ext>
                    </a:extLst>
                  </pic:spPr>
                </pic:pic>
              </a:graphicData>
            </a:graphic>
          </wp:inline>
        </w:drawing>
      </w:r>
    </w:p>
    <w:p w14:paraId="09236100" w14:textId="2D4CEB4F" w:rsidR="00EE12B4" w:rsidRPr="004D0C63" w:rsidRDefault="00EE12B4" w:rsidP="00F85C35">
      <w:r w:rsidRPr="004D0C63">
        <w:rPr>
          <w:noProof/>
        </w:rPr>
        <w:drawing>
          <wp:inline distT="0" distB="0" distL="0" distR="0" wp14:anchorId="7AEBF2EA" wp14:editId="48D2E435">
            <wp:extent cx="5729317" cy="581891"/>
            <wp:effectExtent l="0" t="0" r="5080" b="8890"/>
            <wp:docPr id="1129075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89821" name=""/>
                    <pic:cNvPicPr/>
                  </pic:nvPicPr>
                  <pic:blipFill rotWithShape="1">
                    <a:blip r:embed="rId38"/>
                    <a:srcRect t="38218" b="37934"/>
                    <a:stretch>
                      <a:fillRect/>
                    </a:stretch>
                  </pic:blipFill>
                  <pic:spPr bwMode="auto">
                    <a:xfrm>
                      <a:off x="0" y="0"/>
                      <a:ext cx="5731510" cy="582114"/>
                    </a:xfrm>
                    <a:prstGeom prst="rect">
                      <a:avLst/>
                    </a:prstGeom>
                    <a:ln>
                      <a:noFill/>
                    </a:ln>
                    <a:extLst>
                      <a:ext uri="{53640926-AAD7-44D8-BBD7-CCE9431645EC}">
                        <a14:shadowObscured xmlns:a14="http://schemas.microsoft.com/office/drawing/2010/main"/>
                      </a:ext>
                    </a:extLst>
                  </pic:spPr>
                </pic:pic>
              </a:graphicData>
            </a:graphic>
          </wp:inline>
        </w:drawing>
      </w:r>
    </w:p>
    <w:p w14:paraId="6A7383BD" w14:textId="14604047" w:rsidR="00A939E8" w:rsidRPr="004D0C63" w:rsidRDefault="00A939E8" w:rsidP="00F85C35">
      <w:pPr>
        <w:pStyle w:val="Caption"/>
      </w:pPr>
      <w:r w:rsidRPr="004D0C63">
        <w:t>Figure S15 (continued). Material composition in megatonnes of total furniture going to waste per EU27 country. Calculations before 2015 are not considered accurate.</w:t>
      </w:r>
    </w:p>
    <w:p w14:paraId="44051FFE" w14:textId="37ACFE33" w:rsidR="000E1DE4" w:rsidRPr="004D0C63" w:rsidRDefault="000E1DE4" w:rsidP="00F85C35">
      <w:r w:rsidRPr="004D0C63">
        <w:br w:type="page"/>
      </w:r>
    </w:p>
    <w:p w14:paraId="02A0CE30" w14:textId="7A4036EE" w:rsidR="000E1DE4" w:rsidRPr="004D0C63" w:rsidRDefault="000E1DE4" w:rsidP="00F85C35">
      <w:pPr>
        <w:pStyle w:val="Heading3"/>
      </w:pPr>
      <w:bookmarkStart w:id="22" w:name="_Toc236230889"/>
      <w:r w:rsidRPr="004D0C63">
        <w:lastRenderedPageBreak/>
        <w:t>Waste treatment at the country level</w:t>
      </w:r>
      <w:bookmarkEnd w:id="22"/>
    </w:p>
    <w:p w14:paraId="32D00AA9" w14:textId="2D477512" w:rsidR="0098002F" w:rsidRPr="004D0C63" w:rsidRDefault="000E1DE4" w:rsidP="00F85C35">
      <w:r w:rsidRPr="004D0C63">
        <w:rPr>
          <w:noProof/>
        </w:rPr>
        <w:drawing>
          <wp:inline distT="0" distB="0" distL="0" distR="0" wp14:anchorId="29630CA1" wp14:editId="591BD4D7">
            <wp:extent cx="5595352" cy="7853082"/>
            <wp:effectExtent l="0" t="0" r="5715" b="0"/>
            <wp:docPr id="1390284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84561" name=""/>
                    <pic:cNvPicPr/>
                  </pic:nvPicPr>
                  <pic:blipFill rotWithShape="1">
                    <a:blip r:embed="rId39"/>
                    <a:srcRect b="44185"/>
                    <a:stretch>
                      <a:fillRect/>
                    </a:stretch>
                  </pic:blipFill>
                  <pic:spPr bwMode="auto">
                    <a:xfrm>
                      <a:off x="0" y="0"/>
                      <a:ext cx="5606131" cy="7868210"/>
                    </a:xfrm>
                    <a:prstGeom prst="rect">
                      <a:avLst/>
                    </a:prstGeom>
                    <a:ln>
                      <a:noFill/>
                    </a:ln>
                    <a:extLst>
                      <a:ext uri="{53640926-AAD7-44D8-BBD7-CCE9431645EC}">
                        <a14:shadowObscured xmlns:a14="http://schemas.microsoft.com/office/drawing/2010/main"/>
                      </a:ext>
                    </a:extLst>
                  </pic:spPr>
                </pic:pic>
              </a:graphicData>
            </a:graphic>
          </wp:inline>
        </w:drawing>
      </w:r>
    </w:p>
    <w:p w14:paraId="5ADDE64A" w14:textId="04A85B23" w:rsidR="00A939E8" w:rsidRPr="004D0C63" w:rsidRDefault="00A939E8" w:rsidP="00F85C35">
      <w:pPr>
        <w:pStyle w:val="Caption"/>
      </w:pPr>
      <w:r w:rsidRPr="004D0C63">
        <w:t>Figure S</w:t>
      </w:r>
      <w:fldSimple w:instr=" SEQ Figure_S \* ARABIC ">
        <w:r w:rsidRPr="004D0C63">
          <w:t>16</w:t>
        </w:r>
      </w:fldSimple>
      <w:r w:rsidRPr="004D0C63">
        <w:t xml:space="preserve">. Waste amount in megatonnes </w:t>
      </w:r>
      <w:r w:rsidR="008776D5" w:rsidRPr="004D0C63">
        <w:t xml:space="preserve">and proportion of waste treatment </w:t>
      </w:r>
      <w:r w:rsidRPr="004D0C63">
        <w:t xml:space="preserve">of total furniture going to waste per EU27 country. </w:t>
      </w:r>
    </w:p>
    <w:p w14:paraId="7096454A" w14:textId="77777777" w:rsidR="00A939E8" w:rsidRPr="004D0C63" w:rsidRDefault="00A939E8" w:rsidP="00F85C35"/>
    <w:p w14:paraId="42212BF4" w14:textId="2CD6C940" w:rsidR="000E1DE4" w:rsidRPr="004D0C63" w:rsidRDefault="000E1DE4" w:rsidP="00F85C35">
      <w:r w:rsidRPr="004D0C63">
        <w:rPr>
          <w:noProof/>
        </w:rPr>
        <w:lastRenderedPageBreak/>
        <w:drawing>
          <wp:inline distT="0" distB="0" distL="0" distR="0" wp14:anchorId="46F36E85" wp14:editId="1164FE8F">
            <wp:extent cx="5730875" cy="6400800"/>
            <wp:effectExtent l="0" t="0" r="3175" b="0"/>
            <wp:docPr id="1998851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84561" name=""/>
                    <pic:cNvPicPr/>
                  </pic:nvPicPr>
                  <pic:blipFill rotWithShape="1">
                    <a:blip r:embed="rId39"/>
                    <a:srcRect t="55339" b="248"/>
                    <a:stretch>
                      <a:fillRect/>
                    </a:stretch>
                  </pic:blipFill>
                  <pic:spPr bwMode="auto">
                    <a:xfrm>
                      <a:off x="0" y="0"/>
                      <a:ext cx="5731510" cy="6401509"/>
                    </a:xfrm>
                    <a:prstGeom prst="rect">
                      <a:avLst/>
                    </a:prstGeom>
                    <a:ln>
                      <a:noFill/>
                    </a:ln>
                    <a:extLst>
                      <a:ext uri="{53640926-AAD7-44D8-BBD7-CCE9431645EC}">
                        <a14:shadowObscured xmlns:a14="http://schemas.microsoft.com/office/drawing/2010/main"/>
                      </a:ext>
                    </a:extLst>
                  </pic:spPr>
                </pic:pic>
              </a:graphicData>
            </a:graphic>
          </wp:inline>
        </w:drawing>
      </w:r>
    </w:p>
    <w:p w14:paraId="4781E1E8" w14:textId="111FB1A9" w:rsidR="008776D5" w:rsidRPr="004D0C63" w:rsidRDefault="008776D5" w:rsidP="00F85C35">
      <w:pPr>
        <w:pStyle w:val="Caption"/>
      </w:pPr>
      <w:r w:rsidRPr="004D0C63">
        <w:t>Figure S16 (continued). Waste amount in megatonnes and proportion of waste treatment of total furniture going to waste per EU27 country.</w:t>
      </w:r>
    </w:p>
    <w:p w14:paraId="446442CE" w14:textId="0C883808" w:rsidR="005B1A23" w:rsidRPr="004D0C63" w:rsidRDefault="005B1A23" w:rsidP="00F85C35"/>
    <w:p w14:paraId="372A4056" w14:textId="51E75439" w:rsidR="008E1A44" w:rsidRPr="004D0C63" w:rsidRDefault="008E1A44" w:rsidP="00F85C35"/>
    <w:p w14:paraId="5199D431" w14:textId="77777777" w:rsidR="00D24C03" w:rsidRPr="004D0C63" w:rsidRDefault="00D24C03" w:rsidP="00F85C35">
      <w:pPr>
        <w:rPr>
          <w:sz w:val="32"/>
          <w:szCs w:val="32"/>
        </w:rPr>
      </w:pPr>
      <w:r w:rsidRPr="004D0C63">
        <w:br w:type="page"/>
      </w:r>
    </w:p>
    <w:p w14:paraId="7729CB16" w14:textId="639476AE" w:rsidR="00004428" w:rsidRPr="004D0C63" w:rsidRDefault="00004428" w:rsidP="00DC0527">
      <w:pPr>
        <w:pStyle w:val="Heading1"/>
      </w:pPr>
      <w:bookmarkStart w:id="23" w:name="_Toc236230890"/>
      <w:r w:rsidRPr="004D0C63">
        <w:lastRenderedPageBreak/>
        <w:t>Bibliography</w:t>
      </w:r>
      <w:bookmarkEnd w:id="23"/>
    </w:p>
    <w:p w14:paraId="000E2BEA" w14:textId="77777777" w:rsidR="00C0182D" w:rsidRPr="004D0C63" w:rsidRDefault="003122ED" w:rsidP="00F85C35">
      <w:pPr>
        <w:pStyle w:val="Bibliography"/>
        <w:rPr>
          <w:kern w:val="0"/>
        </w:rPr>
      </w:pPr>
      <w:r w:rsidRPr="004D0C63">
        <w:fldChar w:fldCharType="begin"/>
      </w:r>
      <w:r w:rsidR="00950CE4" w:rsidRPr="004D0C63">
        <w:instrText xml:space="preserve"> ADDIN ZOTERO_BIBL {"uncited":[],"omitted":[],"custom":[]} CSL_BIBLIOGRAPHY </w:instrText>
      </w:r>
      <w:r w:rsidRPr="004D0C63">
        <w:fldChar w:fldCharType="separate"/>
      </w:r>
      <w:r w:rsidR="00C0182D" w:rsidRPr="004D0C63">
        <w:fldChar w:fldCharType="begin"/>
      </w:r>
      <w:r w:rsidR="00C0182D" w:rsidRPr="004D0C63">
        <w:instrText xml:space="preserve"> INCLUDETEXT "C:\\Users\\BELFIO~1\\AppData\\Local\\Temp\\ZOT4A45.tmp" \c MSRTF </w:instrText>
      </w:r>
      <w:r w:rsidR="00C0182D" w:rsidRPr="004D0C63">
        <w:fldChar w:fldCharType="separate"/>
      </w:r>
      <w:r w:rsidR="00C0182D" w:rsidRPr="004D0C63">
        <w:rPr>
          <w:kern w:val="0"/>
        </w:rPr>
        <w:t xml:space="preserve">Aloco Kitchens. (2025, August 8). </w:t>
      </w:r>
      <w:r w:rsidR="00C0182D" w:rsidRPr="004D0C63">
        <w:rPr>
          <w:i/>
          <w:iCs/>
          <w:kern w:val="0"/>
        </w:rPr>
        <w:t>How Long Do Kitchen Cabinets Last? A Guide To Cabinet Lifespan</w:t>
      </w:r>
      <w:r w:rsidR="00C0182D" w:rsidRPr="004D0C63">
        <w:rPr>
          <w:kern w:val="0"/>
        </w:rPr>
        <w:t>. https://alocokitchens.ie/how-long-do-kitchen-cabinets/</w:t>
      </w:r>
    </w:p>
    <w:p w14:paraId="3AB76D13" w14:textId="77777777" w:rsidR="00C0182D" w:rsidRPr="004D0C63" w:rsidRDefault="00C0182D" w:rsidP="00F85C35">
      <w:pPr>
        <w:pStyle w:val="Bibliography"/>
      </w:pPr>
      <w:r w:rsidRPr="004D0C63">
        <w:t xml:space="preserve">Arias Madero, J., Balmori Roiz, J. A., Basterra Otero, L.-A., &amp; Diaz Gonzalez, I. (2025). Discarded Mattresses: From Environmental Problem to Recoverable Resource. </w:t>
      </w:r>
      <w:r w:rsidRPr="004D0C63">
        <w:rPr>
          <w:i/>
          <w:iCs/>
        </w:rPr>
        <w:t>Sustainability</w:t>
      </w:r>
      <w:r w:rsidRPr="004D0C63">
        <w:t xml:space="preserve">, </w:t>
      </w:r>
      <w:r w:rsidRPr="004D0C63">
        <w:rPr>
          <w:i/>
          <w:iCs/>
        </w:rPr>
        <w:t>17</w:t>
      </w:r>
      <w:r w:rsidRPr="004D0C63">
        <w:t>(18), 8371. https://doi.org/10.3390/su17188371</w:t>
      </w:r>
    </w:p>
    <w:p w14:paraId="29E04D2B" w14:textId="77777777" w:rsidR="00C0182D" w:rsidRPr="004D0C63" w:rsidRDefault="00C0182D" w:rsidP="00F85C35">
      <w:pPr>
        <w:pStyle w:val="Bibliography"/>
      </w:pPr>
      <w:r w:rsidRPr="004D0C63">
        <w:t xml:space="preserve">CEPII. (2026). </w:t>
      </w:r>
      <w:r w:rsidRPr="004D0C63">
        <w:rPr>
          <w:i/>
          <w:iCs/>
        </w:rPr>
        <w:t>BACI International Trade Database</w:t>
      </w:r>
      <w:r w:rsidRPr="004D0C63">
        <w:t xml:space="preserve"> (BACI_HS92_Y202601; Version 1) [Dataset]. https://www.cepii.fr/DATA_DOWNLOAD/baci/doc/baci_webpage.html</w:t>
      </w:r>
    </w:p>
    <w:p w14:paraId="1CFD34E1" w14:textId="77777777" w:rsidR="00C0182D" w:rsidRPr="004D0C63" w:rsidRDefault="00C0182D" w:rsidP="00F85C35">
      <w:pPr>
        <w:pStyle w:val="Bibliography"/>
      </w:pPr>
      <w:r w:rsidRPr="004D0C63">
        <w:t xml:space="preserve">Dixon, W. J., &amp; Yuen, K. K. (1974). Trimming and winsorization: A review. </w:t>
      </w:r>
      <w:r w:rsidRPr="004D0C63">
        <w:rPr>
          <w:i/>
          <w:iCs/>
        </w:rPr>
        <w:t>Statistische Hefte</w:t>
      </w:r>
      <w:r w:rsidRPr="004D0C63">
        <w:t xml:space="preserve">, </w:t>
      </w:r>
      <w:r w:rsidRPr="004D0C63">
        <w:rPr>
          <w:i/>
          <w:iCs/>
        </w:rPr>
        <w:t>15</w:t>
      </w:r>
      <w:r w:rsidRPr="004D0C63">
        <w:t>(2), 157–170. https://doi.org/10.1007/BF02922904</w:t>
      </w:r>
    </w:p>
    <w:p w14:paraId="38E24F71" w14:textId="77777777" w:rsidR="00C0182D" w:rsidRPr="004D0C63" w:rsidRDefault="00C0182D" w:rsidP="00F85C35">
      <w:pPr>
        <w:pStyle w:val="Bibliography"/>
      </w:pPr>
      <w:r w:rsidRPr="004D0C63">
        <w:t xml:space="preserve">European Central Bank. (2026). </w:t>
      </w:r>
      <w:r w:rsidRPr="004D0C63">
        <w:rPr>
          <w:i/>
          <w:iCs/>
        </w:rPr>
        <w:t>Euro exchange rates charts</w:t>
      </w:r>
      <w:r w:rsidRPr="004D0C63">
        <w:t>. https://www.ecb.europa.eu/stats/policy_and_exchange_rates/euro_reference_exchange_rates/html/eurofxref-graph-usd.en.html</w:t>
      </w:r>
    </w:p>
    <w:p w14:paraId="5D0E6243" w14:textId="77777777" w:rsidR="00C0182D" w:rsidRPr="004D0C63" w:rsidRDefault="00C0182D" w:rsidP="00F85C35">
      <w:pPr>
        <w:pStyle w:val="Bibliography"/>
      </w:pPr>
      <w:r w:rsidRPr="004D0C63">
        <w:t xml:space="preserve">Eurostat. (2023). </w:t>
      </w:r>
      <w:r w:rsidRPr="004D0C63">
        <w:rPr>
          <w:i/>
          <w:iCs/>
        </w:rPr>
        <w:t>European business statistics user’s manual for PRODCOM: 2023 edition</w:t>
      </w:r>
      <w:r w:rsidRPr="004D0C63">
        <w:t>. Publications Office. https://data.europa.eu/doi/10.2785/39767</w:t>
      </w:r>
    </w:p>
    <w:p w14:paraId="0BDC97BC" w14:textId="77777777" w:rsidR="00C0182D" w:rsidRPr="004D0C63" w:rsidRDefault="00C0182D" w:rsidP="00F85C35">
      <w:pPr>
        <w:pStyle w:val="Bibliography"/>
      </w:pPr>
      <w:r w:rsidRPr="004D0C63">
        <w:t xml:space="preserve">Eurostat. (2026a). </w:t>
      </w:r>
      <w:r w:rsidRPr="004D0C63">
        <w:rPr>
          <w:i/>
          <w:iCs/>
        </w:rPr>
        <w:t>HICP - annual data (average index and rate of change)</w:t>
      </w:r>
      <w:r w:rsidRPr="004D0C63">
        <w:t xml:space="preserve"> (Prc_hicp_aind) [Dataset]. https://doi.org/https://doi.org/10.2908/PRC_HICP_AIND</w:t>
      </w:r>
    </w:p>
    <w:p w14:paraId="28B5B049" w14:textId="77777777" w:rsidR="00C0182D" w:rsidRPr="004D0C63" w:rsidRDefault="00C0182D" w:rsidP="00F85C35">
      <w:pPr>
        <w:pStyle w:val="Bibliography"/>
      </w:pPr>
      <w:r w:rsidRPr="004D0C63">
        <w:t xml:space="preserve">Eurostat. (2026b). </w:t>
      </w:r>
      <w:r w:rsidRPr="004D0C63">
        <w:rPr>
          <w:i/>
          <w:iCs/>
        </w:rPr>
        <w:t>Sold production, exports and imports</w:t>
      </w:r>
      <w:r w:rsidRPr="004D0C63">
        <w:t xml:space="preserve"> (Ds-059358) [Dataset]. https://ec.europa.eu/eurostat/databrowser/view/ds-059358/legacyMultiFreq/table?lang=en&amp;category=prom</w:t>
      </w:r>
    </w:p>
    <w:p w14:paraId="5D38A1B5" w14:textId="77777777" w:rsidR="00C0182D" w:rsidRPr="004D0C63" w:rsidRDefault="00C0182D" w:rsidP="00F85C35">
      <w:pPr>
        <w:pStyle w:val="Bibliography"/>
      </w:pPr>
      <w:r w:rsidRPr="004D0C63">
        <w:t xml:space="preserve">Feng, C., Wang, H., Lu, N., Chen, T., He, H., Lu, Y., &amp; Tu, X. M. (2014). Log-transformation and its implications for data analysis. </w:t>
      </w:r>
      <w:r w:rsidRPr="004D0C63">
        <w:rPr>
          <w:i/>
          <w:iCs/>
        </w:rPr>
        <w:t>Shanghai Archives of Psychiatry</w:t>
      </w:r>
      <w:r w:rsidRPr="004D0C63">
        <w:t xml:space="preserve">, </w:t>
      </w:r>
      <w:r w:rsidRPr="004D0C63">
        <w:rPr>
          <w:i/>
          <w:iCs/>
        </w:rPr>
        <w:t>26</w:t>
      </w:r>
      <w:r w:rsidRPr="004D0C63">
        <w:t>(2), 105–109. https://doi.org/10.3969/j.issn.1002-0829.2014.02.009</w:t>
      </w:r>
    </w:p>
    <w:p w14:paraId="60A077A4" w14:textId="77777777" w:rsidR="00C0182D" w:rsidRPr="004D0C63" w:rsidRDefault="00C0182D" w:rsidP="00F85C35">
      <w:pPr>
        <w:pStyle w:val="Bibliography"/>
      </w:pPr>
      <w:r w:rsidRPr="004D0C63">
        <w:t xml:space="preserve">Gamage, G., Boyle, C., McLaren, S. J., &amp; McLaren, J. (2008). Life cycle assessment of commercial furniture: A case study of Formway LIFE chair. </w:t>
      </w:r>
      <w:r w:rsidRPr="004D0C63">
        <w:rPr>
          <w:i/>
          <w:iCs/>
        </w:rPr>
        <w:t>The International Journal of Life Cycle Assessment</w:t>
      </w:r>
      <w:r w:rsidRPr="004D0C63">
        <w:t xml:space="preserve">, </w:t>
      </w:r>
      <w:r w:rsidRPr="004D0C63">
        <w:rPr>
          <w:i/>
          <w:iCs/>
        </w:rPr>
        <w:t>13</w:t>
      </w:r>
      <w:r w:rsidRPr="004D0C63">
        <w:t>(5), 401–411. https://doi.org/10.1007/s11367-008-0002-3</w:t>
      </w:r>
    </w:p>
    <w:p w14:paraId="071AB515" w14:textId="77777777" w:rsidR="00C0182D" w:rsidRPr="004D0C63" w:rsidRDefault="00C0182D" w:rsidP="00F85C35">
      <w:pPr>
        <w:pStyle w:val="Bibliography"/>
      </w:pPr>
      <w:r w:rsidRPr="004D0C63">
        <w:lastRenderedPageBreak/>
        <w:t xml:space="preserve">Hoxha, E., &amp; Jusselme, T. (2017). On the necessity of improving the environmental impacts of furniture and appliances in net-zero energy buildings. </w:t>
      </w:r>
      <w:r w:rsidRPr="004D0C63">
        <w:rPr>
          <w:i/>
          <w:iCs/>
        </w:rPr>
        <w:t>Science of The Total Environment</w:t>
      </w:r>
      <w:r w:rsidRPr="004D0C63">
        <w:t xml:space="preserve">, </w:t>
      </w:r>
      <w:r w:rsidRPr="004D0C63">
        <w:rPr>
          <w:i/>
          <w:iCs/>
        </w:rPr>
        <w:t>596–597</w:t>
      </w:r>
      <w:r w:rsidRPr="004D0C63">
        <w:t>, 405–416. https://doi.org/10.1016/j.scitotenv.2017.03.107</w:t>
      </w:r>
    </w:p>
    <w:p w14:paraId="26A1ACB0" w14:textId="77777777" w:rsidR="00C0182D" w:rsidRPr="004D0C63" w:rsidRDefault="00C0182D" w:rsidP="00F85C35">
      <w:pPr>
        <w:pStyle w:val="Bibliography"/>
      </w:pPr>
      <w:r w:rsidRPr="004D0C63">
        <w:t xml:space="preserve">Huber, P. J. (1964). Robust Estimation of a Location Parameter. </w:t>
      </w:r>
      <w:r w:rsidRPr="004D0C63">
        <w:rPr>
          <w:i/>
          <w:iCs/>
        </w:rPr>
        <w:t>The Annals of Mathematical Statistics</w:t>
      </w:r>
      <w:r w:rsidRPr="004D0C63">
        <w:t xml:space="preserve">, </w:t>
      </w:r>
      <w:r w:rsidRPr="004D0C63">
        <w:rPr>
          <w:i/>
          <w:iCs/>
        </w:rPr>
        <w:t>35</w:t>
      </w:r>
      <w:r w:rsidRPr="004D0C63">
        <w:t>(1), 73–101. https://doi.org/10.1214/aoms/1177703732</w:t>
      </w:r>
    </w:p>
    <w:p w14:paraId="236AAF69" w14:textId="77777777" w:rsidR="00C0182D" w:rsidRPr="004D0C63" w:rsidRDefault="00C0182D" w:rsidP="00F85C35">
      <w:pPr>
        <w:pStyle w:val="Bibliography"/>
      </w:pPr>
      <w:r w:rsidRPr="004D0C63">
        <w:t xml:space="preserve">Huisman, J., Habib, H., Baldé, K., Straalen, V. van, Chancerel, P., Chanson, C., Söderman, M., &amp; Kushnir, D. (2017). </w:t>
      </w:r>
      <w:r w:rsidRPr="004D0C63">
        <w:rPr>
          <w:i/>
          <w:iCs/>
        </w:rPr>
        <w:t>Prospecting Secondary raw materials in the Urban mine and Mining waste—Product Stocks and Flows</w:t>
      </w:r>
      <w:r w:rsidRPr="004D0C63">
        <w:t xml:space="preserve"> (Deliverable 3.3). United Nations University.</w:t>
      </w:r>
    </w:p>
    <w:p w14:paraId="4ED80FF5" w14:textId="77777777" w:rsidR="00C0182D" w:rsidRPr="004D0C63" w:rsidRDefault="00C0182D" w:rsidP="00F85C35">
      <w:pPr>
        <w:pStyle w:val="Bibliography"/>
      </w:pPr>
      <w:r w:rsidRPr="004D0C63">
        <w:t xml:space="preserve">Lanoë, T., Simões, C. L., &amp; Simoes, R. (2013). Improving the environmental performance of bedding products by using life cycle assessment at the design stage. </w:t>
      </w:r>
      <w:r w:rsidRPr="004D0C63">
        <w:rPr>
          <w:i/>
          <w:iCs/>
        </w:rPr>
        <w:t>Journal of Cleaner Production</w:t>
      </w:r>
      <w:r w:rsidRPr="004D0C63">
        <w:t xml:space="preserve">, </w:t>
      </w:r>
      <w:r w:rsidRPr="004D0C63">
        <w:rPr>
          <w:i/>
          <w:iCs/>
        </w:rPr>
        <w:t>52</w:t>
      </w:r>
      <w:r w:rsidRPr="004D0C63">
        <w:t>, 155–164. https://doi.org/10.1016/j.jclepro.2013.03.013</w:t>
      </w:r>
    </w:p>
    <w:p w14:paraId="51E9086A" w14:textId="77777777" w:rsidR="00C0182D" w:rsidRPr="004D0C63" w:rsidRDefault="00C0182D" w:rsidP="00F85C35">
      <w:pPr>
        <w:pStyle w:val="Bibliography"/>
      </w:pPr>
      <w:r w:rsidRPr="004D0C63">
        <w:t xml:space="preserve">Napolano, L., Foschi, J., Caldeira, C., Huygens, D., &amp; Sala, S. (2025). Understanding textile value chains: Dynamic Probabilistic Material Flow Analysis of textile in the European Union. </w:t>
      </w:r>
      <w:r w:rsidRPr="004D0C63">
        <w:rPr>
          <w:i/>
          <w:iCs/>
        </w:rPr>
        <w:t>Resources, Conservation and Recycling</w:t>
      </w:r>
      <w:r w:rsidRPr="004D0C63">
        <w:t xml:space="preserve">, </w:t>
      </w:r>
      <w:r w:rsidRPr="004D0C63">
        <w:rPr>
          <w:i/>
          <w:iCs/>
        </w:rPr>
        <w:t>212</w:t>
      </w:r>
      <w:r w:rsidRPr="004D0C63">
        <w:t>, 107888. https://doi.org/10.1016/j.resconrec.2024.107888</w:t>
      </w:r>
    </w:p>
    <w:p w14:paraId="73F49F40" w14:textId="77777777" w:rsidR="00C0182D" w:rsidRPr="004D0C63" w:rsidRDefault="00C0182D" w:rsidP="00F85C35">
      <w:pPr>
        <w:pStyle w:val="Bibliography"/>
      </w:pPr>
      <w:r w:rsidRPr="004D0C63">
        <w:t xml:space="preserve">Saltarelli, F., Cimini, V., Tacchella, A., Zaccaria, A., &amp; Cristelli, M. (2020). Is Export a Probe for Domestic Production? </w:t>
      </w:r>
      <w:r w:rsidRPr="004D0C63">
        <w:rPr>
          <w:i/>
          <w:iCs/>
        </w:rPr>
        <w:t>Frontiers in Physics</w:t>
      </w:r>
      <w:r w:rsidRPr="004D0C63">
        <w:t xml:space="preserve">, </w:t>
      </w:r>
      <w:r w:rsidRPr="004D0C63">
        <w:rPr>
          <w:i/>
          <w:iCs/>
        </w:rPr>
        <w:t>8</w:t>
      </w:r>
      <w:r w:rsidRPr="004D0C63">
        <w:t>, 180. https://doi.org/10.3389/fphy.2020.00180</w:t>
      </w:r>
    </w:p>
    <w:p w14:paraId="0A8E44CD" w14:textId="77777777" w:rsidR="00C0182D" w:rsidRPr="004D0C63" w:rsidRDefault="00C0182D" w:rsidP="00F85C35">
      <w:pPr>
        <w:pStyle w:val="Bibliography"/>
      </w:pPr>
      <w:r w:rsidRPr="004D0C63">
        <w:t xml:space="preserve">Scan Sørlie AS. (2025). </w:t>
      </w:r>
      <w:r w:rsidRPr="004D0C63">
        <w:rPr>
          <w:i/>
          <w:iCs/>
        </w:rPr>
        <w:t>Environmental product declaration: Size chair – Bolt</w:t>
      </w:r>
      <w:r w:rsidRPr="004D0C63">
        <w:t xml:space="preserve"> (NEPD-12238-12289). The Norwegian EPD Foundation. https://www.epd-global.com/getfile.php/13234772-1756999352/EPDer/M%C3%B8bler/Sittem%C3%B8bler/NEPD-12238-12289_Size-chair--Bolt.pdf</w:t>
      </w:r>
    </w:p>
    <w:p w14:paraId="0EF22B57" w14:textId="77777777" w:rsidR="00C0182D" w:rsidRPr="004D0C63" w:rsidRDefault="00C0182D" w:rsidP="00F85C35">
      <w:pPr>
        <w:pStyle w:val="Bibliography"/>
      </w:pPr>
      <w:r w:rsidRPr="004D0C63">
        <w:t xml:space="preserve">Sun, Q., Zhou, W.-X., &amp; Fan, J. (2020). Adaptive Huber Regression. </w:t>
      </w:r>
      <w:r w:rsidRPr="004D0C63">
        <w:rPr>
          <w:i/>
          <w:iCs/>
        </w:rPr>
        <w:t>Journal of the American Statistical Association</w:t>
      </w:r>
      <w:r w:rsidRPr="004D0C63">
        <w:t xml:space="preserve">, </w:t>
      </w:r>
      <w:r w:rsidRPr="004D0C63">
        <w:rPr>
          <w:i/>
          <w:iCs/>
        </w:rPr>
        <w:t>115</w:t>
      </w:r>
      <w:r w:rsidRPr="004D0C63">
        <w:t>(529), 254–265. https://doi.org/10.1080/01621459.2018.1543124</w:t>
      </w:r>
    </w:p>
    <w:p w14:paraId="7B756B4A" w14:textId="77777777" w:rsidR="00C0182D" w:rsidRPr="004D0C63" w:rsidRDefault="00C0182D" w:rsidP="00F85C35">
      <w:pPr>
        <w:pStyle w:val="Bibliography"/>
      </w:pPr>
      <w:r w:rsidRPr="004D0C63">
        <w:t>Wagner, J., Steinmetzer, S., Theophil, L., Strues, A.-S., &amp; Kösegi, N. (2022). Evaluation of the collection and recovery of selected waste streams for the further development of circular economy.</w:t>
      </w:r>
    </w:p>
    <w:p w14:paraId="62A1E90C" w14:textId="77777777" w:rsidR="00C0182D" w:rsidRPr="004D0C63" w:rsidRDefault="00C0182D" w:rsidP="00F85C35">
      <w:pPr>
        <w:pStyle w:val="Bibliography"/>
      </w:pPr>
      <w:r w:rsidRPr="004D0C63">
        <w:t xml:space="preserve">Wiprächtiger, M., Rapp, M., Hellweg, S., Shinde, R., &amp; Haupt, M. (2022). Turning trash into treasure: An approach to the environmental assessment of waste prevention and its application to </w:t>
      </w:r>
      <w:r w:rsidRPr="004D0C63">
        <w:lastRenderedPageBreak/>
        <w:t xml:space="preserve">clothing and furniture in Switzerland. </w:t>
      </w:r>
      <w:r w:rsidRPr="004D0C63">
        <w:rPr>
          <w:i/>
          <w:iCs/>
        </w:rPr>
        <w:t>Journal of Industrial Ecology</w:t>
      </w:r>
      <w:r w:rsidRPr="004D0C63">
        <w:t xml:space="preserve">, </w:t>
      </w:r>
      <w:r w:rsidRPr="004D0C63">
        <w:rPr>
          <w:i/>
          <w:iCs/>
        </w:rPr>
        <w:t>26</w:t>
      </w:r>
      <w:r w:rsidRPr="004D0C63">
        <w:t>(4), 1389–1405. https://doi.org/10.1111/jiec.13275</w:t>
      </w:r>
    </w:p>
    <w:p w14:paraId="7876523D" w14:textId="77777777" w:rsidR="00C0182D" w:rsidRPr="004D0C63" w:rsidRDefault="00C0182D" w:rsidP="00F85C35">
      <w:pPr>
        <w:pStyle w:val="Bibliography"/>
      </w:pPr>
      <w:r w:rsidRPr="004D0C63">
        <w:t xml:space="preserve">Woods Furniture. (2025). </w:t>
      </w:r>
      <w:r w:rsidRPr="004D0C63">
        <w:rPr>
          <w:i/>
          <w:iCs/>
        </w:rPr>
        <w:t>Environmental product declaration: Woods Club</w:t>
      </w:r>
      <w:r w:rsidRPr="004D0C63">
        <w:t xml:space="preserve"> (NEPD-14137-14463-EN). The Norwegian EPD Foundation. https://www.epd-global.com/getfile.php/13240790-1763551599/EPDer/M%C3%B8bler/Sittem%C3%B8bler/NEPD-14137-14463_Woods-Club.pdf</w:t>
      </w:r>
    </w:p>
    <w:p w14:paraId="36902892" w14:textId="304AFEBC" w:rsidR="00756D1E" w:rsidRPr="004D0C63" w:rsidRDefault="00C0182D" w:rsidP="00F85C35">
      <w:pPr>
        <w:pStyle w:val="Bibliography"/>
      </w:pPr>
      <w:r w:rsidRPr="004D0C63">
        <w:fldChar w:fldCharType="end"/>
      </w:r>
      <w:r w:rsidR="003122ED" w:rsidRPr="004D0C63">
        <w:fldChar w:fldCharType="end"/>
      </w:r>
    </w:p>
    <w:p w14:paraId="28E25E55" w14:textId="5DA02D47" w:rsidR="00756D1E" w:rsidRPr="004D0C63" w:rsidRDefault="00756D1E" w:rsidP="00F85C35"/>
    <w:p w14:paraId="713A9BDE" w14:textId="77777777" w:rsidR="00344C07" w:rsidRPr="00AC2BCE" w:rsidRDefault="00344C07" w:rsidP="00F85C35"/>
    <w:sectPr w:rsidR="00344C07" w:rsidRPr="00AC2BCE" w:rsidSect="0016711A">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Tukker, A. (Arnold)" w:date="2026-04-10T10:37:00Z" w:initials="TA">
    <w:p w14:paraId="66BD8707" w14:textId="77777777" w:rsidR="00AC2BCE" w:rsidRPr="004D0C63" w:rsidRDefault="00AC2BCE" w:rsidP="00F85C35">
      <w:pPr>
        <w:pStyle w:val="CommentText"/>
      </w:pPr>
      <w:r w:rsidRPr="004D0C63">
        <w:rPr>
          <w:rStyle w:val="CommentReference"/>
        </w:rPr>
        <w:annotationRef/>
      </w:r>
      <w:r w:rsidRPr="004D0C63">
        <w:t>not sure if I can follow this</w:t>
      </w:r>
    </w:p>
  </w:comment>
  <w:comment w:id="14" w:author="davide.tonini" w:date="2026-06-19T13:23:00Z" w:initials="da">
    <w:p w14:paraId="2E3A032E" w14:textId="765C6880" w:rsidR="00812457" w:rsidRPr="004D0C63" w:rsidRDefault="00812457" w:rsidP="00F85C35">
      <w:pPr>
        <w:pStyle w:val="CommentText"/>
      </w:pPr>
      <w:r w:rsidRPr="004D0C63">
        <w:rPr>
          <w:rStyle w:val="CommentReference"/>
        </w:rPr>
        <w:annotationRef/>
      </w:r>
      <w:r w:rsidRPr="004D0C63">
        <w:t>You need good self explanatory captions on all the Figures.</w:t>
      </w:r>
    </w:p>
    <w:p w14:paraId="720D14BA" w14:textId="5A53A8CF" w:rsidR="00812457" w:rsidRPr="004D0C63" w:rsidRDefault="00812457" w:rsidP="00F85C35">
      <w:pPr>
        <w:pStyle w:val="CommentText"/>
      </w:pPr>
      <w:r w:rsidRPr="004D0C63">
        <w:t>I would put all this material - it is relevant. However use captions. You may also add 'excel files' with numerical data as additional SM (you may bring that in next time, no need in this submission...but perhaps having underline numbers may be useful for many)</w:t>
      </w:r>
    </w:p>
  </w:comment>
  <w:comment w:id="16" w:author="davide.tonini" w:date="2026-06-19T13:22:00Z" w:initials="da">
    <w:p w14:paraId="3824EFAF" w14:textId="5F599F46" w:rsidR="00812457" w:rsidRPr="004D0C63" w:rsidRDefault="00812457" w:rsidP="00F85C35">
      <w:pPr>
        <w:pStyle w:val="CommentText"/>
      </w:pPr>
      <w:r w:rsidRPr="004D0C63">
        <w:rPr>
          <w:rStyle w:val="CommentReference"/>
        </w:rPr>
        <w:annotationRef/>
      </w:r>
      <w:r w:rsidRPr="004D0C63">
        <w:t>No captions????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BD8707" w15:done="1"/>
  <w15:commentEx w15:paraId="720D14BA" w15:done="1"/>
  <w15:commentEx w15:paraId="3824EF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645A21" w16cex:dateUtc="2026-04-10T08:37:00Z"/>
  <w16cex:commentExtensible w16cex:durableId="59E33093" w16cex:dateUtc="2026-06-19T11:23:00Z"/>
  <w16cex:commentExtensible w16cex:durableId="01CAB453" w16cex:dateUtc="2026-06-19T1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BD8707" w16cid:durableId="79645A21"/>
  <w16cid:commentId w16cid:paraId="720D14BA" w16cid:durableId="59E33093"/>
  <w16cid:commentId w16cid:paraId="3824EFAF" w16cid:durableId="01CAB4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E64C" w14:textId="77777777" w:rsidR="0058543E" w:rsidRPr="004D0C63" w:rsidRDefault="0058543E" w:rsidP="00F85C35">
      <w:r w:rsidRPr="004D0C63">
        <w:separator/>
      </w:r>
    </w:p>
  </w:endnote>
  <w:endnote w:type="continuationSeparator" w:id="0">
    <w:p w14:paraId="7A1CDAFD" w14:textId="77777777" w:rsidR="0058543E" w:rsidRPr="004D0C63" w:rsidRDefault="0058543E" w:rsidP="00F85C35">
      <w:r w:rsidRPr="004D0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0722" w14:textId="799EE3B9" w:rsidR="00BC69E2" w:rsidRDefault="00BC69E2">
    <w:pPr>
      <w:pStyle w:val="Footer"/>
      <w:jc w:val="center"/>
    </w:pPr>
    <w:r>
      <w:t>S-</w:t>
    </w:r>
    <w:sdt>
      <w:sdtPr>
        <w:id w:val="-8916561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3AF5586" w14:textId="77777777" w:rsidR="00566B06" w:rsidRPr="004D0C63" w:rsidRDefault="00566B06" w:rsidP="00F85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69CC" w14:textId="129AFC9D" w:rsidR="00352ADD" w:rsidRDefault="008B0434">
    <w:pPr>
      <w:pStyle w:val="Footer"/>
      <w:jc w:val="center"/>
    </w:pPr>
    <w:r>
      <w:t>S-</w:t>
    </w:r>
    <w:sdt>
      <w:sdtPr>
        <w:id w:val="-53080599"/>
        <w:docPartObj>
          <w:docPartGallery w:val="Page Numbers (Bottom of Page)"/>
          <w:docPartUnique/>
        </w:docPartObj>
      </w:sdtPr>
      <w:sdtEndPr>
        <w:rPr>
          <w:noProof/>
        </w:rPr>
      </w:sdtEndPr>
      <w:sdtContent>
        <w:r w:rsidR="00352ADD">
          <w:fldChar w:fldCharType="begin"/>
        </w:r>
        <w:r w:rsidR="00352ADD">
          <w:instrText xml:space="preserve"> PAGE   \* MERGEFORMAT </w:instrText>
        </w:r>
        <w:r w:rsidR="00352ADD">
          <w:fldChar w:fldCharType="separate"/>
        </w:r>
        <w:r w:rsidR="00352ADD">
          <w:rPr>
            <w:noProof/>
          </w:rPr>
          <w:t>2</w:t>
        </w:r>
        <w:r w:rsidR="00352ADD">
          <w:rPr>
            <w:noProof/>
          </w:rPr>
          <w:fldChar w:fldCharType="end"/>
        </w:r>
      </w:sdtContent>
    </w:sdt>
  </w:p>
  <w:p w14:paraId="7DB9DACF" w14:textId="77777777" w:rsidR="00352ADD" w:rsidRDefault="00352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98008" w14:textId="77777777" w:rsidR="0058543E" w:rsidRPr="004D0C63" w:rsidRDefault="0058543E" w:rsidP="00F85C35">
      <w:r w:rsidRPr="004D0C63">
        <w:separator/>
      </w:r>
    </w:p>
  </w:footnote>
  <w:footnote w:type="continuationSeparator" w:id="0">
    <w:p w14:paraId="048013FD" w14:textId="77777777" w:rsidR="0058543E" w:rsidRPr="004D0C63" w:rsidRDefault="0058543E" w:rsidP="00F85C35">
      <w:r w:rsidRPr="004D0C63">
        <w:continuationSeparator/>
      </w:r>
    </w:p>
  </w:footnote>
  <w:footnote w:id="1">
    <w:p w14:paraId="02C42468" w14:textId="59370D69" w:rsidR="007C290F" w:rsidRDefault="007C290F" w:rsidP="00F85C35">
      <w:pPr>
        <w:pStyle w:val="FootnoteText"/>
      </w:pPr>
      <w:r w:rsidRPr="00D339DB">
        <w:rPr>
          <w:rStyle w:val="FootnoteReference"/>
        </w:rPr>
        <w:footnoteRef/>
      </w:r>
      <w:r w:rsidRPr="004D0C63">
        <w:t xml:space="preserve"> Note that the HS code specifies wooden for kitchen furniture. The PRODCOM regulation ensures that the code 31021000 </w:t>
      </w:r>
      <w:r w:rsidR="005C6CDA" w:rsidRPr="004D0C63">
        <w:t>fully matches the given HS definition</w:t>
      </w:r>
      <w:r w:rsidR="006F7C11" w:rsidRPr="004D0C63">
        <w:t xml:space="preserve"> beyond the material used</w:t>
      </w:r>
      <w:r w:rsidR="005C6CDA" w:rsidRPr="004D0C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4929" w14:textId="77777777" w:rsidR="00C54B42" w:rsidRPr="00C54B42" w:rsidRDefault="00C54B42" w:rsidP="00C54B42">
    <w:pPr>
      <w:autoSpaceDE w:val="0"/>
      <w:autoSpaceDN w:val="0"/>
      <w:adjustRightInd w:val="0"/>
      <w:spacing w:after="0" w:line="240" w:lineRule="auto"/>
      <w:jc w:val="left"/>
      <w:rPr>
        <w:rFonts w:eastAsia="SimSun"/>
        <w:kern w:val="0"/>
        <w:sz w:val="24"/>
        <w:szCs w:val="20"/>
        <w14:ligatures w14:val="none"/>
      </w:rPr>
    </w:pPr>
    <w:r w:rsidRPr="00C54B42">
      <w:rPr>
        <w:rFonts w:ascii="Arial" w:eastAsia="SimSun" w:hAnsi="Arial"/>
        <w:kern w:val="0"/>
        <w:sz w:val="20"/>
        <w:szCs w:val="20"/>
        <w14:ligatures w14:val="none"/>
      </w:rPr>
      <w:t xml:space="preserve">Journal of Industrial Ecology – </w:t>
    </w:r>
    <w:hyperlink r:id="rId1" w:history="1">
      <w:r w:rsidRPr="00C54B42">
        <w:rPr>
          <w:rFonts w:ascii="Arial" w:eastAsia="SimSun" w:hAnsi="Arial" w:cs="Arial"/>
          <w:b/>
          <w:bCs/>
          <w:color w:val="0000FF"/>
          <w:kern w:val="0"/>
          <w:sz w:val="20"/>
          <w:szCs w:val="20"/>
          <w:u w:val="single"/>
          <w14:ligatures w14:val="none"/>
        </w:rPr>
        <w:t>www.wileyonlinelibrary.com/journal/jie</w:t>
      </w:r>
    </w:hyperlink>
  </w:p>
  <w:p w14:paraId="2BF9BAFE" w14:textId="77777777" w:rsidR="00C54B42" w:rsidRDefault="00C54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BB3"/>
    <w:multiLevelType w:val="hybridMultilevel"/>
    <w:tmpl w:val="C47C542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E574F68"/>
    <w:multiLevelType w:val="hybridMultilevel"/>
    <w:tmpl w:val="FC94413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427413D"/>
    <w:multiLevelType w:val="hybridMultilevel"/>
    <w:tmpl w:val="16369E2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2BE11E98"/>
    <w:multiLevelType w:val="multilevel"/>
    <w:tmpl w:val="29E80EFC"/>
    <w:lvl w:ilvl="0">
      <w:start w:val="1"/>
      <w:numFmt w:val="decimal"/>
      <w:pStyle w:val="Heading1"/>
      <w:suff w:val="space"/>
      <w:lvlText w:val="%1."/>
      <w:lvlJc w:val="left"/>
      <w:pPr>
        <w:ind w:left="357" w:hanging="357"/>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2BF3365F"/>
    <w:multiLevelType w:val="hybridMultilevel"/>
    <w:tmpl w:val="4B2EACA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2C9A3F51"/>
    <w:multiLevelType w:val="hybridMultilevel"/>
    <w:tmpl w:val="AE8CDF0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D570E37"/>
    <w:multiLevelType w:val="hybridMultilevel"/>
    <w:tmpl w:val="E160AF0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42073F1E"/>
    <w:multiLevelType w:val="hybridMultilevel"/>
    <w:tmpl w:val="36C2107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4D9506A6"/>
    <w:multiLevelType w:val="hybridMultilevel"/>
    <w:tmpl w:val="85EE5D7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61A82FDA"/>
    <w:multiLevelType w:val="hybridMultilevel"/>
    <w:tmpl w:val="F17CB9C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6A575A01"/>
    <w:multiLevelType w:val="hybridMultilevel"/>
    <w:tmpl w:val="EC4E34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6A6B4BAC"/>
    <w:multiLevelType w:val="hybridMultilevel"/>
    <w:tmpl w:val="95AA057A"/>
    <w:lvl w:ilvl="0" w:tplc="9668B5B6">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6FDC11D5"/>
    <w:multiLevelType w:val="hybridMultilevel"/>
    <w:tmpl w:val="AC32962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70332FF5"/>
    <w:multiLevelType w:val="hybridMultilevel"/>
    <w:tmpl w:val="DFD6CB7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71C67801"/>
    <w:multiLevelType w:val="hybridMultilevel"/>
    <w:tmpl w:val="E48098FA"/>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157722810">
    <w:abstractNumId w:val="4"/>
  </w:num>
  <w:num w:numId="2" w16cid:durableId="2114934120">
    <w:abstractNumId w:val="8"/>
  </w:num>
  <w:num w:numId="3" w16cid:durableId="1818957623">
    <w:abstractNumId w:val="7"/>
  </w:num>
  <w:num w:numId="4" w16cid:durableId="807212213">
    <w:abstractNumId w:val="2"/>
  </w:num>
  <w:num w:numId="5" w16cid:durableId="79064742">
    <w:abstractNumId w:val="5"/>
  </w:num>
  <w:num w:numId="6" w16cid:durableId="746265671">
    <w:abstractNumId w:val="0"/>
  </w:num>
  <w:num w:numId="7" w16cid:durableId="1612200946">
    <w:abstractNumId w:val="9"/>
  </w:num>
  <w:num w:numId="8" w16cid:durableId="1797792806">
    <w:abstractNumId w:val="1"/>
  </w:num>
  <w:num w:numId="9" w16cid:durableId="1721511524">
    <w:abstractNumId w:val="12"/>
  </w:num>
  <w:num w:numId="10" w16cid:durableId="38089176">
    <w:abstractNumId w:val="13"/>
  </w:num>
  <w:num w:numId="11" w16cid:durableId="146870505">
    <w:abstractNumId w:val="10"/>
  </w:num>
  <w:num w:numId="12" w16cid:durableId="171460518">
    <w:abstractNumId w:val="6"/>
  </w:num>
  <w:num w:numId="13" w16cid:durableId="285040342">
    <w:abstractNumId w:val="14"/>
  </w:num>
  <w:num w:numId="14" w16cid:durableId="686833369">
    <w:abstractNumId w:val="11"/>
  </w:num>
  <w:num w:numId="15" w16cid:durableId="66932823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ukker, A. (Arnold)">
    <w15:presenceInfo w15:providerId="AD" w15:userId="S::tukkera1@vuw.leidenuniv.nl::45e23604-0d99-4c82-96d8-e1010539fa17"/>
  </w15:person>
  <w15:person w15:author="davide.tonini">
    <w15:presenceInfo w15:providerId="AD" w15:userId="S::davide.tonini_ec.europa.eu#ext#@leidenuniv1.onmicrosoft.com::a5da050c-ea1f-4edb-8f73-00c2402c2b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80"/>
    <w:rsid w:val="000010CA"/>
    <w:rsid w:val="000036F3"/>
    <w:rsid w:val="00004428"/>
    <w:rsid w:val="000201F5"/>
    <w:rsid w:val="00024EC8"/>
    <w:rsid w:val="0007266A"/>
    <w:rsid w:val="00075BB5"/>
    <w:rsid w:val="00080685"/>
    <w:rsid w:val="000838F1"/>
    <w:rsid w:val="00085222"/>
    <w:rsid w:val="00086A82"/>
    <w:rsid w:val="00087FD8"/>
    <w:rsid w:val="00090E91"/>
    <w:rsid w:val="00091455"/>
    <w:rsid w:val="000923A8"/>
    <w:rsid w:val="00095599"/>
    <w:rsid w:val="000A0C90"/>
    <w:rsid w:val="000A410F"/>
    <w:rsid w:val="000B1106"/>
    <w:rsid w:val="000B1C10"/>
    <w:rsid w:val="000B4C32"/>
    <w:rsid w:val="000D3C93"/>
    <w:rsid w:val="000E1DE4"/>
    <w:rsid w:val="000E6CE5"/>
    <w:rsid w:val="000E6F43"/>
    <w:rsid w:val="000F078A"/>
    <w:rsid w:val="000F0BFE"/>
    <w:rsid w:val="00111925"/>
    <w:rsid w:val="00111B93"/>
    <w:rsid w:val="00111D35"/>
    <w:rsid w:val="00116595"/>
    <w:rsid w:val="00117117"/>
    <w:rsid w:val="001177A9"/>
    <w:rsid w:val="00117996"/>
    <w:rsid w:val="001200C9"/>
    <w:rsid w:val="001204BE"/>
    <w:rsid w:val="00121996"/>
    <w:rsid w:val="00121B53"/>
    <w:rsid w:val="00131A51"/>
    <w:rsid w:val="00132132"/>
    <w:rsid w:val="001326B6"/>
    <w:rsid w:val="00142E00"/>
    <w:rsid w:val="00145529"/>
    <w:rsid w:val="00152542"/>
    <w:rsid w:val="0015261D"/>
    <w:rsid w:val="001566C8"/>
    <w:rsid w:val="00162B86"/>
    <w:rsid w:val="001659A1"/>
    <w:rsid w:val="0016711A"/>
    <w:rsid w:val="00173FF6"/>
    <w:rsid w:val="00185799"/>
    <w:rsid w:val="00186935"/>
    <w:rsid w:val="001915F6"/>
    <w:rsid w:val="001A0095"/>
    <w:rsid w:val="001A4A78"/>
    <w:rsid w:val="001B3661"/>
    <w:rsid w:val="001B43C3"/>
    <w:rsid w:val="001C5608"/>
    <w:rsid w:val="001C6665"/>
    <w:rsid w:val="001C75EE"/>
    <w:rsid w:val="001D1608"/>
    <w:rsid w:val="001D2D0D"/>
    <w:rsid w:val="001D5FF3"/>
    <w:rsid w:val="001E6B62"/>
    <w:rsid w:val="001F1F6D"/>
    <w:rsid w:val="001F2096"/>
    <w:rsid w:val="001F7358"/>
    <w:rsid w:val="00206323"/>
    <w:rsid w:val="00207077"/>
    <w:rsid w:val="0021388B"/>
    <w:rsid w:val="00221F33"/>
    <w:rsid w:val="00223E31"/>
    <w:rsid w:val="00225555"/>
    <w:rsid w:val="002364AB"/>
    <w:rsid w:val="002374ED"/>
    <w:rsid w:val="00237C7B"/>
    <w:rsid w:val="00242DDA"/>
    <w:rsid w:val="002505E1"/>
    <w:rsid w:val="00262DB7"/>
    <w:rsid w:val="0026543A"/>
    <w:rsid w:val="00265D72"/>
    <w:rsid w:val="002720DF"/>
    <w:rsid w:val="00273517"/>
    <w:rsid w:val="00284487"/>
    <w:rsid w:val="00285274"/>
    <w:rsid w:val="0028585F"/>
    <w:rsid w:val="0028642C"/>
    <w:rsid w:val="00287D04"/>
    <w:rsid w:val="002941B8"/>
    <w:rsid w:val="002A1A63"/>
    <w:rsid w:val="002A42EB"/>
    <w:rsid w:val="002B22EC"/>
    <w:rsid w:val="002B5467"/>
    <w:rsid w:val="002D0082"/>
    <w:rsid w:val="002E0FAC"/>
    <w:rsid w:val="002E16AF"/>
    <w:rsid w:val="002E291E"/>
    <w:rsid w:val="002E4C22"/>
    <w:rsid w:val="002F0E29"/>
    <w:rsid w:val="002F5E6D"/>
    <w:rsid w:val="0030232E"/>
    <w:rsid w:val="00303FEB"/>
    <w:rsid w:val="00304905"/>
    <w:rsid w:val="00304EA4"/>
    <w:rsid w:val="00305274"/>
    <w:rsid w:val="0030717A"/>
    <w:rsid w:val="003122ED"/>
    <w:rsid w:val="00326E2B"/>
    <w:rsid w:val="003274B4"/>
    <w:rsid w:val="00330F2E"/>
    <w:rsid w:val="0033210F"/>
    <w:rsid w:val="00332329"/>
    <w:rsid w:val="0033507A"/>
    <w:rsid w:val="00336FD6"/>
    <w:rsid w:val="003371B1"/>
    <w:rsid w:val="003373DD"/>
    <w:rsid w:val="0033740E"/>
    <w:rsid w:val="00337A80"/>
    <w:rsid w:val="003412F7"/>
    <w:rsid w:val="00344C07"/>
    <w:rsid w:val="00346CCB"/>
    <w:rsid w:val="00352ADD"/>
    <w:rsid w:val="00354E7C"/>
    <w:rsid w:val="00356F6B"/>
    <w:rsid w:val="00365A8B"/>
    <w:rsid w:val="00370D07"/>
    <w:rsid w:val="00373A3F"/>
    <w:rsid w:val="00373DDF"/>
    <w:rsid w:val="00387F11"/>
    <w:rsid w:val="0039067E"/>
    <w:rsid w:val="00394FE4"/>
    <w:rsid w:val="00396C00"/>
    <w:rsid w:val="003A08B9"/>
    <w:rsid w:val="003A19B7"/>
    <w:rsid w:val="003B296D"/>
    <w:rsid w:val="003D2531"/>
    <w:rsid w:val="003D4266"/>
    <w:rsid w:val="003D6A1B"/>
    <w:rsid w:val="003E064D"/>
    <w:rsid w:val="003E5F99"/>
    <w:rsid w:val="003E6E07"/>
    <w:rsid w:val="003F08C3"/>
    <w:rsid w:val="003F30DB"/>
    <w:rsid w:val="003F3845"/>
    <w:rsid w:val="003F4762"/>
    <w:rsid w:val="00400180"/>
    <w:rsid w:val="00404184"/>
    <w:rsid w:val="0040578D"/>
    <w:rsid w:val="0040586C"/>
    <w:rsid w:val="00405899"/>
    <w:rsid w:val="0041009C"/>
    <w:rsid w:val="00412359"/>
    <w:rsid w:val="00414413"/>
    <w:rsid w:val="00420221"/>
    <w:rsid w:val="004222CA"/>
    <w:rsid w:val="00426ABF"/>
    <w:rsid w:val="004278B8"/>
    <w:rsid w:val="00434D0A"/>
    <w:rsid w:val="00437DE6"/>
    <w:rsid w:val="004542B7"/>
    <w:rsid w:val="00454400"/>
    <w:rsid w:val="00456D4B"/>
    <w:rsid w:val="00461966"/>
    <w:rsid w:val="004654E3"/>
    <w:rsid w:val="004707F4"/>
    <w:rsid w:val="00470832"/>
    <w:rsid w:val="00473967"/>
    <w:rsid w:val="004752E2"/>
    <w:rsid w:val="00475EC7"/>
    <w:rsid w:val="00487746"/>
    <w:rsid w:val="0049339B"/>
    <w:rsid w:val="004A4CB5"/>
    <w:rsid w:val="004A5FEA"/>
    <w:rsid w:val="004A6513"/>
    <w:rsid w:val="004A7C0F"/>
    <w:rsid w:val="004B06AE"/>
    <w:rsid w:val="004C0CF1"/>
    <w:rsid w:val="004C2B01"/>
    <w:rsid w:val="004D0C63"/>
    <w:rsid w:val="004D3041"/>
    <w:rsid w:val="004D548E"/>
    <w:rsid w:val="004D7C5B"/>
    <w:rsid w:val="004E4CB2"/>
    <w:rsid w:val="004E4E53"/>
    <w:rsid w:val="004E5006"/>
    <w:rsid w:val="004E6FC6"/>
    <w:rsid w:val="004F6703"/>
    <w:rsid w:val="00505154"/>
    <w:rsid w:val="005151D6"/>
    <w:rsid w:val="00517455"/>
    <w:rsid w:val="005178D0"/>
    <w:rsid w:val="00520F93"/>
    <w:rsid w:val="005229A9"/>
    <w:rsid w:val="0052503A"/>
    <w:rsid w:val="00525A7C"/>
    <w:rsid w:val="00530E3C"/>
    <w:rsid w:val="00533844"/>
    <w:rsid w:val="005345C3"/>
    <w:rsid w:val="00535906"/>
    <w:rsid w:val="00540992"/>
    <w:rsid w:val="00540D75"/>
    <w:rsid w:val="005442B4"/>
    <w:rsid w:val="00545F49"/>
    <w:rsid w:val="005467E5"/>
    <w:rsid w:val="00546A3B"/>
    <w:rsid w:val="00551FC6"/>
    <w:rsid w:val="00553F15"/>
    <w:rsid w:val="00554319"/>
    <w:rsid w:val="005543FB"/>
    <w:rsid w:val="005571CC"/>
    <w:rsid w:val="00561956"/>
    <w:rsid w:val="00565A25"/>
    <w:rsid w:val="00566B06"/>
    <w:rsid w:val="00567DF3"/>
    <w:rsid w:val="00571FF9"/>
    <w:rsid w:val="00581EF6"/>
    <w:rsid w:val="005826E8"/>
    <w:rsid w:val="00582ED0"/>
    <w:rsid w:val="0058543E"/>
    <w:rsid w:val="0059078C"/>
    <w:rsid w:val="005919B8"/>
    <w:rsid w:val="0059539D"/>
    <w:rsid w:val="0059571B"/>
    <w:rsid w:val="005963CF"/>
    <w:rsid w:val="0059795A"/>
    <w:rsid w:val="005A0D79"/>
    <w:rsid w:val="005A7607"/>
    <w:rsid w:val="005B1A23"/>
    <w:rsid w:val="005B76B7"/>
    <w:rsid w:val="005C283E"/>
    <w:rsid w:val="005C2A61"/>
    <w:rsid w:val="005C6CDA"/>
    <w:rsid w:val="005D2789"/>
    <w:rsid w:val="005D2A5C"/>
    <w:rsid w:val="005D5EA6"/>
    <w:rsid w:val="005D7192"/>
    <w:rsid w:val="005D72A9"/>
    <w:rsid w:val="005F0CC9"/>
    <w:rsid w:val="005F584C"/>
    <w:rsid w:val="00615EF8"/>
    <w:rsid w:val="00616813"/>
    <w:rsid w:val="006169C5"/>
    <w:rsid w:val="00617569"/>
    <w:rsid w:val="00617601"/>
    <w:rsid w:val="00620268"/>
    <w:rsid w:val="00621FAF"/>
    <w:rsid w:val="00632313"/>
    <w:rsid w:val="00633FC1"/>
    <w:rsid w:val="006378F4"/>
    <w:rsid w:val="006412FD"/>
    <w:rsid w:val="006436F2"/>
    <w:rsid w:val="00654B58"/>
    <w:rsid w:val="006569DA"/>
    <w:rsid w:val="006604C6"/>
    <w:rsid w:val="00660A58"/>
    <w:rsid w:val="00660C27"/>
    <w:rsid w:val="00667150"/>
    <w:rsid w:val="006704DB"/>
    <w:rsid w:val="00674B2E"/>
    <w:rsid w:val="00674E20"/>
    <w:rsid w:val="00684F17"/>
    <w:rsid w:val="00694063"/>
    <w:rsid w:val="006A310A"/>
    <w:rsid w:val="006A653A"/>
    <w:rsid w:val="006B6624"/>
    <w:rsid w:val="006C028A"/>
    <w:rsid w:val="006C5766"/>
    <w:rsid w:val="006C708F"/>
    <w:rsid w:val="006C79B2"/>
    <w:rsid w:val="006D0674"/>
    <w:rsid w:val="006D758D"/>
    <w:rsid w:val="006E2EBE"/>
    <w:rsid w:val="006E4230"/>
    <w:rsid w:val="006F143A"/>
    <w:rsid w:val="006F1CC3"/>
    <w:rsid w:val="006F2974"/>
    <w:rsid w:val="006F5A49"/>
    <w:rsid w:val="006F7C11"/>
    <w:rsid w:val="00712DBF"/>
    <w:rsid w:val="00713033"/>
    <w:rsid w:val="007201C6"/>
    <w:rsid w:val="0072095C"/>
    <w:rsid w:val="00721202"/>
    <w:rsid w:val="007220F8"/>
    <w:rsid w:val="007258F5"/>
    <w:rsid w:val="00725A6A"/>
    <w:rsid w:val="00727C61"/>
    <w:rsid w:val="00730732"/>
    <w:rsid w:val="00735B46"/>
    <w:rsid w:val="00736009"/>
    <w:rsid w:val="00746FF7"/>
    <w:rsid w:val="00753DAD"/>
    <w:rsid w:val="00756D1E"/>
    <w:rsid w:val="00762D1A"/>
    <w:rsid w:val="0076344C"/>
    <w:rsid w:val="00763AFC"/>
    <w:rsid w:val="007702D8"/>
    <w:rsid w:val="0077065B"/>
    <w:rsid w:val="007733CC"/>
    <w:rsid w:val="00777C4B"/>
    <w:rsid w:val="0078275B"/>
    <w:rsid w:val="00785678"/>
    <w:rsid w:val="007900BE"/>
    <w:rsid w:val="00792945"/>
    <w:rsid w:val="00796D58"/>
    <w:rsid w:val="007A7B57"/>
    <w:rsid w:val="007A7D82"/>
    <w:rsid w:val="007B25E7"/>
    <w:rsid w:val="007B30BD"/>
    <w:rsid w:val="007B60FB"/>
    <w:rsid w:val="007C04CA"/>
    <w:rsid w:val="007C290F"/>
    <w:rsid w:val="007C660A"/>
    <w:rsid w:val="007D2077"/>
    <w:rsid w:val="007D7C9F"/>
    <w:rsid w:val="007E176F"/>
    <w:rsid w:val="007E59CE"/>
    <w:rsid w:val="007F18E1"/>
    <w:rsid w:val="007F6A21"/>
    <w:rsid w:val="007F70CE"/>
    <w:rsid w:val="008041F2"/>
    <w:rsid w:val="00804A75"/>
    <w:rsid w:val="00805E68"/>
    <w:rsid w:val="00805F97"/>
    <w:rsid w:val="0080623C"/>
    <w:rsid w:val="00812457"/>
    <w:rsid w:val="00823C18"/>
    <w:rsid w:val="00824C37"/>
    <w:rsid w:val="0082639C"/>
    <w:rsid w:val="0083503A"/>
    <w:rsid w:val="008357BC"/>
    <w:rsid w:val="0083621C"/>
    <w:rsid w:val="00846864"/>
    <w:rsid w:val="008625AF"/>
    <w:rsid w:val="00872114"/>
    <w:rsid w:val="0087439B"/>
    <w:rsid w:val="008776D5"/>
    <w:rsid w:val="008920F5"/>
    <w:rsid w:val="008966F5"/>
    <w:rsid w:val="008A38B3"/>
    <w:rsid w:val="008A50A3"/>
    <w:rsid w:val="008B0434"/>
    <w:rsid w:val="008C1AA4"/>
    <w:rsid w:val="008C2827"/>
    <w:rsid w:val="008C67F4"/>
    <w:rsid w:val="008D0B28"/>
    <w:rsid w:val="008D205C"/>
    <w:rsid w:val="008D6FFC"/>
    <w:rsid w:val="008E11E9"/>
    <w:rsid w:val="008E1A44"/>
    <w:rsid w:val="008E4AC6"/>
    <w:rsid w:val="008F3960"/>
    <w:rsid w:val="008F42F7"/>
    <w:rsid w:val="00911BEE"/>
    <w:rsid w:val="009122BC"/>
    <w:rsid w:val="009177C8"/>
    <w:rsid w:val="009245EE"/>
    <w:rsid w:val="009259EA"/>
    <w:rsid w:val="00925EA6"/>
    <w:rsid w:val="00931C95"/>
    <w:rsid w:val="009322C6"/>
    <w:rsid w:val="009424B2"/>
    <w:rsid w:val="009427F0"/>
    <w:rsid w:val="00944EDF"/>
    <w:rsid w:val="0094556A"/>
    <w:rsid w:val="009459C2"/>
    <w:rsid w:val="0095058A"/>
    <w:rsid w:val="00950CE4"/>
    <w:rsid w:val="00951259"/>
    <w:rsid w:val="0095630F"/>
    <w:rsid w:val="009653D6"/>
    <w:rsid w:val="00971111"/>
    <w:rsid w:val="0098002F"/>
    <w:rsid w:val="009820A0"/>
    <w:rsid w:val="009855B2"/>
    <w:rsid w:val="00985EDF"/>
    <w:rsid w:val="009938ED"/>
    <w:rsid w:val="0099642C"/>
    <w:rsid w:val="0099746A"/>
    <w:rsid w:val="009A3554"/>
    <w:rsid w:val="009A49E5"/>
    <w:rsid w:val="009B3883"/>
    <w:rsid w:val="009B3AA4"/>
    <w:rsid w:val="009B3BC7"/>
    <w:rsid w:val="009B3C4E"/>
    <w:rsid w:val="009B5891"/>
    <w:rsid w:val="009B6B7F"/>
    <w:rsid w:val="009C1E7F"/>
    <w:rsid w:val="009C5D10"/>
    <w:rsid w:val="009D2F03"/>
    <w:rsid w:val="009D532E"/>
    <w:rsid w:val="009E0980"/>
    <w:rsid w:val="009E36F4"/>
    <w:rsid w:val="009E42A9"/>
    <w:rsid w:val="009F0CA2"/>
    <w:rsid w:val="009F12E4"/>
    <w:rsid w:val="009F2EB2"/>
    <w:rsid w:val="009F66F2"/>
    <w:rsid w:val="00A067CF"/>
    <w:rsid w:val="00A06B25"/>
    <w:rsid w:val="00A06F27"/>
    <w:rsid w:val="00A07745"/>
    <w:rsid w:val="00A07F94"/>
    <w:rsid w:val="00A10E61"/>
    <w:rsid w:val="00A1328A"/>
    <w:rsid w:val="00A15D01"/>
    <w:rsid w:val="00A17E59"/>
    <w:rsid w:val="00A23170"/>
    <w:rsid w:val="00A238F7"/>
    <w:rsid w:val="00A248BA"/>
    <w:rsid w:val="00A32642"/>
    <w:rsid w:val="00A34722"/>
    <w:rsid w:val="00A379C6"/>
    <w:rsid w:val="00A43DDB"/>
    <w:rsid w:val="00A44BC4"/>
    <w:rsid w:val="00A457CF"/>
    <w:rsid w:val="00A47237"/>
    <w:rsid w:val="00A50EEB"/>
    <w:rsid w:val="00A519CB"/>
    <w:rsid w:val="00A51A6F"/>
    <w:rsid w:val="00A527A6"/>
    <w:rsid w:val="00A55D33"/>
    <w:rsid w:val="00A61A57"/>
    <w:rsid w:val="00A62885"/>
    <w:rsid w:val="00A63E28"/>
    <w:rsid w:val="00A733FD"/>
    <w:rsid w:val="00A807F2"/>
    <w:rsid w:val="00A83670"/>
    <w:rsid w:val="00A879A1"/>
    <w:rsid w:val="00A939E8"/>
    <w:rsid w:val="00A95B28"/>
    <w:rsid w:val="00AA221E"/>
    <w:rsid w:val="00AB539C"/>
    <w:rsid w:val="00AB550B"/>
    <w:rsid w:val="00AC20E0"/>
    <w:rsid w:val="00AC2BCE"/>
    <w:rsid w:val="00AD5DAB"/>
    <w:rsid w:val="00AE0C5C"/>
    <w:rsid w:val="00AF39D3"/>
    <w:rsid w:val="00AF7AC5"/>
    <w:rsid w:val="00B025C2"/>
    <w:rsid w:val="00B0437A"/>
    <w:rsid w:val="00B1146B"/>
    <w:rsid w:val="00B13C85"/>
    <w:rsid w:val="00B14597"/>
    <w:rsid w:val="00B15D92"/>
    <w:rsid w:val="00B1640F"/>
    <w:rsid w:val="00B174A4"/>
    <w:rsid w:val="00B22462"/>
    <w:rsid w:val="00B32CF5"/>
    <w:rsid w:val="00B34E10"/>
    <w:rsid w:val="00B444A8"/>
    <w:rsid w:val="00B452B9"/>
    <w:rsid w:val="00B4785E"/>
    <w:rsid w:val="00B57AAC"/>
    <w:rsid w:val="00B61981"/>
    <w:rsid w:val="00B61BF5"/>
    <w:rsid w:val="00B66E3C"/>
    <w:rsid w:val="00B67050"/>
    <w:rsid w:val="00B7235B"/>
    <w:rsid w:val="00B76534"/>
    <w:rsid w:val="00B80A30"/>
    <w:rsid w:val="00B830A7"/>
    <w:rsid w:val="00B848AC"/>
    <w:rsid w:val="00B84B72"/>
    <w:rsid w:val="00B95026"/>
    <w:rsid w:val="00BB0EF3"/>
    <w:rsid w:val="00BB188F"/>
    <w:rsid w:val="00BB2137"/>
    <w:rsid w:val="00BB4EB4"/>
    <w:rsid w:val="00BB4FA1"/>
    <w:rsid w:val="00BB5901"/>
    <w:rsid w:val="00BB7994"/>
    <w:rsid w:val="00BB7E9C"/>
    <w:rsid w:val="00BC0CCA"/>
    <w:rsid w:val="00BC52AF"/>
    <w:rsid w:val="00BC69B4"/>
    <w:rsid w:val="00BC69E2"/>
    <w:rsid w:val="00BD3A54"/>
    <w:rsid w:val="00BE07C3"/>
    <w:rsid w:val="00BE0F2A"/>
    <w:rsid w:val="00BE70DA"/>
    <w:rsid w:val="00BE7A82"/>
    <w:rsid w:val="00BE7F36"/>
    <w:rsid w:val="00C0182D"/>
    <w:rsid w:val="00C02D93"/>
    <w:rsid w:val="00C03072"/>
    <w:rsid w:val="00C03680"/>
    <w:rsid w:val="00C03B7B"/>
    <w:rsid w:val="00C04A2C"/>
    <w:rsid w:val="00C0563C"/>
    <w:rsid w:val="00C07396"/>
    <w:rsid w:val="00C17C86"/>
    <w:rsid w:val="00C231B6"/>
    <w:rsid w:val="00C269D7"/>
    <w:rsid w:val="00C32963"/>
    <w:rsid w:val="00C33397"/>
    <w:rsid w:val="00C367B8"/>
    <w:rsid w:val="00C43FAB"/>
    <w:rsid w:val="00C4498B"/>
    <w:rsid w:val="00C52683"/>
    <w:rsid w:val="00C54B42"/>
    <w:rsid w:val="00C54FD0"/>
    <w:rsid w:val="00C6529B"/>
    <w:rsid w:val="00C719D6"/>
    <w:rsid w:val="00C823BD"/>
    <w:rsid w:val="00C83BFF"/>
    <w:rsid w:val="00CA3C3E"/>
    <w:rsid w:val="00CB35B2"/>
    <w:rsid w:val="00CB3B64"/>
    <w:rsid w:val="00CB4158"/>
    <w:rsid w:val="00CB424B"/>
    <w:rsid w:val="00CB43E8"/>
    <w:rsid w:val="00CB5A4A"/>
    <w:rsid w:val="00CC146D"/>
    <w:rsid w:val="00CC1BE2"/>
    <w:rsid w:val="00CC7DDA"/>
    <w:rsid w:val="00CD0503"/>
    <w:rsid w:val="00CD2BFA"/>
    <w:rsid w:val="00CD5A5C"/>
    <w:rsid w:val="00CD636F"/>
    <w:rsid w:val="00CD79F3"/>
    <w:rsid w:val="00CE058F"/>
    <w:rsid w:val="00CE14AB"/>
    <w:rsid w:val="00CF027D"/>
    <w:rsid w:val="00CF0F2B"/>
    <w:rsid w:val="00D02E52"/>
    <w:rsid w:val="00D05A19"/>
    <w:rsid w:val="00D05EEA"/>
    <w:rsid w:val="00D0782C"/>
    <w:rsid w:val="00D160C0"/>
    <w:rsid w:val="00D16BED"/>
    <w:rsid w:val="00D24C03"/>
    <w:rsid w:val="00D26DF3"/>
    <w:rsid w:val="00D339DB"/>
    <w:rsid w:val="00D40AAD"/>
    <w:rsid w:val="00D41E27"/>
    <w:rsid w:val="00D4281E"/>
    <w:rsid w:val="00D45FE9"/>
    <w:rsid w:val="00D47553"/>
    <w:rsid w:val="00D5170E"/>
    <w:rsid w:val="00D5685E"/>
    <w:rsid w:val="00D575BC"/>
    <w:rsid w:val="00D6554F"/>
    <w:rsid w:val="00D674F3"/>
    <w:rsid w:val="00D711FF"/>
    <w:rsid w:val="00D7199B"/>
    <w:rsid w:val="00D725F9"/>
    <w:rsid w:val="00D81B9D"/>
    <w:rsid w:val="00D86A20"/>
    <w:rsid w:val="00D8724D"/>
    <w:rsid w:val="00D925DF"/>
    <w:rsid w:val="00D94A79"/>
    <w:rsid w:val="00D96AA1"/>
    <w:rsid w:val="00D96C72"/>
    <w:rsid w:val="00DA012E"/>
    <w:rsid w:val="00DA1ABA"/>
    <w:rsid w:val="00DA1BBE"/>
    <w:rsid w:val="00DA1CF8"/>
    <w:rsid w:val="00DA4144"/>
    <w:rsid w:val="00DA798E"/>
    <w:rsid w:val="00DB00B9"/>
    <w:rsid w:val="00DB58F5"/>
    <w:rsid w:val="00DC0225"/>
    <w:rsid w:val="00DC0527"/>
    <w:rsid w:val="00DC0F7F"/>
    <w:rsid w:val="00DC16A3"/>
    <w:rsid w:val="00DC1BEB"/>
    <w:rsid w:val="00DD014C"/>
    <w:rsid w:val="00DD6567"/>
    <w:rsid w:val="00DE2B7D"/>
    <w:rsid w:val="00DE6F7E"/>
    <w:rsid w:val="00DF26E1"/>
    <w:rsid w:val="00DF5A70"/>
    <w:rsid w:val="00DF5BC8"/>
    <w:rsid w:val="00E02C6A"/>
    <w:rsid w:val="00E0535A"/>
    <w:rsid w:val="00E07C47"/>
    <w:rsid w:val="00E12395"/>
    <w:rsid w:val="00E13028"/>
    <w:rsid w:val="00E13E6F"/>
    <w:rsid w:val="00E15B0B"/>
    <w:rsid w:val="00E15E5F"/>
    <w:rsid w:val="00E1705C"/>
    <w:rsid w:val="00E22FF5"/>
    <w:rsid w:val="00E31A5A"/>
    <w:rsid w:val="00E32040"/>
    <w:rsid w:val="00E325CF"/>
    <w:rsid w:val="00E337D2"/>
    <w:rsid w:val="00E33CD9"/>
    <w:rsid w:val="00E41772"/>
    <w:rsid w:val="00E42A6F"/>
    <w:rsid w:val="00E43D69"/>
    <w:rsid w:val="00E459B5"/>
    <w:rsid w:val="00E4783D"/>
    <w:rsid w:val="00E5365E"/>
    <w:rsid w:val="00E5416E"/>
    <w:rsid w:val="00E572D4"/>
    <w:rsid w:val="00E57A6A"/>
    <w:rsid w:val="00E628D0"/>
    <w:rsid w:val="00E63F4E"/>
    <w:rsid w:val="00E85C0F"/>
    <w:rsid w:val="00E92B99"/>
    <w:rsid w:val="00EA7054"/>
    <w:rsid w:val="00EB4F5A"/>
    <w:rsid w:val="00EB64DA"/>
    <w:rsid w:val="00ED2067"/>
    <w:rsid w:val="00ED6FF0"/>
    <w:rsid w:val="00EE12B4"/>
    <w:rsid w:val="00EE20D2"/>
    <w:rsid w:val="00EE2DBD"/>
    <w:rsid w:val="00EE5308"/>
    <w:rsid w:val="00EF0C55"/>
    <w:rsid w:val="00EF332C"/>
    <w:rsid w:val="00EF4A52"/>
    <w:rsid w:val="00EF6832"/>
    <w:rsid w:val="00EF7F28"/>
    <w:rsid w:val="00F04C3D"/>
    <w:rsid w:val="00F10C34"/>
    <w:rsid w:val="00F1747F"/>
    <w:rsid w:val="00F25D7B"/>
    <w:rsid w:val="00F31153"/>
    <w:rsid w:val="00F3276A"/>
    <w:rsid w:val="00F33EA0"/>
    <w:rsid w:val="00F35396"/>
    <w:rsid w:val="00F363EC"/>
    <w:rsid w:val="00F41739"/>
    <w:rsid w:val="00F430DC"/>
    <w:rsid w:val="00F438DF"/>
    <w:rsid w:val="00F444B4"/>
    <w:rsid w:val="00F47417"/>
    <w:rsid w:val="00F618D5"/>
    <w:rsid w:val="00F63A54"/>
    <w:rsid w:val="00F63C81"/>
    <w:rsid w:val="00F645B3"/>
    <w:rsid w:val="00F6549D"/>
    <w:rsid w:val="00F708DB"/>
    <w:rsid w:val="00F73BFF"/>
    <w:rsid w:val="00F85504"/>
    <w:rsid w:val="00F85514"/>
    <w:rsid w:val="00F85C35"/>
    <w:rsid w:val="00F9165F"/>
    <w:rsid w:val="00F9773E"/>
    <w:rsid w:val="00FA07CC"/>
    <w:rsid w:val="00FA1B8F"/>
    <w:rsid w:val="00FB03F5"/>
    <w:rsid w:val="00FB1E45"/>
    <w:rsid w:val="00FB4F54"/>
    <w:rsid w:val="00FB6BD0"/>
    <w:rsid w:val="00FB6DB2"/>
    <w:rsid w:val="00FC7969"/>
    <w:rsid w:val="00FD46A1"/>
    <w:rsid w:val="00FD4ABC"/>
    <w:rsid w:val="00FD72EE"/>
    <w:rsid w:val="00FE14C0"/>
    <w:rsid w:val="00FE19AF"/>
    <w:rsid w:val="0DB735FE"/>
    <w:rsid w:val="1168129A"/>
    <w:rsid w:val="1393C43F"/>
    <w:rsid w:val="25BB6F15"/>
    <w:rsid w:val="27069B3C"/>
    <w:rsid w:val="275971B9"/>
    <w:rsid w:val="317E3A1B"/>
    <w:rsid w:val="376C0789"/>
    <w:rsid w:val="3CBEBF32"/>
    <w:rsid w:val="44661A0E"/>
    <w:rsid w:val="4D93CAAB"/>
    <w:rsid w:val="51462BBF"/>
    <w:rsid w:val="51F81A6D"/>
    <w:rsid w:val="556733AE"/>
    <w:rsid w:val="64D78D11"/>
    <w:rsid w:val="75C232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01DF18"/>
  <w15:chartTrackingRefBased/>
  <w15:docId w15:val="{82286E07-5846-4978-A3AF-B949BBCE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C35"/>
    <w:pPr>
      <w:jc w:val="both"/>
    </w:pPr>
    <w:rPr>
      <w:rFonts w:ascii="Times New Roman" w:hAnsi="Times New Roman" w:cs="Times New Roman"/>
      <w:sz w:val="22"/>
      <w:lang w:val="en-US"/>
    </w:rPr>
  </w:style>
  <w:style w:type="paragraph" w:styleId="Heading1">
    <w:name w:val="heading 1"/>
    <w:basedOn w:val="Heading2"/>
    <w:next w:val="Normal"/>
    <w:link w:val="Heading1Char"/>
    <w:uiPriority w:val="9"/>
    <w:qFormat/>
    <w:rsid w:val="00DC0527"/>
    <w:pPr>
      <w:numPr>
        <w:ilvl w:val="0"/>
      </w:numPr>
      <w:outlineLvl w:val="0"/>
    </w:pPr>
    <w:rPr>
      <w:b/>
      <w:bCs/>
    </w:rPr>
  </w:style>
  <w:style w:type="paragraph" w:styleId="Heading2">
    <w:name w:val="heading 2"/>
    <w:basedOn w:val="Normal"/>
    <w:next w:val="Normal"/>
    <w:link w:val="Heading2Char"/>
    <w:uiPriority w:val="9"/>
    <w:unhideWhenUsed/>
    <w:qFormat/>
    <w:rsid w:val="00DC0527"/>
    <w:pPr>
      <w:numPr>
        <w:ilvl w:val="1"/>
        <w:numId w:val="15"/>
      </w:numPr>
      <w:outlineLvl w:val="1"/>
    </w:pPr>
    <w:rPr>
      <w:sz w:val="24"/>
    </w:rPr>
  </w:style>
  <w:style w:type="paragraph" w:styleId="Heading3">
    <w:name w:val="heading 3"/>
    <w:basedOn w:val="Normal"/>
    <w:next w:val="Normal"/>
    <w:link w:val="Heading3Char"/>
    <w:uiPriority w:val="9"/>
    <w:unhideWhenUsed/>
    <w:qFormat/>
    <w:rsid w:val="00F363EC"/>
    <w:pPr>
      <w:numPr>
        <w:ilvl w:val="2"/>
        <w:numId w:val="15"/>
      </w:numPr>
      <w:outlineLvl w:val="2"/>
    </w:pPr>
    <w:rPr>
      <w:i/>
      <w:iCs/>
    </w:rPr>
  </w:style>
  <w:style w:type="paragraph" w:styleId="Heading4">
    <w:name w:val="heading 4"/>
    <w:basedOn w:val="Normal"/>
    <w:next w:val="Normal"/>
    <w:link w:val="Heading4Char"/>
    <w:uiPriority w:val="9"/>
    <w:semiHidden/>
    <w:unhideWhenUsed/>
    <w:qFormat/>
    <w:rsid w:val="00C03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527"/>
    <w:rPr>
      <w:rFonts w:ascii="Times New Roman" w:hAnsi="Times New Roman" w:cs="Times New Roman"/>
      <w:b/>
      <w:bCs/>
      <w:lang w:val="en-US"/>
    </w:rPr>
  </w:style>
  <w:style w:type="character" w:customStyle="1" w:styleId="Heading2Char">
    <w:name w:val="Heading 2 Char"/>
    <w:basedOn w:val="DefaultParagraphFont"/>
    <w:link w:val="Heading2"/>
    <w:uiPriority w:val="9"/>
    <w:rsid w:val="00DC0527"/>
    <w:rPr>
      <w:rFonts w:ascii="Times New Roman" w:hAnsi="Times New Roman" w:cs="Times New Roman"/>
      <w:lang w:val="en-US"/>
    </w:rPr>
  </w:style>
  <w:style w:type="character" w:customStyle="1" w:styleId="Heading3Char">
    <w:name w:val="Heading 3 Char"/>
    <w:basedOn w:val="DefaultParagraphFont"/>
    <w:link w:val="Heading3"/>
    <w:uiPriority w:val="9"/>
    <w:rsid w:val="00F363EC"/>
    <w:rPr>
      <w:i/>
      <w:iCs/>
      <w:lang w:val="en-US"/>
    </w:rPr>
  </w:style>
  <w:style w:type="character" w:customStyle="1" w:styleId="Heading4Char">
    <w:name w:val="Heading 4 Char"/>
    <w:basedOn w:val="DefaultParagraphFont"/>
    <w:link w:val="Heading4"/>
    <w:uiPriority w:val="9"/>
    <w:semiHidden/>
    <w:rsid w:val="00C03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680"/>
    <w:rPr>
      <w:rFonts w:eastAsiaTheme="majorEastAsia" w:cstheme="majorBidi"/>
      <w:color w:val="272727" w:themeColor="text1" w:themeTint="D8"/>
    </w:rPr>
  </w:style>
  <w:style w:type="paragraph" w:styleId="Title">
    <w:name w:val="Title"/>
    <w:basedOn w:val="Normal"/>
    <w:next w:val="Normal"/>
    <w:link w:val="TitleChar"/>
    <w:uiPriority w:val="10"/>
    <w:qFormat/>
    <w:rsid w:val="00C03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680"/>
    <w:pPr>
      <w:spacing w:before="160"/>
      <w:jc w:val="center"/>
    </w:pPr>
    <w:rPr>
      <w:i/>
      <w:iCs/>
      <w:color w:val="404040" w:themeColor="text1" w:themeTint="BF"/>
    </w:rPr>
  </w:style>
  <w:style w:type="character" w:customStyle="1" w:styleId="QuoteChar">
    <w:name w:val="Quote Char"/>
    <w:basedOn w:val="DefaultParagraphFont"/>
    <w:link w:val="Quote"/>
    <w:uiPriority w:val="29"/>
    <w:rsid w:val="00C03680"/>
    <w:rPr>
      <w:i/>
      <w:iCs/>
      <w:color w:val="404040" w:themeColor="text1" w:themeTint="BF"/>
    </w:rPr>
  </w:style>
  <w:style w:type="paragraph" w:styleId="ListParagraph">
    <w:name w:val="List Paragraph"/>
    <w:basedOn w:val="Normal"/>
    <w:uiPriority w:val="34"/>
    <w:qFormat/>
    <w:rsid w:val="00C03680"/>
    <w:pPr>
      <w:ind w:left="720"/>
      <w:contextualSpacing/>
    </w:pPr>
  </w:style>
  <w:style w:type="character" w:styleId="IntenseEmphasis">
    <w:name w:val="Intense Emphasis"/>
    <w:basedOn w:val="DefaultParagraphFont"/>
    <w:uiPriority w:val="21"/>
    <w:qFormat/>
    <w:rsid w:val="00C03680"/>
    <w:rPr>
      <w:i/>
      <w:iCs/>
      <w:color w:val="0F4761" w:themeColor="accent1" w:themeShade="BF"/>
    </w:rPr>
  </w:style>
  <w:style w:type="paragraph" w:styleId="IntenseQuote">
    <w:name w:val="Intense Quote"/>
    <w:basedOn w:val="Normal"/>
    <w:next w:val="Normal"/>
    <w:link w:val="IntenseQuoteChar"/>
    <w:uiPriority w:val="30"/>
    <w:qFormat/>
    <w:rsid w:val="00C03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680"/>
    <w:rPr>
      <w:i/>
      <w:iCs/>
      <w:color w:val="0F4761" w:themeColor="accent1" w:themeShade="BF"/>
    </w:rPr>
  </w:style>
  <w:style w:type="character" w:styleId="IntenseReference">
    <w:name w:val="Intense Reference"/>
    <w:basedOn w:val="DefaultParagraphFont"/>
    <w:uiPriority w:val="32"/>
    <w:qFormat/>
    <w:rsid w:val="00C03680"/>
    <w:rPr>
      <w:b/>
      <w:bCs/>
      <w:smallCaps/>
      <w:color w:val="0F4761" w:themeColor="accent1" w:themeShade="BF"/>
      <w:spacing w:val="5"/>
    </w:rPr>
  </w:style>
  <w:style w:type="character" w:styleId="CommentReference">
    <w:name w:val="annotation reference"/>
    <w:basedOn w:val="DefaultParagraphFont"/>
    <w:uiPriority w:val="99"/>
    <w:semiHidden/>
    <w:unhideWhenUsed/>
    <w:rsid w:val="00AC2BCE"/>
    <w:rPr>
      <w:sz w:val="16"/>
      <w:szCs w:val="16"/>
    </w:rPr>
  </w:style>
  <w:style w:type="paragraph" w:styleId="CommentText">
    <w:name w:val="annotation text"/>
    <w:basedOn w:val="Normal"/>
    <w:link w:val="CommentTextChar"/>
    <w:uiPriority w:val="99"/>
    <w:unhideWhenUsed/>
    <w:rsid w:val="00AC2BCE"/>
    <w:pPr>
      <w:spacing w:line="240" w:lineRule="auto"/>
    </w:pPr>
    <w:rPr>
      <w:sz w:val="20"/>
      <w:szCs w:val="20"/>
    </w:rPr>
  </w:style>
  <w:style w:type="character" w:customStyle="1" w:styleId="CommentTextChar">
    <w:name w:val="Comment Text Char"/>
    <w:basedOn w:val="DefaultParagraphFont"/>
    <w:link w:val="CommentText"/>
    <w:uiPriority w:val="99"/>
    <w:rsid w:val="00AC2BCE"/>
    <w:rPr>
      <w:sz w:val="20"/>
      <w:szCs w:val="20"/>
      <w:lang w:val="en-US"/>
    </w:rPr>
  </w:style>
  <w:style w:type="character" w:styleId="Hyperlink">
    <w:name w:val="Hyperlink"/>
    <w:basedOn w:val="DefaultParagraphFont"/>
    <w:uiPriority w:val="99"/>
    <w:unhideWhenUsed/>
    <w:rsid w:val="00971111"/>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E0535A"/>
    <w:rPr>
      <w:b/>
      <w:bCs/>
      <w:lang/>
    </w:rPr>
  </w:style>
  <w:style w:type="character" w:customStyle="1" w:styleId="CommentSubjectChar">
    <w:name w:val="Comment Subject Char"/>
    <w:basedOn w:val="CommentTextChar"/>
    <w:link w:val="CommentSubject"/>
    <w:uiPriority w:val="99"/>
    <w:semiHidden/>
    <w:rsid w:val="00E0535A"/>
    <w:rPr>
      <w:b/>
      <w:bCs/>
      <w:sz w:val="20"/>
      <w:szCs w:val="20"/>
      <w:lang w:val="en-US"/>
    </w:rPr>
  </w:style>
  <w:style w:type="paragraph" w:styleId="FootnoteText">
    <w:name w:val="footnote text"/>
    <w:basedOn w:val="Normal"/>
    <w:link w:val="FootnoteTextChar"/>
    <w:uiPriority w:val="99"/>
    <w:unhideWhenUsed/>
    <w:rsid w:val="007C290F"/>
    <w:pPr>
      <w:spacing w:after="0" w:line="240" w:lineRule="auto"/>
    </w:pPr>
    <w:rPr>
      <w:sz w:val="20"/>
      <w:szCs w:val="20"/>
    </w:rPr>
  </w:style>
  <w:style w:type="character" w:customStyle="1" w:styleId="FootnoteTextChar">
    <w:name w:val="Footnote Text Char"/>
    <w:basedOn w:val="DefaultParagraphFont"/>
    <w:link w:val="FootnoteText"/>
    <w:uiPriority w:val="99"/>
    <w:rsid w:val="007C290F"/>
    <w:rPr>
      <w:sz w:val="20"/>
      <w:szCs w:val="20"/>
      <w:lang w:val="en-US"/>
    </w:rPr>
  </w:style>
  <w:style w:type="character" w:styleId="FootnoteReference">
    <w:name w:val="footnote reference"/>
    <w:basedOn w:val="DefaultParagraphFont"/>
    <w:uiPriority w:val="99"/>
    <w:semiHidden/>
    <w:unhideWhenUsed/>
    <w:rsid w:val="007C290F"/>
    <w:rPr>
      <w:vertAlign w:val="superscript"/>
    </w:rPr>
  </w:style>
  <w:style w:type="paragraph" w:customStyle="1" w:styleId="msonormal0">
    <w:name w:val="msonormal"/>
    <w:basedOn w:val="Normal"/>
    <w:rsid w:val="0030232E"/>
    <w:pPr>
      <w:spacing w:before="100" w:beforeAutospacing="1" w:after="100" w:afterAutospacing="1" w:line="240" w:lineRule="auto"/>
      <w:jc w:val="left"/>
    </w:pPr>
    <w:rPr>
      <w:rFonts w:eastAsia="Times New Roman"/>
      <w:kern w:val="0"/>
      <w:lang/>
      <w14:ligatures w14:val="none"/>
    </w:rPr>
  </w:style>
  <w:style w:type="character" w:styleId="FollowedHyperlink">
    <w:name w:val="FollowedHyperlink"/>
    <w:basedOn w:val="DefaultParagraphFont"/>
    <w:uiPriority w:val="99"/>
    <w:semiHidden/>
    <w:unhideWhenUsed/>
    <w:rsid w:val="0030232E"/>
    <w:rPr>
      <w:color w:val="800080"/>
      <w:u w:val="single"/>
    </w:rPr>
  </w:style>
  <w:style w:type="character" w:styleId="UnresolvedMention">
    <w:name w:val="Unresolved Mention"/>
    <w:basedOn w:val="DefaultParagraphFont"/>
    <w:uiPriority w:val="99"/>
    <w:semiHidden/>
    <w:unhideWhenUsed/>
    <w:rsid w:val="0030232E"/>
    <w:rPr>
      <w:color w:val="605E5C"/>
      <w:shd w:val="clear" w:color="auto" w:fill="E1DFDD"/>
    </w:rPr>
  </w:style>
  <w:style w:type="paragraph" w:styleId="Bibliography">
    <w:name w:val="Bibliography"/>
    <w:basedOn w:val="Normal"/>
    <w:next w:val="Normal"/>
    <w:uiPriority w:val="37"/>
    <w:unhideWhenUsed/>
    <w:rsid w:val="003122ED"/>
    <w:pPr>
      <w:spacing w:after="0" w:line="480" w:lineRule="auto"/>
      <w:ind w:left="720" w:hanging="720"/>
    </w:pPr>
  </w:style>
  <w:style w:type="paragraph" w:styleId="NormalWeb">
    <w:name w:val="Normal (Web)"/>
    <w:basedOn w:val="Normal"/>
    <w:uiPriority w:val="99"/>
    <w:semiHidden/>
    <w:unhideWhenUsed/>
    <w:rsid w:val="00C17C86"/>
  </w:style>
  <w:style w:type="table" w:styleId="TableGrid">
    <w:name w:val="Table Grid"/>
    <w:basedOn w:val="TableNormal"/>
    <w:uiPriority w:val="39"/>
    <w:rsid w:val="00167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671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FD72EE"/>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A47237"/>
    <w:rPr>
      <w:color w:val="666666"/>
    </w:rPr>
  </w:style>
  <w:style w:type="paragraph" w:styleId="TOCHeading">
    <w:name w:val="TOC Heading"/>
    <w:basedOn w:val="Heading1"/>
    <w:next w:val="Normal"/>
    <w:uiPriority w:val="39"/>
    <w:unhideWhenUsed/>
    <w:qFormat/>
    <w:rsid w:val="00DB00B9"/>
    <w:pPr>
      <w:keepNext/>
      <w:keepLines/>
      <w:numPr>
        <w:numId w:val="0"/>
      </w:numPr>
      <w:spacing w:before="240" w:after="0" w:line="259" w:lineRule="auto"/>
      <w:jc w:val="left"/>
      <w:outlineLvl w:val="9"/>
    </w:pPr>
    <w:rPr>
      <w:rFonts w:asciiTheme="majorHAnsi" w:eastAsiaTheme="majorEastAsia" w:hAnsiTheme="majorHAnsi" w:cstheme="majorBidi"/>
      <w:color w:val="0F4761" w:themeColor="accent1" w:themeShade="BF"/>
      <w:kern w:val="0"/>
      <w14:ligatures w14:val="none"/>
    </w:rPr>
  </w:style>
  <w:style w:type="paragraph" w:styleId="TOC1">
    <w:name w:val="toc 1"/>
    <w:basedOn w:val="Normal"/>
    <w:next w:val="Normal"/>
    <w:autoRedefine/>
    <w:uiPriority w:val="39"/>
    <w:unhideWhenUsed/>
    <w:rsid w:val="00DB00B9"/>
    <w:pPr>
      <w:spacing w:after="100"/>
    </w:pPr>
  </w:style>
  <w:style w:type="paragraph" w:styleId="TOC2">
    <w:name w:val="toc 2"/>
    <w:basedOn w:val="Normal"/>
    <w:next w:val="Normal"/>
    <w:autoRedefine/>
    <w:uiPriority w:val="39"/>
    <w:unhideWhenUsed/>
    <w:rsid w:val="00DB00B9"/>
    <w:pPr>
      <w:spacing w:after="100"/>
      <w:ind w:left="240"/>
    </w:pPr>
  </w:style>
  <w:style w:type="paragraph" w:styleId="TOC3">
    <w:name w:val="toc 3"/>
    <w:basedOn w:val="Normal"/>
    <w:next w:val="Normal"/>
    <w:autoRedefine/>
    <w:uiPriority w:val="39"/>
    <w:unhideWhenUsed/>
    <w:rsid w:val="00DB00B9"/>
    <w:pPr>
      <w:spacing w:after="100"/>
      <w:ind w:left="480"/>
    </w:pPr>
  </w:style>
  <w:style w:type="paragraph" w:styleId="Header">
    <w:name w:val="header"/>
    <w:basedOn w:val="Normal"/>
    <w:link w:val="HeaderChar"/>
    <w:uiPriority w:val="99"/>
    <w:unhideWhenUsed/>
    <w:rsid w:val="00566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B06"/>
    <w:rPr>
      <w:lang w:val="en-US"/>
    </w:rPr>
  </w:style>
  <w:style w:type="paragraph" w:styleId="Footer">
    <w:name w:val="footer"/>
    <w:basedOn w:val="Normal"/>
    <w:link w:val="FooterChar"/>
    <w:uiPriority w:val="99"/>
    <w:unhideWhenUsed/>
    <w:rsid w:val="00566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B06"/>
    <w:rPr>
      <w:lang w:val="en-US"/>
    </w:rPr>
  </w:style>
  <w:style w:type="character" w:styleId="EndnoteReference">
    <w:name w:val="endnote reference"/>
    <w:basedOn w:val="DefaultParagraphFont"/>
    <w:uiPriority w:val="99"/>
    <w:semiHidden/>
    <w:unhideWhenUsed/>
    <w:rsid w:val="00D339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11/relationships/commentsExtended" Target="commentsExtended.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18/08/relationships/commentsExtensible" Target="commentsExtensible.xml"/><Relationship Id="rId29" Type="http://schemas.openxmlformats.org/officeDocument/2006/relationships/image" Target="media/image14.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oleObject" Target="embeddings/oleObject1.bin"/><Relationship Id="rId19" Type="http://schemas.microsoft.com/office/2016/09/relationships/commentsIds" Target="commentsIds.xm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omments" Target="comments.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hyperlink" Target="http://www.wileyonlinelibrary.com/journal/j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4F224-8B94-4AC3-9336-167C2218D4E4}">
  <ds:schemaRefs>
    <ds:schemaRef ds:uri="http://schemas.openxmlformats.org/officeDocument/2006/bibliography"/>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21452</Words>
  <Characters>122281</Characters>
  <Application>Microsoft Office Word</Application>
  <DocSecurity>0</DocSecurity>
  <Lines>1019</Lines>
  <Paragraphs>286</Paragraphs>
  <ScaleCrop>false</ScaleCrop>
  <Company>Universiteit Leiden - ISSC</Company>
  <LinksUpToDate>false</LinksUpToDate>
  <CharactersWithSpaces>143447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Belfiore, R. (Rebecca)</dc:creator>
  <cp:keywords/>
  <dc:description/>
  <cp:lastModifiedBy>Belfiore, R. (Rebecca)</cp:lastModifiedBy>
  <cp:revision>618</cp:revision>
  <dcterms:created xsi:type="dcterms:W3CDTF">2026-04-15T12:51:00Z</dcterms:created>
  <dcterms:modified xsi:type="dcterms:W3CDTF">2026-07-29T13:29:00Z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zotero-version="8.0.2"&gt;&lt;session id="U4sQs75G"/&gt;&lt;style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