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E4883" w14:textId="77777777" w:rsidR="000B1C67" w:rsidRDefault="00000000">
      <w:pPr>
        <w:pStyle w:val="1"/>
      </w:pPr>
      <w:bookmarkStart w:id="0" w:name="supplementary-information"/>
      <w:r>
        <w:t>Supplementary Information</w:t>
      </w:r>
    </w:p>
    <w:p w14:paraId="6200BC1E" w14:textId="77777777" w:rsidR="000B1C67" w:rsidRDefault="00000000">
      <w:pPr>
        <w:pStyle w:val="FirstParagraph"/>
      </w:pPr>
      <w:r>
        <w:rPr>
          <w:b/>
          <w:bCs/>
        </w:rPr>
        <w:t>Widespread, non-random mammal community incompleteness in China’s protected areas revealed by multidimensional dark diversity</w:t>
      </w:r>
    </w:p>
    <w:p w14:paraId="45B4AF05" w14:textId="08899397" w:rsidR="000B1C67" w:rsidRDefault="00000000">
      <w:pPr>
        <w:pStyle w:val="a0"/>
      </w:pPr>
      <w:r>
        <w:t>This Supplementary Information contains four appendices, five supplementary figures that elaborate the methodology, present per-reserve and per-species results, list every primary study used to construct the dataset, and document the sensitivity of our conclusions to key analytical choices.</w:t>
      </w:r>
    </w:p>
    <w:p w14:paraId="3FAB3665" w14:textId="77777777" w:rsidR="000B1C67" w:rsidRDefault="00000000">
      <w:r>
        <w:pict w14:anchorId="2F792102">
          <v:rect id="_x0000_i1059" style="width:0;height:1.5pt" o:hralign="center" o:hrstd="t" o:hr="t"/>
        </w:pict>
      </w:r>
    </w:p>
    <w:p w14:paraId="2652A9E5" w14:textId="77777777" w:rsidR="000B1C67" w:rsidRDefault="00000000">
      <w:pPr>
        <w:pStyle w:val="2"/>
      </w:pPr>
      <w:bookmarkStart w:id="1" w:name="contents"/>
      <w:r>
        <w:t>Contents</w:t>
      </w:r>
    </w:p>
    <w:p w14:paraId="4C4C6A91" w14:textId="06626A02" w:rsidR="000B1C67" w:rsidRDefault="00000000">
      <w:pPr>
        <w:numPr>
          <w:ilvl w:val="0"/>
          <w:numId w:val="2"/>
        </w:numPr>
      </w:pPr>
      <w:r>
        <w:rPr>
          <w:b/>
          <w:bCs/>
        </w:rPr>
        <w:t>Appendix S1.</w:t>
      </w:r>
      <w:r>
        <w:t xml:space="preserve"> Reserve inventory.</w:t>
      </w:r>
    </w:p>
    <w:p w14:paraId="2AA1153E" w14:textId="77777777" w:rsidR="000B1C67" w:rsidRDefault="00000000">
      <w:pPr>
        <w:numPr>
          <w:ilvl w:val="0"/>
          <w:numId w:val="2"/>
        </w:numPr>
      </w:pPr>
      <w:r>
        <w:rPr>
          <w:b/>
          <w:bCs/>
        </w:rPr>
        <w:t>Appendix S2.</w:t>
      </w:r>
      <w:r>
        <w:t xml:space="preserve"> Species-level dark-diversity affinity rankings.</w:t>
      </w:r>
    </w:p>
    <w:p w14:paraId="00B8B9D4" w14:textId="77777777" w:rsidR="000B1C67" w:rsidRDefault="00000000">
      <w:pPr>
        <w:numPr>
          <w:ilvl w:val="0"/>
          <w:numId w:val="2"/>
        </w:numPr>
      </w:pPr>
      <w:r>
        <w:rPr>
          <w:b/>
          <w:bCs/>
        </w:rPr>
        <w:t>Appendix S3.</w:t>
      </w:r>
      <w:r>
        <w:t xml:space="preserve"> Full generalized additive model output (log EPD, SES_EPD, log FDI, FDis_dark).</w:t>
      </w:r>
    </w:p>
    <w:p w14:paraId="49BDA65F" w14:textId="77777777" w:rsidR="000B1C67" w:rsidRDefault="00000000">
      <w:pPr>
        <w:numPr>
          <w:ilvl w:val="0"/>
          <w:numId w:val="2"/>
        </w:numPr>
      </w:pPr>
      <w:r>
        <w:rPr>
          <w:b/>
          <w:bCs/>
        </w:rPr>
        <w:t>Appendix S4.</w:t>
      </w:r>
      <w:r>
        <w:t xml:space="preserve"> Sensitivity analyses (sampling-effort threshold, pool definition, phylogeny choice, multiple-testing correction).</w:t>
      </w:r>
    </w:p>
    <w:p w14:paraId="0BA478BC" w14:textId="77777777" w:rsidR="000B1C67" w:rsidRDefault="00000000">
      <w:pPr>
        <w:numPr>
          <w:ilvl w:val="0"/>
          <w:numId w:val="2"/>
        </w:numPr>
      </w:pPr>
      <w:r>
        <w:rPr>
          <w:b/>
          <w:bCs/>
        </w:rPr>
        <w:t>Figure S1.</w:t>
      </w:r>
      <w:r>
        <w:t xml:space="preserve"> Sampling effort and reserve area across the 199-reserve network.</w:t>
      </w:r>
    </w:p>
    <w:p w14:paraId="3FB88AA8" w14:textId="77777777" w:rsidR="000B1C67" w:rsidRDefault="00000000">
      <w:pPr>
        <w:numPr>
          <w:ilvl w:val="0"/>
          <w:numId w:val="2"/>
        </w:numPr>
      </w:pPr>
      <w:r>
        <w:rPr>
          <w:b/>
          <w:bCs/>
        </w:rPr>
        <w:t>Figure S2.</w:t>
      </w:r>
      <w:r>
        <w:t xml:space="preserve"> Pairwise Spearman correlation matrix among the nine candidate environmental / sampling covariates.</w:t>
      </w:r>
    </w:p>
    <w:p w14:paraId="25AC1803" w14:textId="77777777" w:rsidR="000B1C67" w:rsidRDefault="00000000">
      <w:pPr>
        <w:numPr>
          <w:ilvl w:val="0"/>
          <w:numId w:val="2"/>
        </w:numPr>
      </w:pPr>
      <w:r>
        <w:rPr>
          <w:b/>
          <w:bCs/>
        </w:rPr>
        <w:t>Figure S3.</w:t>
      </w:r>
      <w:r>
        <w:t xml:space="preserve"> Residual spatial smoother from the log(EPD) GAM.</w:t>
      </w:r>
    </w:p>
    <w:p w14:paraId="562201C8" w14:textId="77777777" w:rsidR="000B1C67" w:rsidRDefault="00000000">
      <w:pPr>
        <w:numPr>
          <w:ilvl w:val="0"/>
          <w:numId w:val="2"/>
        </w:numPr>
      </w:pPr>
      <w:r>
        <w:rPr>
          <w:b/>
          <w:bCs/>
        </w:rPr>
        <w:t>Figure S4.</w:t>
      </w:r>
      <w:r>
        <w:t xml:space="preserve"> Residual spatial smoother from the SES(EPD) GAM.</w:t>
      </w:r>
    </w:p>
    <w:p w14:paraId="71AB3590" w14:textId="77777777" w:rsidR="000B1C67" w:rsidRDefault="00000000">
      <w:pPr>
        <w:numPr>
          <w:ilvl w:val="0"/>
          <w:numId w:val="2"/>
        </w:numPr>
      </w:pPr>
      <w:r>
        <w:rPr>
          <w:b/>
          <w:bCs/>
        </w:rPr>
        <w:t>Figure S5.</w:t>
      </w:r>
      <w:r>
        <w:t xml:space="preserve"> Residual spatial smoother from the log(FDI) GAM.</w:t>
      </w:r>
    </w:p>
    <w:p w14:paraId="6BBCBD29" w14:textId="77777777" w:rsidR="000B1C67" w:rsidRDefault="00000000">
      <w:r>
        <w:pict w14:anchorId="54F40B5D">
          <v:rect id="_x0000_i1060" style="width:0;height:1.5pt" o:hralign="center" o:hrstd="t" o:hr="t"/>
        </w:pict>
      </w:r>
    </w:p>
    <w:p w14:paraId="42B1AD47" w14:textId="77777777" w:rsidR="000B1C67" w:rsidRDefault="00000000">
      <w:pPr>
        <w:pStyle w:val="2"/>
      </w:pPr>
      <w:bookmarkStart w:id="2" w:name="Xefceb8a76a05f44b28acc720ea2ceb3bf100cb4"/>
      <w:bookmarkEnd w:id="1"/>
      <w:r>
        <w:t>Appendix S1 — Reserve inventory and primary literature sources</w:t>
      </w:r>
    </w:p>
    <w:p w14:paraId="35515F79" w14:textId="77777777" w:rsidR="000B1C67" w:rsidRDefault="00000000">
      <w:pPr>
        <w:pStyle w:val="FirstParagraph"/>
      </w:pPr>
      <w:r>
        <w:t>The final analytical dataset comprises 199 terrestrial nature reserves, retained from an initial pool of 256 reserves recovered from 421 published camera-trap studies (China National Knowledge Infrastructure, Web of Science and Scopus, through June 2025) after applying the standardized filter (&gt;30 deployed cameras, &gt;400 effective camera-days, complete species list). The 199 reserves are distributed across all seven of China’s zoogeographic regions and include national, provincial, municipal and county-level protected areas. Summary counts:</w:t>
      </w:r>
    </w:p>
    <w:tbl>
      <w:tblPr>
        <w:tblStyle w:val="Table"/>
        <w:tblW w:w="0" w:type="auto"/>
        <w:tblLook w:val="0020" w:firstRow="1" w:lastRow="0" w:firstColumn="0" w:lastColumn="0" w:noHBand="0" w:noVBand="0"/>
      </w:tblPr>
      <w:tblGrid>
        <w:gridCol w:w="2194"/>
        <w:gridCol w:w="1485"/>
      </w:tblGrid>
      <w:tr w:rsidR="000B1C67" w14:paraId="712574B0" w14:textId="77777777" w:rsidTr="000B1C67">
        <w:trPr>
          <w:cnfStyle w:val="100000000000" w:firstRow="1" w:lastRow="0" w:firstColumn="0" w:lastColumn="0" w:oddVBand="0" w:evenVBand="0" w:oddHBand="0" w:evenHBand="0" w:firstRowFirstColumn="0" w:firstRowLastColumn="0" w:lastRowFirstColumn="0" w:lastRowLastColumn="0"/>
          <w:tblHeader/>
        </w:trPr>
        <w:tc>
          <w:tcPr>
            <w:tcW w:w="0" w:type="auto"/>
          </w:tcPr>
          <w:p w14:paraId="0DC88744" w14:textId="77777777" w:rsidR="000B1C67" w:rsidRDefault="00000000">
            <w:pPr>
              <w:pStyle w:val="Compact"/>
            </w:pPr>
            <w:r>
              <w:lastRenderedPageBreak/>
              <w:t>Region</w:t>
            </w:r>
          </w:p>
        </w:tc>
        <w:tc>
          <w:tcPr>
            <w:tcW w:w="0" w:type="auto"/>
          </w:tcPr>
          <w:p w14:paraId="60F9FB2A" w14:textId="77777777" w:rsidR="000B1C67" w:rsidRDefault="00000000">
            <w:pPr>
              <w:pStyle w:val="Compact"/>
            </w:pPr>
            <w:r>
              <w:t>Reserves (n)</w:t>
            </w:r>
          </w:p>
        </w:tc>
      </w:tr>
      <w:tr w:rsidR="000B1C67" w14:paraId="4CE59029" w14:textId="77777777">
        <w:tc>
          <w:tcPr>
            <w:tcW w:w="0" w:type="auto"/>
          </w:tcPr>
          <w:p w14:paraId="44FA7C7F" w14:textId="77777777" w:rsidR="000B1C67" w:rsidRDefault="00000000">
            <w:pPr>
              <w:pStyle w:val="Compact"/>
            </w:pPr>
            <w:r>
              <w:t>Central China</w:t>
            </w:r>
          </w:p>
        </w:tc>
        <w:tc>
          <w:tcPr>
            <w:tcW w:w="0" w:type="auto"/>
          </w:tcPr>
          <w:p w14:paraId="5886F804" w14:textId="77777777" w:rsidR="000B1C67" w:rsidRDefault="00000000">
            <w:pPr>
              <w:pStyle w:val="Compact"/>
            </w:pPr>
            <w:r>
              <w:t>58</w:t>
            </w:r>
          </w:p>
        </w:tc>
      </w:tr>
      <w:tr w:rsidR="000B1C67" w14:paraId="54ACE93E" w14:textId="77777777">
        <w:tc>
          <w:tcPr>
            <w:tcW w:w="0" w:type="auto"/>
          </w:tcPr>
          <w:p w14:paraId="1DD86584" w14:textId="77777777" w:rsidR="000B1C67" w:rsidRDefault="00000000">
            <w:pPr>
              <w:pStyle w:val="Compact"/>
            </w:pPr>
            <w:r>
              <w:t>South China</w:t>
            </w:r>
          </w:p>
        </w:tc>
        <w:tc>
          <w:tcPr>
            <w:tcW w:w="0" w:type="auto"/>
          </w:tcPr>
          <w:p w14:paraId="11BB2CA8" w14:textId="77777777" w:rsidR="000B1C67" w:rsidRDefault="00000000">
            <w:pPr>
              <w:pStyle w:val="Compact"/>
            </w:pPr>
            <w:r>
              <w:t>48</w:t>
            </w:r>
          </w:p>
        </w:tc>
      </w:tr>
      <w:tr w:rsidR="000B1C67" w14:paraId="11A65C9D" w14:textId="77777777">
        <w:tc>
          <w:tcPr>
            <w:tcW w:w="0" w:type="auto"/>
          </w:tcPr>
          <w:p w14:paraId="087CE2EB" w14:textId="77777777" w:rsidR="000B1C67" w:rsidRDefault="00000000">
            <w:pPr>
              <w:pStyle w:val="Compact"/>
            </w:pPr>
            <w:r>
              <w:t>Southwest China</w:t>
            </w:r>
          </w:p>
        </w:tc>
        <w:tc>
          <w:tcPr>
            <w:tcW w:w="0" w:type="auto"/>
          </w:tcPr>
          <w:p w14:paraId="3A19FA5C" w14:textId="77777777" w:rsidR="000B1C67" w:rsidRDefault="00000000">
            <w:pPr>
              <w:pStyle w:val="Compact"/>
            </w:pPr>
            <w:r>
              <w:t>39</w:t>
            </w:r>
          </w:p>
        </w:tc>
      </w:tr>
      <w:tr w:rsidR="000B1C67" w14:paraId="472FCB33" w14:textId="77777777">
        <w:tc>
          <w:tcPr>
            <w:tcW w:w="0" w:type="auto"/>
          </w:tcPr>
          <w:p w14:paraId="363BA790" w14:textId="77777777" w:rsidR="000B1C67" w:rsidRDefault="00000000">
            <w:pPr>
              <w:pStyle w:val="Compact"/>
            </w:pPr>
            <w:r>
              <w:t>North China</w:t>
            </w:r>
          </w:p>
        </w:tc>
        <w:tc>
          <w:tcPr>
            <w:tcW w:w="0" w:type="auto"/>
          </w:tcPr>
          <w:p w14:paraId="2997FF74" w14:textId="77777777" w:rsidR="000B1C67" w:rsidRDefault="00000000">
            <w:pPr>
              <w:pStyle w:val="Compact"/>
            </w:pPr>
            <w:r>
              <w:t>26</w:t>
            </w:r>
          </w:p>
        </w:tc>
      </w:tr>
      <w:tr w:rsidR="000B1C67" w14:paraId="467EF8F9" w14:textId="77777777">
        <w:tc>
          <w:tcPr>
            <w:tcW w:w="0" w:type="auto"/>
          </w:tcPr>
          <w:p w14:paraId="0F933700" w14:textId="77777777" w:rsidR="000B1C67" w:rsidRDefault="00000000">
            <w:pPr>
              <w:pStyle w:val="Compact"/>
            </w:pPr>
            <w:r>
              <w:t>Northeast China</w:t>
            </w:r>
          </w:p>
        </w:tc>
        <w:tc>
          <w:tcPr>
            <w:tcW w:w="0" w:type="auto"/>
          </w:tcPr>
          <w:p w14:paraId="1DB1BBD1" w14:textId="77777777" w:rsidR="000B1C67" w:rsidRDefault="00000000">
            <w:pPr>
              <w:pStyle w:val="Compact"/>
            </w:pPr>
            <w:r>
              <w:t>12</w:t>
            </w:r>
          </w:p>
        </w:tc>
      </w:tr>
      <w:tr w:rsidR="000B1C67" w14:paraId="73AC95FA" w14:textId="77777777">
        <w:tc>
          <w:tcPr>
            <w:tcW w:w="0" w:type="auto"/>
          </w:tcPr>
          <w:p w14:paraId="10223D34" w14:textId="77777777" w:rsidR="000B1C67" w:rsidRDefault="00000000">
            <w:pPr>
              <w:pStyle w:val="Compact"/>
            </w:pPr>
            <w:r>
              <w:t>Mongolian-Xinjiang</w:t>
            </w:r>
          </w:p>
        </w:tc>
        <w:tc>
          <w:tcPr>
            <w:tcW w:w="0" w:type="auto"/>
          </w:tcPr>
          <w:p w14:paraId="0C92B814" w14:textId="77777777" w:rsidR="000B1C67" w:rsidRDefault="00000000">
            <w:pPr>
              <w:pStyle w:val="Compact"/>
            </w:pPr>
            <w:r>
              <w:t>8</w:t>
            </w:r>
          </w:p>
        </w:tc>
      </w:tr>
      <w:tr w:rsidR="000B1C67" w14:paraId="16415FBB" w14:textId="77777777">
        <w:tc>
          <w:tcPr>
            <w:tcW w:w="0" w:type="auto"/>
          </w:tcPr>
          <w:p w14:paraId="3F02994C" w14:textId="77777777" w:rsidR="000B1C67" w:rsidRDefault="00000000">
            <w:pPr>
              <w:pStyle w:val="Compact"/>
            </w:pPr>
            <w:r>
              <w:t>Qinghai-Tibet</w:t>
            </w:r>
          </w:p>
        </w:tc>
        <w:tc>
          <w:tcPr>
            <w:tcW w:w="0" w:type="auto"/>
          </w:tcPr>
          <w:p w14:paraId="61BFCDA7" w14:textId="77777777" w:rsidR="000B1C67" w:rsidRDefault="00000000">
            <w:pPr>
              <w:pStyle w:val="Compact"/>
            </w:pPr>
            <w:r>
              <w:t>8</w:t>
            </w:r>
          </w:p>
        </w:tc>
      </w:tr>
    </w:tbl>
    <w:p w14:paraId="6502372A" w14:textId="3C478E79" w:rsidR="000B1C67" w:rsidRDefault="00000000">
      <w:pPr>
        <w:pStyle w:val="a0"/>
      </w:pPr>
      <w:r>
        <w:t xml:space="preserve">The full reserve-level metadata table (name, province, year of establishment, area, geographic coordinates, protected-area level, number of camera traps, cumulative trap-days, biogeographic region) is provided in the Science Data Bank deposit. Primary </w:t>
      </w:r>
      <w:proofErr w:type="gramStart"/>
      <w:r>
        <w:t>literature</w:t>
      </w:r>
      <w:proofErr w:type="gramEnd"/>
      <w:r>
        <w:t xml:space="preserve"> </w:t>
      </w:r>
      <w:proofErr w:type="gramStart"/>
      <w:r>
        <w:t>were</w:t>
      </w:r>
      <w:proofErr w:type="gramEnd"/>
      <w:r>
        <w:t xml:space="preserve"> filtered to retain only studies that (i) used unbaited camera traps, (ii) reported a complete species inventory, (iii) achieved at least 400 effective camera-days per survey, and (iv) provided unambiguous reserve identification (Tobler et al., 2008).</w:t>
      </w:r>
    </w:p>
    <w:p w14:paraId="210B22DF" w14:textId="77777777" w:rsidR="000B1C67" w:rsidRDefault="00000000">
      <w:r>
        <w:pict w14:anchorId="3164CD1F">
          <v:rect id="_x0000_i1061" style="width:0;height:1.5pt" o:hralign="center" o:hrstd="t" o:hr="t"/>
        </w:pict>
      </w:r>
    </w:p>
    <w:p w14:paraId="43458BF8" w14:textId="77777777" w:rsidR="000B1C67" w:rsidRDefault="00000000">
      <w:pPr>
        <w:pStyle w:val="2"/>
      </w:pPr>
      <w:bookmarkStart w:id="3" w:name="X0dc6ef8c0bc689451c8029aa1f4b3b36c4925a1"/>
      <w:bookmarkEnd w:id="2"/>
      <w:r>
        <w:t>Appendix S2 — Species-level dark-diversity affinity rankings</w:t>
      </w:r>
    </w:p>
    <w:p w14:paraId="5E178375" w14:textId="77777777" w:rsidR="000B1C67" w:rsidRDefault="00000000">
      <w:pPr>
        <w:pStyle w:val="FirstParagraph"/>
      </w:pPr>
      <w:r>
        <w:t xml:space="preserve">The 105 medium- and large-sized mammals included in this study were ranked by their cumulative dark-diversity probability across all reserves to identify the species most frequently absent from sites in which they should ecologically occur. </w:t>
      </w:r>
      <w:r>
        <w:rPr>
          <w:b/>
          <w:bCs/>
        </w:rPr>
        <w:t>The ten species at greatest hidden-extinction risk</w:t>
      </w:r>
      <w:r>
        <w:t xml:space="preserve"> were:</w:t>
      </w:r>
    </w:p>
    <w:p w14:paraId="471AFB97" w14:textId="77777777" w:rsidR="000B1C67" w:rsidRDefault="00000000">
      <w:pPr>
        <w:pStyle w:val="Compact"/>
        <w:numPr>
          <w:ilvl w:val="0"/>
          <w:numId w:val="3"/>
        </w:numPr>
      </w:pPr>
      <w:r>
        <w:rPr>
          <w:i/>
          <w:iCs/>
        </w:rPr>
        <w:t>Manis pentadactyla</w:t>
      </w:r>
      <w:r>
        <w:t xml:space="preserve"> — Chinese pangolin</w:t>
      </w:r>
    </w:p>
    <w:p w14:paraId="7132B2C2" w14:textId="77777777" w:rsidR="000B1C67" w:rsidRDefault="00000000">
      <w:pPr>
        <w:pStyle w:val="Compact"/>
        <w:numPr>
          <w:ilvl w:val="0"/>
          <w:numId w:val="3"/>
        </w:numPr>
      </w:pPr>
      <w:r>
        <w:rPr>
          <w:i/>
          <w:iCs/>
        </w:rPr>
        <w:t>Neofelis nebulosa</w:t>
      </w:r>
      <w:r>
        <w:t xml:space="preserve"> — clouded leopard</w:t>
      </w:r>
    </w:p>
    <w:p w14:paraId="4100B3B0" w14:textId="77777777" w:rsidR="000B1C67" w:rsidRDefault="00000000">
      <w:pPr>
        <w:pStyle w:val="Compact"/>
        <w:numPr>
          <w:ilvl w:val="0"/>
          <w:numId w:val="3"/>
        </w:numPr>
      </w:pPr>
      <w:r>
        <w:rPr>
          <w:i/>
          <w:iCs/>
        </w:rPr>
        <w:t>Lutra lutra</w:t>
      </w:r>
      <w:r>
        <w:t xml:space="preserve"> — Eurasian otter</w:t>
      </w:r>
    </w:p>
    <w:p w14:paraId="52FA407A" w14:textId="77777777" w:rsidR="000B1C67" w:rsidRDefault="00000000">
      <w:pPr>
        <w:pStyle w:val="Compact"/>
        <w:numPr>
          <w:ilvl w:val="0"/>
          <w:numId w:val="3"/>
        </w:numPr>
      </w:pPr>
      <w:r>
        <w:rPr>
          <w:i/>
          <w:iCs/>
        </w:rPr>
        <w:t>Rusa unicolor</w:t>
      </w:r>
      <w:r>
        <w:t xml:space="preserve"> — sambar</w:t>
      </w:r>
    </w:p>
    <w:p w14:paraId="6588647B" w14:textId="77777777" w:rsidR="000B1C67" w:rsidRDefault="00000000">
      <w:pPr>
        <w:pStyle w:val="Compact"/>
        <w:numPr>
          <w:ilvl w:val="0"/>
          <w:numId w:val="3"/>
        </w:numPr>
      </w:pPr>
      <w:r>
        <w:rPr>
          <w:i/>
          <w:iCs/>
        </w:rPr>
        <w:t>Viverricula indica</w:t>
      </w:r>
      <w:r>
        <w:t xml:space="preserve"> — small Indian civet</w:t>
      </w:r>
    </w:p>
    <w:p w14:paraId="3C83AC8F" w14:textId="77777777" w:rsidR="000B1C67" w:rsidRDefault="00000000">
      <w:pPr>
        <w:pStyle w:val="Compact"/>
        <w:numPr>
          <w:ilvl w:val="0"/>
          <w:numId w:val="3"/>
        </w:numPr>
      </w:pPr>
      <w:r>
        <w:rPr>
          <w:i/>
          <w:iCs/>
        </w:rPr>
        <w:t>Vulpes vulpes</w:t>
      </w:r>
      <w:r>
        <w:t xml:space="preserve"> — red fox</w:t>
      </w:r>
    </w:p>
    <w:p w14:paraId="227FB6AE" w14:textId="77777777" w:rsidR="000B1C67" w:rsidRDefault="00000000">
      <w:pPr>
        <w:pStyle w:val="Compact"/>
        <w:numPr>
          <w:ilvl w:val="0"/>
          <w:numId w:val="3"/>
        </w:numPr>
      </w:pPr>
      <w:r>
        <w:rPr>
          <w:i/>
          <w:iCs/>
        </w:rPr>
        <w:t>Nyctereutes procyonoides</w:t>
      </w:r>
      <w:r>
        <w:t xml:space="preserve"> — raccoon dog</w:t>
      </w:r>
    </w:p>
    <w:p w14:paraId="188FE4B0" w14:textId="77777777" w:rsidR="000B1C67" w:rsidRDefault="00000000">
      <w:pPr>
        <w:pStyle w:val="Compact"/>
        <w:numPr>
          <w:ilvl w:val="0"/>
          <w:numId w:val="3"/>
        </w:numPr>
      </w:pPr>
      <w:r>
        <w:rPr>
          <w:i/>
          <w:iCs/>
        </w:rPr>
        <w:t>Macaca mulatta</w:t>
      </w:r>
      <w:r>
        <w:t xml:space="preserve"> — rhesus macaque</w:t>
      </w:r>
    </w:p>
    <w:p w14:paraId="6345059C" w14:textId="77777777" w:rsidR="000B1C67" w:rsidRDefault="00000000">
      <w:pPr>
        <w:pStyle w:val="Compact"/>
        <w:numPr>
          <w:ilvl w:val="0"/>
          <w:numId w:val="3"/>
        </w:numPr>
      </w:pPr>
      <w:r>
        <w:rPr>
          <w:i/>
          <w:iCs/>
        </w:rPr>
        <w:t>Martes flavigula</w:t>
      </w:r>
      <w:r>
        <w:t xml:space="preserve"> — yellow-throated marten</w:t>
      </w:r>
    </w:p>
    <w:p w14:paraId="69F50B0F" w14:textId="77777777" w:rsidR="000B1C67" w:rsidRDefault="00000000">
      <w:pPr>
        <w:pStyle w:val="Compact"/>
        <w:numPr>
          <w:ilvl w:val="0"/>
          <w:numId w:val="3"/>
        </w:numPr>
      </w:pPr>
      <w:r>
        <w:rPr>
          <w:i/>
          <w:iCs/>
        </w:rPr>
        <w:t>Herpestes urva</w:t>
      </w:r>
      <w:r>
        <w:t xml:space="preserve"> — crab-eating mongoose</w:t>
      </w:r>
    </w:p>
    <w:p w14:paraId="78B63309" w14:textId="77777777" w:rsidR="000B1C67" w:rsidRDefault="00000000">
      <w:pPr>
        <w:pStyle w:val="FirstParagraph"/>
      </w:pPr>
      <w:r>
        <w:t xml:space="preserve">A set of species with near-zero dark-diversity probability — including </w:t>
      </w:r>
      <w:r>
        <w:rPr>
          <w:i/>
          <w:iCs/>
        </w:rPr>
        <w:t>Rhinopithecus roxellana</w:t>
      </w:r>
      <w:r>
        <w:t xml:space="preserve"> (golden snub-nosed monkey), </w:t>
      </w:r>
      <w:r>
        <w:rPr>
          <w:i/>
          <w:iCs/>
        </w:rPr>
        <w:t>Macaca thibetana</w:t>
      </w:r>
      <w:r>
        <w:t xml:space="preserve"> (Tibetan macaque), </w:t>
      </w:r>
      <w:r>
        <w:rPr>
          <w:i/>
          <w:iCs/>
        </w:rPr>
        <w:t>Elephas maximus</w:t>
      </w:r>
      <w:r>
        <w:t xml:space="preserve"> (Asian elephant), </w:t>
      </w:r>
      <w:r>
        <w:rPr>
          <w:i/>
          <w:iCs/>
        </w:rPr>
        <w:t>Camelus ferus</w:t>
      </w:r>
      <w:r>
        <w:t xml:space="preserve"> (wild Bactrian camel), </w:t>
      </w:r>
      <w:r>
        <w:rPr>
          <w:i/>
          <w:iCs/>
        </w:rPr>
        <w:t>Marmota himalayana</w:t>
      </w:r>
      <w:r>
        <w:t xml:space="preserve"> (Himalayan marmot), </w:t>
      </w:r>
      <w:r>
        <w:rPr>
          <w:i/>
          <w:iCs/>
        </w:rPr>
        <w:t>Pseudois nayaur</w:t>
      </w:r>
      <w:r>
        <w:t xml:space="preserve"> (bharal), </w:t>
      </w:r>
      <w:r>
        <w:rPr>
          <w:i/>
          <w:iCs/>
        </w:rPr>
        <w:t>Prionailurus bengalensis</w:t>
      </w:r>
      <w:r>
        <w:t xml:space="preserve"> (leopard cat), </w:t>
      </w:r>
      <w:r>
        <w:rPr>
          <w:i/>
          <w:iCs/>
        </w:rPr>
        <w:t>Muntiacus vaginalis</w:t>
      </w:r>
      <w:r>
        <w:t xml:space="preserve"> (Indian muntjac), </w:t>
      </w:r>
      <w:r>
        <w:rPr>
          <w:i/>
          <w:iCs/>
        </w:rPr>
        <w:t>Equus hemionus</w:t>
      </w:r>
      <w:r>
        <w:t xml:space="preserve"> (Asiatic wild ass), </w:t>
      </w:r>
      <w:r>
        <w:rPr>
          <w:i/>
          <w:iCs/>
        </w:rPr>
        <w:t>Naemorhedus baileyi</w:t>
      </w:r>
      <w:r>
        <w:t xml:space="preserve"> (red goral), </w:t>
      </w:r>
      <w:r>
        <w:rPr>
          <w:i/>
          <w:iCs/>
        </w:rPr>
        <w:t>Rhinopithecus brelichi</w:t>
      </w:r>
      <w:r>
        <w:t xml:space="preserve"> (grey </w:t>
      </w:r>
      <w:r>
        <w:lastRenderedPageBreak/>
        <w:t xml:space="preserve">snub-nosed monkey), </w:t>
      </w:r>
      <w:r>
        <w:rPr>
          <w:i/>
          <w:iCs/>
        </w:rPr>
        <w:t>Macaca leucogenys</w:t>
      </w:r>
      <w:r>
        <w:t xml:space="preserve"> (white-cheeked macaque), </w:t>
      </w:r>
      <w:r>
        <w:rPr>
          <w:i/>
          <w:iCs/>
        </w:rPr>
        <w:t>Moschus anhuiensis</w:t>
      </w:r>
      <w:r>
        <w:t xml:space="preserve"> (Anhui musk deer), </w:t>
      </w:r>
      <w:r>
        <w:rPr>
          <w:i/>
          <w:iCs/>
        </w:rPr>
        <w:t>Capricornis swinhoei</w:t>
      </w:r>
      <w:r>
        <w:t xml:space="preserve"> (Taiwan serow), </w:t>
      </w:r>
      <w:r>
        <w:rPr>
          <w:i/>
          <w:iCs/>
        </w:rPr>
        <w:t>Macaca cyclopis</w:t>
      </w:r>
      <w:r>
        <w:t xml:space="preserve"> (Formosan rock macaque) and </w:t>
      </w:r>
      <w:r>
        <w:rPr>
          <w:i/>
          <w:iCs/>
        </w:rPr>
        <w:t>Marmota baibacina</w:t>
      </w:r>
      <w:r>
        <w:t xml:space="preserve"> (grey marmot) — was consistently observed within its potential range.</w:t>
      </w:r>
    </w:p>
    <w:p w14:paraId="00D0D264" w14:textId="7454D6C9" w:rsidR="000B1C67" w:rsidRDefault="00000000">
      <w:pPr>
        <w:pStyle w:val="a0"/>
      </w:pPr>
      <w:r>
        <w:t>The full per-species table with body mass, diet, activity, IUCN status is provided in the Science Data Bank deposit.</w:t>
      </w:r>
    </w:p>
    <w:p w14:paraId="6623EC04" w14:textId="77777777" w:rsidR="000B1C67" w:rsidRDefault="00000000">
      <w:r>
        <w:pict w14:anchorId="031DEC0B">
          <v:rect id="_x0000_i1062" style="width:0;height:1.5pt" o:hralign="center" o:hrstd="t" o:hr="t"/>
        </w:pict>
      </w:r>
    </w:p>
    <w:p w14:paraId="0B223D4F" w14:textId="77777777" w:rsidR="000B1C67" w:rsidRDefault="00000000">
      <w:pPr>
        <w:pStyle w:val="2"/>
      </w:pPr>
      <w:bookmarkStart w:id="4" w:name="appendix-s3-full-gam-output"/>
      <w:bookmarkEnd w:id="3"/>
      <w:r>
        <w:t>Appendix S3 — Full GAM output</w:t>
      </w:r>
    </w:p>
    <w:p w14:paraId="3B96B533" w14:textId="77777777" w:rsidR="000B1C67" w:rsidRDefault="00000000">
      <w:pPr>
        <w:pStyle w:val="FirstParagraph"/>
      </w:pPr>
      <w:r>
        <w:t xml:space="preserve">We fitted generalized additive models (GAMs) implemented in the </w:t>
      </w:r>
      <w:r>
        <w:rPr>
          <w:i/>
          <w:iCs/>
        </w:rPr>
        <w:t>mgcv</w:t>
      </w:r>
      <w:r>
        <w:t xml:space="preserve"> R package (Wood, 2017) for four response variables: log(EPD), SES_EPD, log(FDI), and FDis_dark (Gaussian family, identity link throughout). All models contained a two-dimensional thin-plate smooth on (longitude, latitude, k = 20) to absorb residual large-scale spatial autocorrelation; non-spatial smooth terms used k = 4. Smoothing parameters were estimated via REML and model simplification was conducted by backward AIC selection. Residual Moran’s I tests confirmed that spatial autocorrelation was negligible in the final models.</w:t>
      </w:r>
    </w:p>
    <w:p w14:paraId="1FB23388" w14:textId="77777777" w:rsidR="000B1C67" w:rsidRDefault="00000000">
      <w:pPr>
        <w:pStyle w:val="a0"/>
      </w:pPr>
      <w:r>
        <w:rPr>
          <w:b/>
          <w:bCs/>
        </w:rPr>
        <w:t>Table S3.1 — log(EPD) GAM smooth-term significance (backward-selected model, n = 199).</w:t>
      </w:r>
    </w:p>
    <w:tbl>
      <w:tblPr>
        <w:tblStyle w:val="Table"/>
        <w:tblW w:w="0" w:type="auto"/>
        <w:tblLook w:val="0020" w:firstRow="1" w:lastRow="0" w:firstColumn="0" w:lastColumn="0" w:noHBand="0" w:noVBand="0"/>
      </w:tblPr>
      <w:tblGrid>
        <w:gridCol w:w="2362"/>
        <w:gridCol w:w="798"/>
        <w:gridCol w:w="836"/>
        <w:gridCol w:w="975"/>
        <w:gridCol w:w="1483"/>
      </w:tblGrid>
      <w:tr w:rsidR="000B1C67" w14:paraId="74BF0005" w14:textId="77777777" w:rsidTr="000B1C67">
        <w:trPr>
          <w:cnfStyle w:val="100000000000" w:firstRow="1" w:lastRow="0" w:firstColumn="0" w:lastColumn="0" w:oddVBand="0" w:evenVBand="0" w:oddHBand="0" w:evenHBand="0" w:firstRowFirstColumn="0" w:firstRowLastColumn="0" w:lastRowFirstColumn="0" w:lastRowLastColumn="0"/>
          <w:tblHeader/>
        </w:trPr>
        <w:tc>
          <w:tcPr>
            <w:tcW w:w="0" w:type="auto"/>
          </w:tcPr>
          <w:p w14:paraId="126F9F42" w14:textId="77777777" w:rsidR="000B1C67" w:rsidRDefault="00000000">
            <w:pPr>
              <w:pStyle w:val="Compact"/>
            </w:pPr>
            <w:r>
              <w:t>Smooth term</w:t>
            </w:r>
          </w:p>
        </w:tc>
        <w:tc>
          <w:tcPr>
            <w:tcW w:w="0" w:type="auto"/>
          </w:tcPr>
          <w:p w14:paraId="5F3D58F4" w14:textId="77777777" w:rsidR="000B1C67" w:rsidRDefault="00000000">
            <w:pPr>
              <w:pStyle w:val="Compact"/>
            </w:pPr>
            <w:r>
              <w:t>edf</w:t>
            </w:r>
          </w:p>
        </w:tc>
        <w:tc>
          <w:tcPr>
            <w:tcW w:w="0" w:type="auto"/>
          </w:tcPr>
          <w:p w14:paraId="4F8A6866" w14:textId="77777777" w:rsidR="000B1C67" w:rsidRDefault="00000000">
            <w:pPr>
              <w:pStyle w:val="Compact"/>
            </w:pPr>
            <w:r>
              <w:t>Ref.df</w:t>
            </w:r>
          </w:p>
        </w:tc>
        <w:tc>
          <w:tcPr>
            <w:tcW w:w="0" w:type="auto"/>
          </w:tcPr>
          <w:p w14:paraId="0BD3F024" w14:textId="77777777" w:rsidR="000B1C67" w:rsidRDefault="00000000">
            <w:pPr>
              <w:pStyle w:val="Compact"/>
            </w:pPr>
            <w:r>
              <w:t>P</w:t>
            </w:r>
          </w:p>
        </w:tc>
        <w:tc>
          <w:tcPr>
            <w:tcW w:w="0" w:type="auto"/>
          </w:tcPr>
          <w:p w14:paraId="5CB05BCF" w14:textId="77777777" w:rsidR="000B1C67" w:rsidRDefault="00000000">
            <w:pPr>
              <w:pStyle w:val="Compact"/>
            </w:pPr>
            <w:r>
              <w:t>Significance</w:t>
            </w:r>
          </w:p>
        </w:tc>
      </w:tr>
      <w:tr w:rsidR="000B1C67" w14:paraId="47C83B08" w14:textId="77777777">
        <w:tc>
          <w:tcPr>
            <w:tcW w:w="0" w:type="auto"/>
          </w:tcPr>
          <w:p w14:paraId="5E70A844" w14:textId="77777777" w:rsidR="000B1C67" w:rsidRDefault="00000000">
            <w:pPr>
              <w:pStyle w:val="Compact"/>
            </w:pPr>
            <w:r>
              <w:t>s(ELEV)</w:t>
            </w:r>
          </w:p>
        </w:tc>
        <w:tc>
          <w:tcPr>
            <w:tcW w:w="0" w:type="auto"/>
          </w:tcPr>
          <w:p w14:paraId="22F41AA3" w14:textId="77777777" w:rsidR="000B1C67" w:rsidRDefault="00000000">
            <w:pPr>
              <w:pStyle w:val="Compact"/>
            </w:pPr>
            <w:r>
              <w:t>2.53</w:t>
            </w:r>
          </w:p>
        </w:tc>
        <w:tc>
          <w:tcPr>
            <w:tcW w:w="0" w:type="auto"/>
          </w:tcPr>
          <w:p w14:paraId="09AEA234" w14:textId="77777777" w:rsidR="000B1C67" w:rsidRDefault="00000000">
            <w:pPr>
              <w:pStyle w:val="Compact"/>
            </w:pPr>
            <w:r>
              <w:t>2.84</w:t>
            </w:r>
          </w:p>
        </w:tc>
        <w:tc>
          <w:tcPr>
            <w:tcW w:w="0" w:type="auto"/>
          </w:tcPr>
          <w:p w14:paraId="0B916735" w14:textId="77777777" w:rsidR="000B1C67" w:rsidRDefault="00000000">
            <w:pPr>
              <w:pStyle w:val="Compact"/>
            </w:pPr>
            <w:r>
              <w:t>&lt; 0.001</w:t>
            </w:r>
          </w:p>
        </w:tc>
        <w:tc>
          <w:tcPr>
            <w:tcW w:w="0" w:type="auto"/>
          </w:tcPr>
          <w:p w14:paraId="64310636" w14:textId="77777777" w:rsidR="000B1C67" w:rsidRDefault="00000000">
            <w:pPr>
              <w:pStyle w:val="Compact"/>
            </w:pPr>
            <w:r>
              <w:t>***</w:t>
            </w:r>
          </w:p>
        </w:tc>
      </w:tr>
      <w:tr w:rsidR="000B1C67" w14:paraId="498A6383" w14:textId="77777777">
        <w:tc>
          <w:tcPr>
            <w:tcW w:w="0" w:type="auto"/>
          </w:tcPr>
          <w:p w14:paraId="678D6D95" w14:textId="77777777" w:rsidR="000B1C67" w:rsidRDefault="00000000">
            <w:pPr>
              <w:pStyle w:val="Compact"/>
            </w:pPr>
            <w:r>
              <w:t>s(ER)</w:t>
            </w:r>
          </w:p>
        </w:tc>
        <w:tc>
          <w:tcPr>
            <w:tcW w:w="0" w:type="auto"/>
          </w:tcPr>
          <w:p w14:paraId="37B1D881" w14:textId="77777777" w:rsidR="000B1C67" w:rsidRDefault="00000000">
            <w:pPr>
              <w:pStyle w:val="Compact"/>
            </w:pPr>
            <w:r>
              <w:t>1.00</w:t>
            </w:r>
          </w:p>
        </w:tc>
        <w:tc>
          <w:tcPr>
            <w:tcW w:w="0" w:type="auto"/>
          </w:tcPr>
          <w:p w14:paraId="3CCB8B81" w14:textId="77777777" w:rsidR="000B1C67" w:rsidRDefault="00000000">
            <w:pPr>
              <w:pStyle w:val="Compact"/>
            </w:pPr>
            <w:r>
              <w:t>1.00</w:t>
            </w:r>
          </w:p>
        </w:tc>
        <w:tc>
          <w:tcPr>
            <w:tcW w:w="0" w:type="auto"/>
          </w:tcPr>
          <w:p w14:paraId="67B3A801" w14:textId="77777777" w:rsidR="000B1C67" w:rsidRDefault="00000000">
            <w:pPr>
              <w:pStyle w:val="Compact"/>
            </w:pPr>
            <w:r>
              <w:t>0.017</w:t>
            </w:r>
          </w:p>
        </w:tc>
        <w:tc>
          <w:tcPr>
            <w:tcW w:w="0" w:type="auto"/>
          </w:tcPr>
          <w:p w14:paraId="72412DE3" w14:textId="77777777" w:rsidR="000B1C67" w:rsidRDefault="00000000">
            <w:pPr>
              <w:pStyle w:val="Compact"/>
            </w:pPr>
            <w:r>
              <w:t>*</w:t>
            </w:r>
          </w:p>
        </w:tc>
      </w:tr>
      <w:tr w:rsidR="000B1C67" w14:paraId="7D00ECF8" w14:textId="77777777">
        <w:tc>
          <w:tcPr>
            <w:tcW w:w="0" w:type="auto"/>
          </w:tcPr>
          <w:p w14:paraId="5D1870C7" w14:textId="77777777" w:rsidR="000B1C67" w:rsidRDefault="00000000">
            <w:pPr>
              <w:pStyle w:val="Compact"/>
            </w:pPr>
            <w:r>
              <w:t>s(PRECIPITATION)</w:t>
            </w:r>
          </w:p>
        </w:tc>
        <w:tc>
          <w:tcPr>
            <w:tcW w:w="0" w:type="auto"/>
          </w:tcPr>
          <w:p w14:paraId="0DAB7A7B" w14:textId="77777777" w:rsidR="000B1C67" w:rsidRDefault="00000000">
            <w:pPr>
              <w:pStyle w:val="Compact"/>
            </w:pPr>
            <w:r>
              <w:t>2.72</w:t>
            </w:r>
          </w:p>
        </w:tc>
        <w:tc>
          <w:tcPr>
            <w:tcW w:w="0" w:type="auto"/>
          </w:tcPr>
          <w:p w14:paraId="068681A6" w14:textId="77777777" w:rsidR="000B1C67" w:rsidRDefault="00000000">
            <w:pPr>
              <w:pStyle w:val="Compact"/>
            </w:pPr>
            <w:r>
              <w:t>2.92</w:t>
            </w:r>
          </w:p>
        </w:tc>
        <w:tc>
          <w:tcPr>
            <w:tcW w:w="0" w:type="auto"/>
          </w:tcPr>
          <w:p w14:paraId="71288349" w14:textId="77777777" w:rsidR="000B1C67" w:rsidRDefault="00000000">
            <w:pPr>
              <w:pStyle w:val="Compact"/>
            </w:pPr>
            <w:r>
              <w:t>&lt; 0.001</w:t>
            </w:r>
          </w:p>
        </w:tc>
        <w:tc>
          <w:tcPr>
            <w:tcW w:w="0" w:type="auto"/>
          </w:tcPr>
          <w:p w14:paraId="3A417A63" w14:textId="77777777" w:rsidR="000B1C67" w:rsidRDefault="00000000">
            <w:pPr>
              <w:pStyle w:val="Compact"/>
            </w:pPr>
            <w:r>
              <w:t>***</w:t>
            </w:r>
          </w:p>
        </w:tc>
      </w:tr>
      <w:tr w:rsidR="000B1C67" w14:paraId="21E0EA6D" w14:textId="77777777">
        <w:tc>
          <w:tcPr>
            <w:tcW w:w="0" w:type="auto"/>
          </w:tcPr>
          <w:p w14:paraId="278FF176" w14:textId="77777777" w:rsidR="000B1C67" w:rsidRDefault="00000000">
            <w:pPr>
              <w:pStyle w:val="Compact"/>
            </w:pPr>
            <w:r>
              <w:t>s(logTRAPDAY)</w:t>
            </w:r>
          </w:p>
        </w:tc>
        <w:tc>
          <w:tcPr>
            <w:tcW w:w="0" w:type="auto"/>
          </w:tcPr>
          <w:p w14:paraId="582F1003" w14:textId="77777777" w:rsidR="000B1C67" w:rsidRDefault="00000000">
            <w:pPr>
              <w:pStyle w:val="Compact"/>
            </w:pPr>
            <w:r>
              <w:t>1.92</w:t>
            </w:r>
          </w:p>
        </w:tc>
        <w:tc>
          <w:tcPr>
            <w:tcW w:w="0" w:type="auto"/>
          </w:tcPr>
          <w:p w14:paraId="20861C42" w14:textId="77777777" w:rsidR="000B1C67" w:rsidRDefault="00000000">
            <w:pPr>
              <w:pStyle w:val="Compact"/>
            </w:pPr>
            <w:r>
              <w:t>2.35</w:t>
            </w:r>
          </w:p>
        </w:tc>
        <w:tc>
          <w:tcPr>
            <w:tcW w:w="0" w:type="auto"/>
          </w:tcPr>
          <w:p w14:paraId="53F6C94C" w14:textId="77777777" w:rsidR="000B1C67" w:rsidRDefault="00000000">
            <w:pPr>
              <w:pStyle w:val="Compact"/>
            </w:pPr>
            <w:r>
              <w:t>0.017</w:t>
            </w:r>
          </w:p>
        </w:tc>
        <w:tc>
          <w:tcPr>
            <w:tcW w:w="0" w:type="auto"/>
          </w:tcPr>
          <w:p w14:paraId="3D9540BA" w14:textId="77777777" w:rsidR="000B1C67" w:rsidRDefault="00000000">
            <w:pPr>
              <w:pStyle w:val="Compact"/>
            </w:pPr>
            <w:r>
              <w:t>*</w:t>
            </w:r>
          </w:p>
        </w:tc>
      </w:tr>
      <w:tr w:rsidR="000B1C67" w14:paraId="603A0CE7" w14:textId="77777777">
        <w:tc>
          <w:tcPr>
            <w:tcW w:w="0" w:type="auto"/>
          </w:tcPr>
          <w:p w14:paraId="4C8E1CAE" w14:textId="77777777" w:rsidR="000B1C67" w:rsidRDefault="00000000">
            <w:pPr>
              <w:pStyle w:val="Compact"/>
            </w:pPr>
            <w:r>
              <w:t>s(Npp)</w:t>
            </w:r>
          </w:p>
        </w:tc>
        <w:tc>
          <w:tcPr>
            <w:tcW w:w="0" w:type="auto"/>
          </w:tcPr>
          <w:p w14:paraId="02EF2B30" w14:textId="77777777" w:rsidR="000B1C67" w:rsidRDefault="00000000">
            <w:pPr>
              <w:pStyle w:val="Compact"/>
            </w:pPr>
            <w:r>
              <w:t>2.74</w:t>
            </w:r>
          </w:p>
        </w:tc>
        <w:tc>
          <w:tcPr>
            <w:tcW w:w="0" w:type="auto"/>
          </w:tcPr>
          <w:p w14:paraId="2C587A19" w14:textId="77777777" w:rsidR="000B1C67" w:rsidRDefault="00000000">
            <w:pPr>
              <w:pStyle w:val="Compact"/>
            </w:pPr>
            <w:r>
              <w:t>2.94</w:t>
            </w:r>
          </w:p>
        </w:tc>
        <w:tc>
          <w:tcPr>
            <w:tcW w:w="0" w:type="auto"/>
          </w:tcPr>
          <w:p w14:paraId="5950EA9F" w14:textId="77777777" w:rsidR="000B1C67" w:rsidRDefault="00000000">
            <w:pPr>
              <w:pStyle w:val="Compact"/>
            </w:pPr>
            <w:r>
              <w:t>&lt; 0.001</w:t>
            </w:r>
          </w:p>
        </w:tc>
        <w:tc>
          <w:tcPr>
            <w:tcW w:w="0" w:type="auto"/>
          </w:tcPr>
          <w:p w14:paraId="1045C8EE" w14:textId="77777777" w:rsidR="000B1C67" w:rsidRDefault="00000000">
            <w:pPr>
              <w:pStyle w:val="Compact"/>
            </w:pPr>
            <w:r>
              <w:t>***</w:t>
            </w:r>
          </w:p>
        </w:tc>
      </w:tr>
      <w:tr w:rsidR="000B1C67" w14:paraId="428A6B0C" w14:textId="77777777">
        <w:tc>
          <w:tcPr>
            <w:tcW w:w="0" w:type="auto"/>
          </w:tcPr>
          <w:p w14:paraId="2E0DEDD5" w14:textId="77777777" w:rsidR="000B1C67" w:rsidRDefault="00000000">
            <w:pPr>
              <w:pStyle w:val="Compact"/>
            </w:pPr>
            <w:r>
              <w:t>s(longitude, latitude)</w:t>
            </w:r>
          </w:p>
        </w:tc>
        <w:tc>
          <w:tcPr>
            <w:tcW w:w="0" w:type="auto"/>
          </w:tcPr>
          <w:p w14:paraId="6769DE24" w14:textId="77777777" w:rsidR="000B1C67" w:rsidRDefault="00000000">
            <w:pPr>
              <w:pStyle w:val="Compact"/>
            </w:pPr>
            <w:r>
              <w:t>17.39</w:t>
            </w:r>
          </w:p>
        </w:tc>
        <w:tc>
          <w:tcPr>
            <w:tcW w:w="0" w:type="auto"/>
          </w:tcPr>
          <w:p w14:paraId="637BFC25" w14:textId="77777777" w:rsidR="000B1C67" w:rsidRDefault="00000000">
            <w:pPr>
              <w:pStyle w:val="Compact"/>
            </w:pPr>
            <w:r>
              <w:t>18.70</w:t>
            </w:r>
          </w:p>
        </w:tc>
        <w:tc>
          <w:tcPr>
            <w:tcW w:w="0" w:type="auto"/>
          </w:tcPr>
          <w:p w14:paraId="2684F4F4" w14:textId="77777777" w:rsidR="000B1C67" w:rsidRDefault="00000000">
            <w:pPr>
              <w:pStyle w:val="Compact"/>
            </w:pPr>
            <w:r>
              <w:t>&lt; 0.001</w:t>
            </w:r>
          </w:p>
        </w:tc>
        <w:tc>
          <w:tcPr>
            <w:tcW w:w="0" w:type="auto"/>
          </w:tcPr>
          <w:p w14:paraId="55B6027D" w14:textId="77777777" w:rsidR="000B1C67" w:rsidRDefault="00000000">
            <w:pPr>
              <w:pStyle w:val="Compact"/>
            </w:pPr>
            <w:r>
              <w:t>***</w:t>
            </w:r>
          </w:p>
        </w:tc>
      </w:tr>
    </w:tbl>
    <w:p w14:paraId="53398BF1" w14:textId="77777777" w:rsidR="000B1C67" w:rsidRDefault="00000000">
      <w:pPr>
        <w:pStyle w:val="a0"/>
      </w:pPr>
      <w:r>
        <w:t>Adjusted R² = 0.727; deviance explained = 76.6%.</w:t>
      </w:r>
    </w:p>
    <w:p w14:paraId="61BA7B8F" w14:textId="77777777" w:rsidR="000B1C67" w:rsidRDefault="00000000">
      <w:pPr>
        <w:pStyle w:val="a0"/>
      </w:pPr>
      <w:r>
        <w:rPr>
          <w:b/>
          <w:bCs/>
        </w:rPr>
        <w:t>Table S3.2 — SES_EPD GAM smooth-term significance (backward-selected model, n = 199).</w:t>
      </w:r>
    </w:p>
    <w:tbl>
      <w:tblPr>
        <w:tblStyle w:val="Table"/>
        <w:tblW w:w="0" w:type="auto"/>
        <w:tblLook w:val="0020" w:firstRow="1" w:lastRow="0" w:firstColumn="0" w:lastColumn="0" w:noHBand="0" w:noVBand="0"/>
      </w:tblPr>
      <w:tblGrid>
        <w:gridCol w:w="2362"/>
        <w:gridCol w:w="798"/>
        <w:gridCol w:w="836"/>
        <w:gridCol w:w="975"/>
        <w:gridCol w:w="1483"/>
      </w:tblGrid>
      <w:tr w:rsidR="000B1C67" w14:paraId="15C5A2AC" w14:textId="77777777" w:rsidTr="000B1C67">
        <w:trPr>
          <w:cnfStyle w:val="100000000000" w:firstRow="1" w:lastRow="0" w:firstColumn="0" w:lastColumn="0" w:oddVBand="0" w:evenVBand="0" w:oddHBand="0" w:evenHBand="0" w:firstRowFirstColumn="0" w:firstRowLastColumn="0" w:lastRowFirstColumn="0" w:lastRowLastColumn="0"/>
          <w:tblHeader/>
        </w:trPr>
        <w:tc>
          <w:tcPr>
            <w:tcW w:w="0" w:type="auto"/>
          </w:tcPr>
          <w:p w14:paraId="4A230314" w14:textId="77777777" w:rsidR="000B1C67" w:rsidRDefault="00000000">
            <w:pPr>
              <w:pStyle w:val="Compact"/>
            </w:pPr>
            <w:r>
              <w:t>Smooth term</w:t>
            </w:r>
          </w:p>
        </w:tc>
        <w:tc>
          <w:tcPr>
            <w:tcW w:w="0" w:type="auto"/>
          </w:tcPr>
          <w:p w14:paraId="3C39DFD9" w14:textId="77777777" w:rsidR="000B1C67" w:rsidRDefault="00000000">
            <w:pPr>
              <w:pStyle w:val="Compact"/>
            </w:pPr>
            <w:r>
              <w:t>edf</w:t>
            </w:r>
          </w:p>
        </w:tc>
        <w:tc>
          <w:tcPr>
            <w:tcW w:w="0" w:type="auto"/>
          </w:tcPr>
          <w:p w14:paraId="134D498C" w14:textId="77777777" w:rsidR="000B1C67" w:rsidRDefault="00000000">
            <w:pPr>
              <w:pStyle w:val="Compact"/>
            </w:pPr>
            <w:r>
              <w:t>Ref.df</w:t>
            </w:r>
          </w:p>
        </w:tc>
        <w:tc>
          <w:tcPr>
            <w:tcW w:w="0" w:type="auto"/>
          </w:tcPr>
          <w:p w14:paraId="170B3ECD" w14:textId="77777777" w:rsidR="000B1C67" w:rsidRDefault="00000000">
            <w:pPr>
              <w:pStyle w:val="Compact"/>
            </w:pPr>
            <w:r>
              <w:t>P</w:t>
            </w:r>
          </w:p>
        </w:tc>
        <w:tc>
          <w:tcPr>
            <w:tcW w:w="0" w:type="auto"/>
          </w:tcPr>
          <w:p w14:paraId="25750821" w14:textId="77777777" w:rsidR="000B1C67" w:rsidRDefault="00000000">
            <w:pPr>
              <w:pStyle w:val="Compact"/>
            </w:pPr>
            <w:r>
              <w:t>Significance</w:t>
            </w:r>
          </w:p>
        </w:tc>
      </w:tr>
      <w:tr w:rsidR="000B1C67" w14:paraId="31D7B452" w14:textId="77777777">
        <w:tc>
          <w:tcPr>
            <w:tcW w:w="0" w:type="auto"/>
          </w:tcPr>
          <w:p w14:paraId="59FE5B4D" w14:textId="77777777" w:rsidR="000B1C67" w:rsidRDefault="00000000">
            <w:pPr>
              <w:pStyle w:val="Compact"/>
            </w:pPr>
            <w:r>
              <w:t>s(es_time)</w:t>
            </w:r>
          </w:p>
        </w:tc>
        <w:tc>
          <w:tcPr>
            <w:tcW w:w="0" w:type="auto"/>
          </w:tcPr>
          <w:p w14:paraId="0E01895E" w14:textId="77777777" w:rsidR="000B1C67" w:rsidRDefault="00000000">
            <w:pPr>
              <w:pStyle w:val="Compact"/>
            </w:pPr>
            <w:r>
              <w:t>1.00</w:t>
            </w:r>
          </w:p>
        </w:tc>
        <w:tc>
          <w:tcPr>
            <w:tcW w:w="0" w:type="auto"/>
          </w:tcPr>
          <w:p w14:paraId="6BFFA04E" w14:textId="77777777" w:rsidR="000B1C67" w:rsidRDefault="00000000">
            <w:pPr>
              <w:pStyle w:val="Compact"/>
            </w:pPr>
            <w:r>
              <w:t>1.00</w:t>
            </w:r>
          </w:p>
        </w:tc>
        <w:tc>
          <w:tcPr>
            <w:tcW w:w="0" w:type="auto"/>
          </w:tcPr>
          <w:p w14:paraId="48B5C347" w14:textId="77777777" w:rsidR="000B1C67" w:rsidRDefault="00000000">
            <w:pPr>
              <w:pStyle w:val="Compact"/>
            </w:pPr>
            <w:r>
              <w:t>0.395</w:t>
            </w:r>
          </w:p>
        </w:tc>
        <w:tc>
          <w:tcPr>
            <w:tcW w:w="0" w:type="auto"/>
          </w:tcPr>
          <w:p w14:paraId="001146D9" w14:textId="77777777" w:rsidR="000B1C67" w:rsidRDefault="00000000">
            <w:pPr>
              <w:pStyle w:val="Compact"/>
            </w:pPr>
            <w:r>
              <w:t>ns</w:t>
            </w:r>
          </w:p>
        </w:tc>
      </w:tr>
      <w:tr w:rsidR="000B1C67" w14:paraId="3A8EF000" w14:textId="77777777">
        <w:tc>
          <w:tcPr>
            <w:tcW w:w="0" w:type="auto"/>
          </w:tcPr>
          <w:p w14:paraId="3B2D7E30" w14:textId="77777777" w:rsidR="000B1C67" w:rsidRDefault="00000000">
            <w:pPr>
              <w:pStyle w:val="Compact"/>
            </w:pPr>
            <w:r>
              <w:t>s(longitude, latitude)</w:t>
            </w:r>
          </w:p>
        </w:tc>
        <w:tc>
          <w:tcPr>
            <w:tcW w:w="0" w:type="auto"/>
          </w:tcPr>
          <w:p w14:paraId="5B4EDB17" w14:textId="77777777" w:rsidR="000B1C67" w:rsidRDefault="00000000">
            <w:pPr>
              <w:pStyle w:val="Compact"/>
            </w:pPr>
            <w:r>
              <w:t>16.97</w:t>
            </w:r>
          </w:p>
        </w:tc>
        <w:tc>
          <w:tcPr>
            <w:tcW w:w="0" w:type="auto"/>
          </w:tcPr>
          <w:p w14:paraId="7B37F185" w14:textId="77777777" w:rsidR="000B1C67" w:rsidRDefault="00000000">
            <w:pPr>
              <w:pStyle w:val="Compact"/>
            </w:pPr>
            <w:r>
              <w:t>22.83</w:t>
            </w:r>
          </w:p>
        </w:tc>
        <w:tc>
          <w:tcPr>
            <w:tcW w:w="0" w:type="auto"/>
          </w:tcPr>
          <w:p w14:paraId="2C39784C" w14:textId="77777777" w:rsidR="000B1C67" w:rsidRDefault="00000000">
            <w:pPr>
              <w:pStyle w:val="Compact"/>
            </w:pPr>
            <w:r>
              <w:t>&lt; 0.001</w:t>
            </w:r>
          </w:p>
        </w:tc>
        <w:tc>
          <w:tcPr>
            <w:tcW w:w="0" w:type="auto"/>
          </w:tcPr>
          <w:p w14:paraId="33C8D48D" w14:textId="77777777" w:rsidR="000B1C67" w:rsidRDefault="00000000">
            <w:pPr>
              <w:pStyle w:val="Compact"/>
            </w:pPr>
            <w:r>
              <w:t>***</w:t>
            </w:r>
          </w:p>
        </w:tc>
      </w:tr>
    </w:tbl>
    <w:p w14:paraId="189A147B" w14:textId="77777777" w:rsidR="000B1C67" w:rsidRDefault="00000000">
      <w:pPr>
        <w:pStyle w:val="a0"/>
      </w:pPr>
      <w:r>
        <w:rPr>
          <w:b/>
          <w:bCs/>
        </w:rPr>
        <w:t>Table S3.3 — log(FDI) GAM smooth-term significance (backward-selected model, n = 198).</w:t>
      </w:r>
    </w:p>
    <w:tbl>
      <w:tblPr>
        <w:tblStyle w:val="Table"/>
        <w:tblW w:w="0" w:type="auto"/>
        <w:tblLook w:val="0020" w:firstRow="1" w:lastRow="0" w:firstColumn="0" w:lastColumn="0" w:noHBand="0" w:noVBand="0"/>
      </w:tblPr>
      <w:tblGrid>
        <w:gridCol w:w="2362"/>
        <w:gridCol w:w="798"/>
        <w:gridCol w:w="836"/>
        <w:gridCol w:w="975"/>
        <w:gridCol w:w="1483"/>
      </w:tblGrid>
      <w:tr w:rsidR="000B1C67" w14:paraId="7112442C" w14:textId="77777777" w:rsidTr="000B1C67">
        <w:trPr>
          <w:cnfStyle w:val="100000000000" w:firstRow="1" w:lastRow="0" w:firstColumn="0" w:lastColumn="0" w:oddVBand="0" w:evenVBand="0" w:oddHBand="0" w:evenHBand="0" w:firstRowFirstColumn="0" w:firstRowLastColumn="0" w:lastRowFirstColumn="0" w:lastRowLastColumn="0"/>
          <w:tblHeader/>
        </w:trPr>
        <w:tc>
          <w:tcPr>
            <w:tcW w:w="0" w:type="auto"/>
          </w:tcPr>
          <w:p w14:paraId="6A107C69" w14:textId="77777777" w:rsidR="000B1C67" w:rsidRDefault="00000000">
            <w:pPr>
              <w:pStyle w:val="Compact"/>
            </w:pPr>
            <w:r>
              <w:t>Smooth term</w:t>
            </w:r>
          </w:p>
        </w:tc>
        <w:tc>
          <w:tcPr>
            <w:tcW w:w="0" w:type="auto"/>
          </w:tcPr>
          <w:p w14:paraId="1581BE29" w14:textId="77777777" w:rsidR="000B1C67" w:rsidRDefault="00000000">
            <w:pPr>
              <w:pStyle w:val="Compact"/>
            </w:pPr>
            <w:r>
              <w:t>edf</w:t>
            </w:r>
          </w:p>
        </w:tc>
        <w:tc>
          <w:tcPr>
            <w:tcW w:w="0" w:type="auto"/>
          </w:tcPr>
          <w:p w14:paraId="2D68E198" w14:textId="77777777" w:rsidR="000B1C67" w:rsidRDefault="00000000">
            <w:pPr>
              <w:pStyle w:val="Compact"/>
            </w:pPr>
            <w:r>
              <w:t>Ref.df</w:t>
            </w:r>
          </w:p>
        </w:tc>
        <w:tc>
          <w:tcPr>
            <w:tcW w:w="0" w:type="auto"/>
          </w:tcPr>
          <w:p w14:paraId="2BA34EA0" w14:textId="77777777" w:rsidR="000B1C67" w:rsidRDefault="00000000">
            <w:pPr>
              <w:pStyle w:val="Compact"/>
            </w:pPr>
            <w:r>
              <w:t>P</w:t>
            </w:r>
          </w:p>
        </w:tc>
        <w:tc>
          <w:tcPr>
            <w:tcW w:w="0" w:type="auto"/>
          </w:tcPr>
          <w:p w14:paraId="330C11C3" w14:textId="77777777" w:rsidR="000B1C67" w:rsidRDefault="00000000">
            <w:pPr>
              <w:pStyle w:val="Compact"/>
            </w:pPr>
            <w:r>
              <w:t>Significance</w:t>
            </w:r>
          </w:p>
        </w:tc>
      </w:tr>
      <w:tr w:rsidR="000B1C67" w14:paraId="2DDD583F" w14:textId="77777777">
        <w:tc>
          <w:tcPr>
            <w:tcW w:w="0" w:type="auto"/>
          </w:tcPr>
          <w:p w14:paraId="64CE401F" w14:textId="77777777" w:rsidR="000B1C67" w:rsidRDefault="00000000">
            <w:pPr>
              <w:pStyle w:val="Compact"/>
            </w:pPr>
            <w:r>
              <w:lastRenderedPageBreak/>
              <w:t>s(logTRAPDAY)</w:t>
            </w:r>
          </w:p>
        </w:tc>
        <w:tc>
          <w:tcPr>
            <w:tcW w:w="0" w:type="auto"/>
          </w:tcPr>
          <w:p w14:paraId="577ED414" w14:textId="77777777" w:rsidR="000B1C67" w:rsidRDefault="00000000">
            <w:pPr>
              <w:pStyle w:val="Compact"/>
            </w:pPr>
            <w:r>
              <w:t>1.00</w:t>
            </w:r>
          </w:p>
        </w:tc>
        <w:tc>
          <w:tcPr>
            <w:tcW w:w="0" w:type="auto"/>
          </w:tcPr>
          <w:p w14:paraId="379AF5E8" w14:textId="77777777" w:rsidR="000B1C67" w:rsidRDefault="00000000">
            <w:pPr>
              <w:pStyle w:val="Compact"/>
            </w:pPr>
            <w:r>
              <w:t>1.00</w:t>
            </w:r>
          </w:p>
        </w:tc>
        <w:tc>
          <w:tcPr>
            <w:tcW w:w="0" w:type="auto"/>
          </w:tcPr>
          <w:p w14:paraId="4ED89BAC" w14:textId="77777777" w:rsidR="000B1C67" w:rsidRDefault="00000000">
            <w:pPr>
              <w:pStyle w:val="Compact"/>
            </w:pPr>
            <w:r>
              <w:t>0.003</w:t>
            </w:r>
          </w:p>
        </w:tc>
        <w:tc>
          <w:tcPr>
            <w:tcW w:w="0" w:type="auto"/>
          </w:tcPr>
          <w:p w14:paraId="66D8FFE1" w14:textId="77777777" w:rsidR="000B1C67" w:rsidRDefault="00000000">
            <w:pPr>
              <w:pStyle w:val="Compact"/>
            </w:pPr>
            <w:r>
              <w:t>**</w:t>
            </w:r>
          </w:p>
        </w:tc>
      </w:tr>
      <w:tr w:rsidR="000B1C67" w14:paraId="7CA19416" w14:textId="77777777">
        <w:tc>
          <w:tcPr>
            <w:tcW w:w="0" w:type="auto"/>
          </w:tcPr>
          <w:p w14:paraId="1F8F25E1" w14:textId="77777777" w:rsidR="000B1C67" w:rsidRDefault="00000000">
            <w:pPr>
              <w:pStyle w:val="Compact"/>
            </w:pPr>
            <w:r>
              <w:t>s(longitude, latitude)</w:t>
            </w:r>
          </w:p>
        </w:tc>
        <w:tc>
          <w:tcPr>
            <w:tcW w:w="0" w:type="auto"/>
          </w:tcPr>
          <w:p w14:paraId="51ACFD08" w14:textId="77777777" w:rsidR="000B1C67" w:rsidRDefault="00000000">
            <w:pPr>
              <w:pStyle w:val="Compact"/>
            </w:pPr>
            <w:r>
              <w:t>12.24</w:t>
            </w:r>
          </w:p>
        </w:tc>
        <w:tc>
          <w:tcPr>
            <w:tcW w:w="0" w:type="auto"/>
          </w:tcPr>
          <w:p w14:paraId="74740301" w14:textId="77777777" w:rsidR="000B1C67" w:rsidRDefault="00000000">
            <w:pPr>
              <w:pStyle w:val="Compact"/>
            </w:pPr>
            <w:r>
              <w:t>15.36</w:t>
            </w:r>
          </w:p>
        </w:tc>
        <w:tc>
          <w:tcPr>
            <w:tcW w:w="0" w:type="auto"/>
          </w:tcPr>
          <w:p w14:paraId="21A43B2C" w14:textId="77777777" w:rsidR="000B1C67" w:rsidRDefault="00000000">
            <w:pPr>
              <w:pStyle w:val="Compact"/>
            </w:pPr>
            <w:r>
              <w:t>&lt; 0.001</w:t>
            </w:r>
          </w:p>
        </w:tc>
        <w:tc>
          <w:tcPr>
            <w:tcW w:w="0" w:type="auto"/>
          </w:tcPr>
          <w:p w14:paraId="347EB990" w14:textId="77777777" w:rsidR="000B1C67" w:rsidRDefault="00000000">
            <w:pPr>
              <w:pStyle w:val="Compact"/>
            </w:pPr>
            <w:r>
              <w:t>***</w:t>
            </w:r>
          </w:p>
        </w:tc>
      </w:tr>
    </w:tbl>
    <w:p w14:paraId="5DBB1AD5" w14:textId="77777777" w:rsidR="000B1C67" w:rsidRDefault="00000000">
      <w:pPr>
        <w:pStyle w:val="a0"/>
      </w:pPr>
      <w:r>
        <w:t>Adjusted R² = 0.249; deviance explained = 30.0%.</w:t>
      </w:r>
    </w:p>
    <w:p w14:paraId="6E014D8B" w14:textId="77777777" w:rsidR="000B1C67" w:rsidRDefault="00000000">
      <w:pPr>
        <w:pStyle w:val="a0"/>
      </w:pPr>
      <w:r>
        <w:rPr>
          <w:b/>
          <w:bCs/>
        </w:rPr>
        <w:t>Table S3.4 — FDis_dark GAM smooth-term significance (backward-selected model, n = 198).</w:t>
      </w:r>
    </w:p>
    <w:tbl>
      <w:tblPr>
        <w:tblStyle w:val="Table"/>
        <w:tblW w:w="0" w:type="auto"/>
        <w:tblLook w:val="0020" w:firstRow="1" w:lastRow="0" w:firstColumn="0" w:lastColumn="0" w:noHBand="0" w:noVBand="0"/>
      </w:tblPr>
      <w:tblGrid>
        <w:gridCol w:w="2362"/>
        <w:gridCol w:w="670"/>
        <w:gridCol w:w="836"/>
        <w:gridCol w:w="798"/>
        <w:gridCol w:w="1483"/>
      </w:tblGrid>
      <w:tr w:rsidR="000B1C67" w14:paraId="7D0E9ABD" w14:textId="77777777" w:rsidTr="000B1C67">
        <w:trPr>
          <w:cnfStyle w:val="100000000000" w:firstRow="1" w:lastRow="0" w:firstColumn="0" w:lastColumn="0" w:oddVBand="0" w:evenVBand="0" w:oddHBand="0" w:evenHBand="0" w:firstRowFirstColumn="0" w:firstRowLastColumn="0" w:lastRowFirstColumn="0" w:lastRowLastColumn="0"/>
          <w:tblHeader/>
        </w:trPr>
        <w:tc>
          <w:tcPr>
            <w:tcW w:w="0" w:type="auto"/>
          </w:tcPr>
          <w:p w14:paraId="4308CA7A" w14:textId="77777777" w:rsidR="000B1C67" w:rsidRDefault="00000000">
            <w:pPr>
              <w:pStyle w:val="Compact"/>
            </w:pPr>
            <w:r>
              <w:t>Smooth term</w:t>
            </w:r>
          </w:p>
        </w:tc>
        <w:tc>
          <w:tcPr>
            <w:tcW w:w="0" w:type="auto"/>
          </w:tcPr>
          <w:p w14:paraId="434C8343" w14:textId="77777777" w:rsidR="000B1C67" w:rsidRDefault="00000000">
            <w:pPr>
              <w:pStyle w:val="Compact"/>
            </w:pPr>
            <w:r>
              <w:t>edf</w:t>
            </w:r>
          </w:p>
        </w:tc>
        <w:tc>
          <w:tcPr>
            <w:tcW w:w="0" w:type="auto"/>
          </w:tcPr>
          <w:p w14:paraId="69546C1E" w14:textId="77777777" w:rsidR="000B1C67" w:rsidRDefault="00000000">
            <w:pPr>
              <w:pStyle w:val="Compact"/>
            </w:pPr>
            <w:r>
              <w:t>Ref.df</w:t>
            </w:r>
          </w:p>
        </w:tc>
        <w:tc>
          <w:tcPr>
            <w:tcW w:w="0" w:type="auto"/>
          </w:tcPr>
          <w:p w14:paraId="66C49F60" w14:textId="77777777" w:rsidR="000B1C67" w:rsidRDefault="00000000">
            <w:pPr>
              <w:pStyle w:val="Compact"/>
            </w:pPr>
            <w:r>
              <w:t>P</w:t>
            </w:r>
          </w:p>
        </w:tc>
        <w:tc>
          <w:tcPr>
            <w:tcW w:w="0" w:type="auto"/>
          </w:tcPr>
          <w:p w14:paraId="202315F8" w14:textId="77777777" w:rsidR="000B1C67" w:rsidRDefault="00000000">
            <w:pPr>
              <w:pStyle w:val="Compact"/>
            </w:pPr>
            <w:r>
              <w:t>Significance</w:t>
            </w:r>
          </w:p>
        </w:tc>
      </w:tr>
      <w:tr w:rsidR="000B1C67" w14:paraId="7336C13F" w14:textId="77777777">
        <w:tc>
          <w:tcPr>
            <w:tcW w:w="0" w:type="auto"/>
          </w:tcPr>
          <w:p w14:paraId="34534816" w14:textId="77777777" w:rsidR="000B1C67" w:rsidRDefault="00000000">
            <w:pPr>
              <w:pStyle w:val="Compact"/>
            </w:pPr>
            <w:r>
              <w:t>s(ER)</w:t>
            </w:r>
          </w:p>
        </w:tc>
        <w:tc>
          <w:tcPr>
            <w:tcW w:w="0" w:type="auto"/>
          </w:tcPr>
          <w:p w14:paraId="7A013E8B" w14:textId="77777777" w:rsidR="000B1C67" w:rsidRDefault="00000000">
            <w:pPr>
              <w:pStyle w:val="Compact"/>
            </w:pPr>
            <w:r>
              <w:t>1.00</w:t>
            </w:r>
          </w:p>
        </w:tc>
        <w:tc>
          <w:tcPr>
            <w:tcW w:w="0" w:type="auto"/>
          </w:tcPr>
          <w:p w14:paraId="1CC95070" w14:textId="77777777" w:rsidR="000B1C67" w:rsidRDefault="00000000">
            <w:pPr>
              <w:pStyle w:val="Compact"/>
            </w:pPr>
            <w:r>
              <w:t>1.00</w:t>
            </w:r>
          </w:p>
        </w:tc>
        <w:tc>
          <w:tcPr>
            <w:tcW w:w="0" w:type="auto"/>
          </w:tcPr>
          <w:p w14:paraId="721F8890" w14:textId="77777777" w:rsidR="000B1C67" w:rsidRDefault="00000000">
            <w:pPr>
              <w:pStyle w:val="Compact"/>
            </w:pPr>
            <w:r>
              <w:t>0.096</w:t>
            </w:r>
          </w:p>
        </w:tc>
        <w:tc>
          <w:tcPr>
            <w:tcW w:w="0" w:type="auto"/>
          </w:tcPr>
          <w:p w14:paraId="3EC6FF23" w14:textId="77777777" w:rsidR="000B1C67" w:rsidRDefault="00000000">
            <w:pPr>
              <w:pStyle w:val="Compact"/>
            </w:pPr>
            <w:r>
              <w:t>ns</w:t>
            </w:r>
          </w:p>
        </w:tc>
      </w:tr>
      <w:tr w:rsidR="000B1C67" w14:paraId="14BF7398" w14:textId="77777777">
        <w:tc>
          <w:tcPr>
            <w:tcW w:w="0" w:type="auto"/>
          </w:tcPr>
          <w:p w14:paraId="16A07E6F" w14:textId="77777777" w:rsidR="000B1C67" w:rsidRDefault="00000000">
            <w:pPr>
              <w:pStyle w:val="Compact"/>
            </w:pPr>
            <w:r>
              <w:t>s(BKMD)</w:t>
            </w:r>
          </w:p>
        </w:tc>
        <w:tc>
          <w:tcPr>
            <w:tcW w:w="0" w:type="auto"/>
          </w:tcPr>
          <w:p w14:paraId="261F1535" w14:textId="77777777" w:rsidR="000B1C67" w:rsidRDefault="00000000">
            <w:pPr>
              <w:pStyle w:val="Compact"/>
            </w:pPr>
            <w:r>
              <w:t>1.00</w:t>
            </w:r>
          </w:p>
        </w:tc>
        <w:tc>
          <w:tcPr>
            <w:tcW w:w="0" w:type="auto"/>
          </w:tcPr>
          <w:p w14:paraId="117D6487" w14:textId="77777777" w:rsidR="000B1C67" w:rsidRDefault="00000000">
            <w:pPr>
              <w:pStyle w:val="Compact"/>
            </w:pPr>
            <w:r>
              <w:t>1.00</w:t>
            </w:r>
          </w:p>
        </w:tc>
        <w:tc>
          <w:tcPr>
            <w:tcW w:w="0" w:type="auto"/>
          </w:tcPr>
          <w:p w14:paraId="12865375" w14:textId="77777777" w:rsidR="000B1C67" w:rsidRDefault="00000000">
            <w:pPr>
              <w:pStyle w:val="Compact"/>
            </w:pPr>
            <w:r>
              <w:t>0.105</w:t>
            </w:r>
          </w:p>
        </w:tc>
        <w:tc>
          <w:tcPr>
            <w:tcW w:w="0" w:type="auto"/>
          </w:tcPr>
          <w:p w14:paraId="463C5CC3" w14:textId="77777777" w:rsidR="000B1C67" w:rsidRDefault="00000000">
            <w:pPr>
              <w:pStyle w:val="Compact"/>
            </w:pPr>
            <w:r>
              <w:t>ns</w:t>
            </w:r>
          </w:p>
        </w:tc>
      </w:tr>
      <w:tr w:rsidR="000B1C67" w14:paraId="19DAC762" w14:textId="77777777">
        <w:tc>
          <w:tcPr>
            <w:tcW w:w="0" w:type="auto"/>
          </w:tcPr>
          <w:p w14:paraId="0FC23E07" w14:textId="77777777" w:rsidR="000B1C67" w:rsidRDefault="00000000">
            <w:pPr>
              <w:pStyle w:val="Compact"/>
            </w:pPr>
            <w:r>
              <w:t>s(Npp)</w:t>
            </w:r>
          </w:p>
        </w:tc>
        <w:tc>
          <w:tcPr>
            <w:tcW w:w="0" w:type="auto"/>
          </w:tcPr>
          <w:p w14:paraId="29D241AD" w14:textId="77777777" w:rsidR="000B1C67" w:rsidRDefault="00000000">
            <w:pPr>
              <w:pStyle w:val="Compact"/>
            </w:pPr>
            <w:r>
              <w:t>1.00</w:t>
            </w:r>
          </w:p>
        </w:tc>
        <w:tc>
          <w:tcPr>
            <w:tcW w:w="0" w:type="auto"/>
          </w:tcPr>
          <w:p w14:paraId="022E46FE" w14:textId="77777777" w:rsidR="000B1C67" w:rsidRDefault="00000000">
            <w:pPr>
              <w:pStyle w:val="Compact"/>
            </w:pPr>
            <w:r>
              <w:t>1.00</w:t>
            </w:r>
          </w:p>
        </w:tc>
        <w:tc>
          <w:tcPr>
            <w:tcW w:w="0" w:type="auto"/>
          </w:tcPr>
          <w:p w14:paraId="44663A24" w14:textId="77777777" w:rsidR="000B1C67" w:rsidRDefault="00000000">
            <w:pPr>
              <w:pStyle w:val="Compact"/>
            </w:pPr>
            <w:r>
              <w:t>0.020</w:t>
            </w:r>
          </w:p>
        </w:tc>
        <w:tc>
          <w:tcPr>
            <w:tcW w:w="0" w:type="auto"/>
          </w:tcPr>
          <w:p w14:paraId="20D155F1" w14:textId="77777777" w:rsidR="000B1C67" w:rsidRDefault="00000000">
            <w:pPr>
              <w:pStyle w:val="Compact"/>
            </w:pPr>
            <w:r>
              <w:t>*</w:t>
            </w:r>
          </w:p>
        </w:tc>
      </w:tr>
      <w:tr w:rsidR="000B1C67" w14:paraId="012F671A" w14:textId="77777777">
        <w:tc>
          <w:tcPr>
            <w:tcW w:w="0" w:type="auto"/>
          </w:tcPr>
          <w:p w14:paraId="791FC35B" w14:textId="77777777" w:rsidR="000B1C67" w:rsidRDefault="00000000">
            <w:pPr>
              <w:pStyle w:val="Compact"/>
            </w:pPr>
            <w:r>
              <w:t>s(longitude, latitude)</w:t>
            </w:r>
          </w:p>
        </w:tc>
        <w:tc>
          <w:tcPr>
            <w:tcW w:w="0" w:type="auto"/>
          </w:tcPr>
          <w:p w14:paraId="52966235" w14:textId="77777777" w:rsidR="000B1C67" w:rsidRDefault="00000000">
            <w:pPr>
              <w:pStyle w:val="Compact"/>
            </w:pPr>
            <w:r>
              <w:t>9.77</w:t>
            </w:r>
          </w:p>
        </w:tc>
        <w:tc>
          <w:tcPr>
            <w:tcW w:w="0" w:type="auto"/>
          </w:tcPr>
          <w:p w14:paraId="6E4277AC" w14:textId="77777777" w:rsidR="000B1C67" w:rsidRDefault="00000000">
            <w:pPr>
              <w:pStyle w:val="Compact"/>
            </w:pPr>
            <w:r>
              <w:t>12.80</w:t>
            </w:r>
          </w:p>
        </w:tc>
        <w:tc>
          <w:tcPr>
            <w:tcW w:w="0" w:type="auto"/>
          </w:tcPr>
          <w:p w14:paraId="06F5FB52" w14:textId="77777777" w:rsidR="000B1C67" w:rsidRDefault="00000000">
            <w:pPr>
              <w:pStyle w:val="Compact"/>
            </w:pPr>
            <w:r>
              <w:t>0.039</w:t>
            </w:r>
          </w:p>
        </w:tc>
        <w:tc>
          <w:tcPr>
            <w:tcW w:w="0" w:type="auto"/>
          </w:tcPr>
          <w:p w14:paraId="25B739C1" w14:textId="77777777" w:rsidR="000B1C67" w:rsidRDefault="00000000">
            <w:pPr>
              <w:pStyle w:val="Compact"/>
            </w:pPr>
            <w:r>
              <w:t>*</w:t>
            </w:r>
          </w:p>
        </w:tc>
      </w:tr>
    </w:tbl>
    <w:p w14:paraId="1292F696" w14:textId="77777777" w:rsidR="000B1C67" w:rsidRDefault="00000000">
      <w:r>
        <w:pict w14:anchorId="2DF503F1">
          <v:rect id="_x0000_i1063" style="width:0;height:1.5pt" o:hralign="center" o:hrstd="t" o:hr="t"/>
        </w:pict>
      </w:r>
    </w:p>
    <w:p w14:paraId="2B0A9D6E" w14:textId="77777777" w:rsidR="000B1C67" w:rsidRDefault="00000000">
      <w:pPr>
        <w:pStyle w:val="2"/>
      </w:pPr>
      <w:bookmarkStart w:id="5" w:name="appendix-s4-sensitivity-analyses"/>
      <w:bookmarkEnd w:id="4"/>
      <w:r>
        <w:t>Appendix S4 — Sensitivity analyses</w:t>
      </w:r>
    </w:p>
    <w:p w14:paraId="51464822" w14:textId="77777777" w:rsidR="000B1C67" w:rsidRDefault="00000000">
      <w:pPr>
        <w:pStyle w:val="FirstParagraph"/>
      </w:pPr>
      <w:r>
        <w:t>We evaluated four methodological choices that could conceivably bias our conclusions:</w:t>
      </w:r>
    </w:p>
    <w:p w14:paraId="104A2745" w14:textId="77777777" w:rsidR="000B1C67" w:rsidRDefault="00000000">
      <w:pPr>
        <w:pStyle w:val="a0"/>
      </w:pPr>
      <w:r>
        <w:rPr>
          <w:b/>
          <w:bCs/>
        </w:rPr>
        <w:t>S4.1 Sampling-effort threshold.</w:t>
      </w:r>
      <w:r>
        <w:t xml:space="preserve"> Our operating threshold requires &gt;30 deployed cameras and &gt;400 effective camera-days per reserve, and yields the 199-reserve analytical dataset. Loosening the camera-count threshold to ≥10 restored the 256-reserve dataset used in an earlier iteration of the analysis, but produced substantially noisier region-level FDI estimates because low-effort reserves inflate dark-diversity probabilities (Fujinuma &amp; Pärtel, 2023). Tightening the camera-count threshold to ≥50 reduced the sample to 138 reserves but preserved the qualitative multidimensional pattern and the regional null-model signal — South China remained significantly above null on all three dimensions. We retained the &gt;30-camera threshold to balance statistical power against sampling homogeneity, while including logTRAPDAY as a covariate in every model.</w:t>
      </w:r>
    </w:p>
    <w:p w14:paraId="07D134DF" w14:textId="77777777" w:rsidR="000B1C67" w:rsidRDefault="00000000">
      <w:pPr>
        <w:pStyle w:val="a0"/>
      </w:pPr>
      <w:r>
        <w:rPr>
          <w:b/>
          <w:bCs/>
        </w:rPr>
        <w:t>S4.2 Species-pool definition.</w:t>
      </w:r>
      <w:r>
        <w:t xml:space="preserve"> We define pools by intersecting IUCN range polygons with habitat-type and elevational filters, then augmenting the modern IUCN polygons with CESIS historical records buffered by 50 km (Liu et al., 2025). Alternative pools defined by (i) IUCN polygons alone (unfiltered), and (ii) probabilistic site-specific pools sensu Carmona and Pärtel (2021) yielded reserve-level DD_adj rankings that correlated with the main analysis at Spearman ρ &gt; 0.85. The South-China null-model signal was preserved in every alternative.</w:t>
      </w:r>
    </w:p>
    <w:p w14:paraId="7FE60854" w14:textId="77777777" w:rsidR="000B1C67" w:rsidRDefault="00000000">
      <w:pPr>
        <w:pStyle w:val="a0"/>
      </w:pPr>
      <w:r>
        <w:rPr>
          <w:b/>
          <w:bCs/>
        </w:rPr>
        <w:t>S4.3 Phylogeny choice.</w:t>
      </w:r>
      <w:r>
        <w:t xml:space="preserve"> EPD was computed on 200 posterior trees drawn from the mammal supertree (Upham et al., 2019); reserve-level EPD ranks across these 200 draws were highly consistent (per-tree Spearman ρ &gt; 0.95 with the mean estimate).</w:t>
      </w:r>
    </w:p>
    <w:p w14:paraId="36DA7CFF" w14:textId="77777777" w:rsidR="000B1C67" w:rsidRDefault="00000000">
      <w:pPr>
        <w:pStyle w:val="a0"/>
      </w:pPr>
      <w:r>
        <w:rPr>
          <w:b/>
          <w:bCs/>
        </w:rPr>
        <w:lastRenderedPageBreak/>
        <w:t>S4.4 Multiple-testing correction.</w:t>
      </w:r>
      <w:r>
        <w:t xml:space="preserve"> Regional null-model P-values were adjusted with the Benjamini–Hochberg false-discovery-rate procedure (Benjamini &amp; Hochberg, 1995). Under the more conservative Holm–Bonferroni correction, South China remained significantly above null on all three dimensions; North China, Northeast China and Qinghai-Tibet remained significantly below null on the taxonomic and phylogenetic dimensions.</w:t>
      </w:r>
    </w:p>
    <w:p w14:paraId="76FA0D7D" w14:textId="77777777" w:rsidR="000B1C67" w:rsidRDefault="00000000">
      <w:r>
        <w:pict w14:anchorId="2BA4F2E5">
          <v:rect id="_x0000_i1064" style="width:0;height:1.5pt" o:hralign="center" o:hrstd="t" o:hr="t"/>
        </w:pict>
      </w:r>
    </w:p>
    <w:p w14:paraId="71E45FDB" w14:textId="77777777" w:rsidR="000B1C67" w:rsidRDefault="00000000">
      <w:pPr>
        <w:pStyle w:val="2"/>
      </w:pPr>
      <w:bookmarkStart w:id="6" w:name="supplementary-figures"/>
      <w:bookmarkEnd w:id="5"/>
      <w:r>
        <w:t>Supplementary Figures</w:t>
      </w:r>
    </w:p>
    <w:p w14:paraId="613E40AE" w14:textId="77777777" w:rsidR="000B1C67" w:rsidRDefault="00000000">
      <w:pPr>
        <w:pStyle w:val="FirstParagraph"/>
      </w:pPr>
      <w:r>
        <w:rPr>
          <w:noProof/>
        </w:rPr>
        <w:drawing>
          <wp:inline distT="0" distB="0" distL="0" distR="0" wp14:anchorId="72070A76" wp14:editId="132957D1">
            <wp:extent cx="5334000" cy="2529323"/>
            <wp:effectExtent l="0" t="0" r="0" b="0"/>
            <wp:docPr id="15" name="Picture"/>
            <wp:cNvGraphicFramePr/>
            <a:graphic xmlns:a="http://schemas.openxmlformats.org/drawingml/2006/main">
              <a:graphicData uri="http://schemas.openxmlformats.org/drawingml/2006/picture">
                <pic:pic xmlns:pic="http://schemas.openxmlformats.org/drawingml/2006/picture">
                  <pic:nvPicPr>
                    <pic:cNvPr id="16" name="Picture" descr="figures/Figure_S1_trapday_coverage.png"/>
                    <pic:cNvPicPr>
                      <a:picLocks noChangeAspect="1" noChangeArrowheads="1"/>
                    </pic:cNvPicPr>
                  </pic:nvPicPr>
                  <pic:blipFill>
                    <a:blip r:embed="rId7"/>
                    <a:stretch>
                      <a:fillRect/>
                    </a:stretch>
                  </pic:blipFill>
                  <pic:spPr bwMode="auto">
                    <a:xfrm>
                      <a:off x="0" y="0"/>
                      <a:ext cx="5334000" cy="2529323"/>
                    </a:xfrm>
                    <a:prstGeom prst="rect">
                      <a:avLst/>
                    </a:prstGeom>
                    <a:noFill/>
                    <a:ln w="9525">
                      <a:noFill/>
                      <a:headEnd/>
                      <a:tailEnd/>
                    </a:ln>
                  </pic:spPr>
                </pic:pic>
              </a:graphicData>
            </a:graphic>
          </wp:inline>
        </w:drawing>
      </w:r>
    </w:p>
    <w:p w14:paraId="2C44313F" w14:textId="77777777" w:rsidR="000B1C67" w:rsidRDefault="00000000">
      <w:pPr>
        <w:pStyle w:val="a0"/>
      </w:pPr>
      <w:r>
        <w:rPr>
          <w:b/>
          <w:bCs/>
        </w:rPr>
        <w:t>Figure S1 | Sampling effort and reserve area across the 199-reserve network.</w:t>
      </w:r>
      <w:r>
        <w:t xml:space="preserve"> </w:t>
      </w:r>
      <w:r>
        <w:rPr>
          <w:b/>
          <w:bCs/>
        </w:rPr>
        <w:t>a</w:t>
      </w:r>
      <w:r>
        <w:t xml:space="preserve">, Distribution of effective camera-days per reserve (log-scale); dashed red line indicates the 400-day inclusion threshold. </w:t>
      </w:r>
      <w:r>
        <w:rPr>
          <w:b/>
          <w:bCs/>
        </w:rPr>
        <w:t>b</w:t>
      </w:r>
      <w:r>
        <w:t>, Relationship between reserve area and observed mammal richness across the 199 retained reserves.</w:t>
      </w:r>
    </w:p>
    <w:p w14:paraId="4F221627" w14:textId="77777777" w:rsidR="000B1C67" w:rsidRDefault="00000000">
      <w:pPr>
        <w:pStyle w:val="a0"/>
      </w:pPr>
      <w:r>
        <w:rPr>
          <w:noProof/>
        </w:rPr>
        <w:lastRenderedPageBreak/>
        <w:drawing>
          <wp:inline distT="0" distB="0" distL="0" distR="0" wp14:anchorId="341AA5A6" wp14:editId="7D519809">
            <wp:extent cx="5334000" cy="4358613"/>
            <wp:effectExtent l="0" t="0" r="0" b="0"/>
            <wp:docPr id="18" name="Picture"/>
            <wp:cNvGraphicFramePr/>
            <a:graphic xmlns:a="http://schemas.openxmlformats.org/drawingml/2006/main">
              <a:graphicData uri="http://schemas.openxmlformats.org/drawingml/2006/picture">
                <pic:pic xmlns:pic="http://schemas.openxmlformats.org/drawingml/2006/picture">
                  <pic:nvPicPr>
                    <pic:cNvPr id="19" name="Picture" descr="figures/Figure_S2_correlation_matrix.png"/>
                    <pic:cNvPicPr>
                      <a:picLocks noChangeAspect="1" noChangeArrowheads="1"/>
                    </pic:cNvPicPr>
                  </pic:nvPicPr>
                  <pic:blipFill>
                    <a:blip r:embed="rId8"/>
                    <a:stretch>
                      <a:fillRect/>
                    </a:stretch>
                  </pic:blipFill>
                  <pic:spPr bwMode="auto">
                    <a:xfrm>
                      <a:off x="0" y="0"/>
                      <a:ext cx="5334000" cy="4358613"/>
                    </a:xfrm>
                    <a:prstGeom prst="rect">
                      <a:avLst/>
                    </a:prstGeom>
                    <a:noFill/>
                    <a:ln w="9525">
                      <a:noFill/>
                      <a:headEnd/>
                      <a:tailEnd/>
                    </a:ln>
                  </pic:spPr>
                </pic:pic>
              </a:graphicData>
            </a:graphic>
          </wp:inline>
        </w:drawing>
      </w:r>
    </w:p>
    <w:p w14:paraId="69B8AEF5" w14:textId="77777777" w:rsidR="000B1C67" w:rsidRDefault="00000000">
      <w:pPr>
        <w:pStyle w:val="a0"/>
      </w:pPr>
      <w:r>
        <w:rPr>
          <w:b/>
          <w:bCs/>
        </w:rPr>
        <w:t>Figure S2 | Pairwise Spearman correlation among the nine candidate environmental / sampling covariates.</w:t>
      </w:r>
      <w:r>
        <w:t xml:space="preserve"> Each cell shows the Spearman rank correlation between two candidate predictors across the 199 reserves; colour scale from −1 (blue) to +1 (red). Reserve area and trap-days were log-transformed prior to correlation. Bold values indicate correlations that are statistically significant (P &lt; 0.05). The matrix guided the correlation-collinearity screen (|ρ| &lt; 0.65) that determined which covariates entered the GAMs; only the reserve-area × camera-coverage pair (ρ = −0.82) is near-collinear and was therefore never entered simultaneously into the same model.</w:t>
      </w:r>
    </w:p>
    <w:p w14:paraId="6D1CD035" w14:textId="77777777" w:rsidR="000B1C67" w:rsidRDefault="00000000">
      <w:pPr>
        <w:pStyle w:val="a0"/>
      </w:pPr>
      <w:r>
        <w:rPr>
          <w:noProof/>
        </w:rPr>
        <w:lastRenderedPageBreak/>
        <w:drawing>
          <wp:inline distT="0" distB="0" distL="0" distR="0" wp14:anchorId="3E427D17" wp14:editId="17C5C3E2">
            <wp:extent cx="5334000" cy="4216857"/>
            <wp:effectExtent l="0" t="0" r="0" b="0"/>
            <wp:docPr id="21" name="Picture"/>
            <wp:cNvGraphicFramePr/>
            <a:graphic xmlns:a="http://schemas.openxmlformats.org/drawingml/2006/main">
              <a:graphicData uri="http://schemas.openxmlformats.org/drawingml/2006/picture">
                <pic:pic xmlns:pic="http://schemas.openxmlformats.org/drawingml/2006/picture">
                  <pic:nvPicPr>
                    <pic:cNvPr id="22" name="Picture" descr="figures/Figure_S3_GAM_logEPD.png"/>
                    <pic:cNvPicPr>
                      <a:picLocks noChangeAspect="1" noChangeArrowheads="1"/>
                    </pic:cNvPicPr>
                  </pic:nvPicPr>
                  <pic:blipFill>
                    <a:blip r:embed="rId9"/>
                    <a:stretch>
                      <a:fillRect/>
                    </a:stretch>
                  </pic:blipFill>
                  <pic:spPr bwMode="auto">
                    <a:xfrm>
                      <a:off x="0" y="0"/>
                      <a:ext cx="5334000" cy="4216857"/>
                    </a:xfrm>
                    <a:prstGeom prst="rect">
                      <a:avLst/>
                    </a:prstGeom>
                    <a:noFill/>
                    <a:ln w="9525">
                      <a:noFill/>
                      <a:headEnd/>
                      <a:tailEnd/>
                    </a:ln>
                  </pic:spPr>
                </pic:pic>
              </a:graphicData>
            </a:graphic>
          </wp:inline>
        </w:drawing>
      </w:r>
    </w:p>
    <w:p w14:paraId="056C6DFB" w14:textId="77777777" w:rsidR="000B1C67" w:rsidRDefault="00000000">
      <w:pPr>
        <w:pStyle w:val="a0"/>
      </w:pPr>
      <w:r>
        <w:rPr>
          <w:b/>
          <w:bCs/>
        </w:rPr>
        <w:t>Figure S3 | Residual spatial smoother from the log(EPD) GAM.</w:t>
      </w:r>
      <w:r>
        <w:t xml:space="preserve"> Filled contours show the tensor-product smoother s(longitude, latitude, k = 20) fitted alongside — and net of — five environmental / sampling covariates (elevation, elevational range, annual precipitation, NPP, log(trap-days)). Warm and cool tones indicate reserves with log(EPD) higher or lower than expected from those covariates alone. The smoother is highly significant (P &lt; 0.001) and absorbs a large amount of the remaining variation (full-model adj. deviance explained ≈ 82 %). Small hollow circles mark the 199 reserves; the inset shows the South China Sea nine-dash line for reference. Contours are derived by evaluating the fitted smoother at each reserve location and interpolating with a thin-plate-spline RBF, then clipped to the China polygon.</w:t>
      </w:r>
    </w:p>
    <w:p w14:paraId="2BC3D8E1" w14:textId="77777777" w:rsidR="000B1C67" w:rsidRDefault="00000000">
      <w:pPr>
        <w:pStyle w:val="a0"/>
      </w:pPr>
      <w:r>
        <w:rPr>
          <w:noProof/>
        </w:rPr>
        <w:lastRenderedPageBreak/>
        <w:drawing>
          <wp:inline distT="0" distB="0" distL="0" distR="0" wp14:anchorId="18F8777E" wp14:editId="0F0CCDB4">
            <wp:extent cx="5334000" cy="4216857"/>
            <wp:effectExtent l="0" t="0" r="0" b="0"/>
            <wp:docPr id="24" name="Picture"/>
            <wp:cNvGraphicFramePr/>
            <a:graphic xmlns:a="http://schemas.openxmlformats.org/drawingml/2006/main">
              <a:graphicData uri="http://schemas.openxmlformats.org/drawingml/2006/picture">
                <pic:pic xmlns:pic="http://schemas.openxmlformats.org/drawingml/2006/picture">
                  <pic:nvPicPr>
                    <pic:cNvPr id="25" name="Picture" descr="figures/Figure_S4_SES_EPD_spatial.png"/>
                    <pic:cNvPicPr>
                      <a:picLocks noChangeAspect="1" noChangeArrowheads="1"/>
                    </pic:cNvPicPr>
                  </pic:nvPicPr>
                  <pic:blipFill>
                    <a:blip r:embed="rId10"/>
                    <a:stretch>
                      <a:fillRect/>
                    </a:stretch>
                  </pic:blipFill>
                  <pic:spPr bwMode="auto">
                    <a:xfrm>
                      <a:off x="0" y="0"/>
                      <a:ext cx="5334000" cy="4216857"/>
                    </a:xfrm>
                    <a:prstGeom prst="rect">
                      <a:avLst/>
                    </a:prstGeom>
                    <a:noFill/>
                    <a:ln w="9525">
                      <a:noFill/>
                      <a:headEnd/>
                      <a:tailEnd/>
                    </a:ln>
                  </pic:spPr>
                </pic:pic>
              </a:graphicData>
            </a:graphic>
          </wp:inline>
        </w:drawing>
      </w:r>
    </w:p>
    <w:p w14:paraId="1363E70A" w14:textId="77777777" w:rsidR="000B1C67" w:rsidRDefault="00000000">
      <w:pPr>
        <w:pStyle w:val="a0"/>
      </w:pPr>
      <w:r>
        <w:rPr>
          <w:b/>
          <w:bCs/>
        </w:rPr>
        <w:t>Figure S4 | Residual spatial smoother from the SES(EPD) GAM.</w:t>
      </w:r>
      <w:r>
        <w:t xml:space="preserve"> As Figure S3, but for the richness-standardised phylogenetic dark diversity SES(EPD). The spatial term remains significant (P ≈ 2 × 10⁻⁶) after removing environmental / sampling effects: SES(EPD) is systematically higher (warmer than expected) north of ~35° N and lower (cooler than expected) across sub-tropical South China, indicating a north–south residual gradient that environmental covariates alone do not explain.</w:t>
      </w:r>
    </w:p>
    <w:p w14:paraId="7AA3200E" w14:textId="77777777" w:rsidR="000B1C67" w:rsidRDefault="00000000">
      <w:pPr>
        <w:pStyle w:val="a0"/>
      </w:pPr>
      <w:r>
        <w:rPr>
          <w:noProof/>
        </w:rPr>
        <w:lastRenderedPageBreak/>
        <w:drawing>
          <wp:inline distT="0" distB="0" distL="0" distR="0" wp14:anchorId="793C3D51" wp14:editId="17093ED8">
            <wp:extent cx="5334000" cy="4216857"/>
            <wp:effectExtent l="0" t="0" r="0" b="0"/>
            <wp:docPr id="27" name="Picture"/>
            <wp:cNvGraphicFramePr/>
            <a:graphic xmlns:a="http://schemas.openxmlformats.org/drawingml/2006/main">
              <a:graphicData uri="http://schemas.openxmlformats.org/drawingml/2006/picture">
                <pic:pic xmlns:pic="http://schemas.openxmlformats.org/drawingml/2006/picture">
                  <pic:nvPicPr>
                    <pic:cNvPr id="28" name="Picture" descr="figures/Figure_S5_GAM_FDI.png"/>
                    <pic:cNvPicPr>
                      <a:picLocks noChangeAspect="1" noChangeArrowheads="1"/>
                    </pic:cNvPicPr>
                  </pic:nvPicPr>
                  <pic:blipFill>
                    <a:blip r:embed="rId11"/>
                    <a:stretch>
                      <a:fillRect/>
                    </a:stretch>
                  </pic:blipFill>
                  <pic:spPr bwMode="auto">
                    <a:xfrm>
                      <a:off x="0" y="0"/>
                      <a:ext cx="5334000" cy="4216857"/>
                    </a:xfrm>
                    <a:prstGeom prst="rect">
                      <a:avLst/>
                    </a:prstGeom>
                    <a:noFill/>
                    <a:ln w="9525">
                      <a:noFill/>
                      <a:headEnd/>
                      <a:tailEnd/>
                    </a:ln>
                  </pic:spPr>
                </pic:pic>
              </a:graphicData>
            </a:graphic>
          </wp:inline>
        </w:drawing>
      </w:r>
    </w:p>
    <w:p w14:paraId="5F11A67B" w14:textId="77777777" w:rsidR="000B1C67" w:rsidRDefault="00000000">
      <w:pPr>
        <w:pStyle w:val="a0"/>
      </w:pPr>
      <w:r>
        <w:rPr>
          <w:b/>
          <w:bCs/>
        </w:rPr>
        <w:t>Figure S5 | Residual spatial smoother from the log(FDI) GAM.</w:t>
      </w:r>
      <w:r>
        <w:t xml:space="preserve"> Filled contours show the tensor smoother s(longitude, latitude, k = 20) fitted with sampling effort (log(trap-days)) as the only fixed effect (n = 198). The smoother is highly significant (P &lt; 10⁻¹²) and reveals a broad zone of elevated functional deficit across eastern and central China, opposite the Xinjiang / western-plateau pattern of Figures S3 – S4. Small hollow circles mark reserves; inset and clipping conventions are identical to Figure S3.</w:t>
      </w:r>
    </w:p>
    <w:p w14:paraId="432C9E04" w14:textId="77777777" w:rsidR="000B1C67" w:rsidRDefault="00000000">
      <w:r>
        <w:pict w14:anchorId="58BCA608">
          <v:rect id="_x0000_i1065" style="width:0;height:1.5pt" o:hralign="center" o:hrstd="t" o:hr="t"/>
        </w:pict>
      </w:r>
    </w:p>
    <w:p w14:paraId="21B6D76C" w14:textId="77777777" w:rsidR="000B1C67" w:rsidRDefault="00000000">
      <w:pPr>
        <w:pStyle w:val="2"/>
      </w:pPr>
      <w:bookmarkStart w:id="7" w:name="supplementary-tables"/>
      <w:bookmarkEnd w:id="6"/>
      <w:r>
        <w:t>Supplementary Tables</w:t>
      </w:r>
    </w:p>
    <w:p w14:paraId="7E730726" w14:textId="77777777" w:rsidR="000B1C67" w:rsidRDefault="00000000">
      <w:pPr>
        <w:pStyle w:val="FirstParagraph"/>
      </w:pPr>
      <w:r>
        <w:rPr>
          <w:b/>
          <w:bCs/>
        </w:rPr>
        <w:t>Table S1 — Regional null-model statistics for taxonomic dark diversity (DD_adj).</w:t>
      </w:r>
      <w:r>
        <w:t xml:space="preserve"> Generated by 9999-permutation regional null model (Methods §2.7). Columns: region, number of reserves (n_site), observed regional mean, observed regional median, null mean, null standard deviation, standardized effect size (SES), two-tailed </w:t>
      </w:r>
      <w:r>
        <w:rPr>
          <w:i/>
          <w:iCs/>
        </w:rPr>
        <w:t>P</w:t>
      </w:r>
      <w:r>
        <w:t xml:space="preserve">, and Benjamini–Hochberg adjusted </w:t>
      </w:r>
      <w:r>
        <w:rPr>
          <w:i/>
          <w:iCs/>
        </w:rPr>
        <w:t>P</w:t>
      </w:r>
      <w:r>
        <w:t xml:space="preserve"> (p_fdr). Provided as </w:t>
      </w:r>
      <w:r>
        <w:rPr>
          <w:rStyle w:val="VerbatimChar"/>
        </w:rPr>
        <w:t>table_S_null_DDadj.csv</w:t>
      </w:r>
      <w:r>
        <w:t>.</w:t>
      </w:r>
    </w:p>
    <w:p w14:paraId="1DE6307F" w14:textId="77777777" w:rsidR="000B1C67" w:rsidRDefault="00000000">
      <w:pPr>
        <w:pStyle w:val="a0"/>
      </w:pPr>
      <w:r>
        <w:rPr>
          <w:b/>
          <w:bCs/>
        </w:rPr>
        <w:t>Table S2 — Regional null-model statistics for phylogenetic dark diversity (EPD).</w:t>
      </w:r>
      <w:r>
        <w:t xml:space="preserve"> Format as in Table S1. Provided as </w:t>
      </w:r>
      <w:r>
        <w:rPr>
          <w:rStyle w:val="VerbatimChar"/>
        </w:rPr>
        <w:t>table_S_null_EPD.csv</w:t>
      </w:r>
      <w:r>
        <w:t>.</w:t>
      </w:r>
    </w:p>
    <w:p w14:paraId="22DF3CFF" w14:textId="77777777" w:rsidR="000B1C67" w:rsidRDefault="00000000">
      <w:pPr>
        <w:pStyle w:val="a0"/>
      </w:pPr>
      <w:r>
        <w:rPr>
          <w:b/>
          <w:bCs/>
        </w:rPr>
        <w:lastRenderedPageBreak/>
        <w:t>Table S3 — Regional null-model statistics for functional dark diversity (FDI).</w:t>
      </w:r>
      <w:r>
        <w:t xml:space="preserve"> Format as in Table S1. Provided as </w:t>
      </w:r>
      <w:r>
        <w:rPr>
          <w:rStyle w:val="VerbatimChar"/>
        </w:rPr>
        <w:t>table_S_null_FDI.csv</w:t>
      </w:r>
      <w:r>
        <w:t>.</w:t>
      </w:r>
    </w:p>
    <w:p w14:paraId="6933D9B4" w14:textId="77777777" w:rsidR="000B1C67" w:rsidRDefault="00000000">
      <w:r>
        <w:pict w14:anchorId="583A5846">
          <v:rect id="_x0000_i1066" style="width:0;height:1.5pt" o:hralign="center" o:hrstd="t" o:hr="t"/>
        </w:pict>
      </w:r>
    </w:p>
    <w:p w14:paraId="40AC26A2" w14:textId="77777777" w:rsidR="000B1C67" w:rsidRDefault="00000000">
      <w:pPr>
        <w:pStyle w:val="2"/>
      </w:pPr>
      <w:bookmarkStart w:id="8" w:name="supplementary-references"/>
      <w:bookmarkEnd w:id="7"/>
      <w:r>
        <w:t>Supplementary References</w:t>
      </w:r>
    </w:p>
    <w:p w14:paraId="2752DEA8" w14:textId="77777777" w:rsidR="000B1C67" w:rsidRDefault="00000000">
      <w:pPr>
        <w:pStyle w:val="FirstParagraph"/>
      </w:pPr>
      <w:r>
        <w:t xml:space="preserve">Benjamini, Y. &amp; Hochberg, Y. (1995). Controlling the false discovery rate: a practical and powerful approach to multiple testing. </w:t>
      </w:r>
      <w:r>
        <w:rPr>
          <w:i/>
          <w:iCs/>
        </w:rPr>
        <w:t>Journal of the Royal Statistical Society, Series B</w:t>
      </w:r>
      <w:r>
        <w:t>, 57(1), 289–300.</w:t>
      </w:r>
    </w:p>
    <w:p w14:paraId="3134A9A6" w14:textId="77777777" w:rsidR="000B1C67" w:rsidRDefault="00000000">
      <w:pPr>
        <w:pStyle w:val="a0"/>
      </w:pPr>
      <w:r>
        <w:t xml:space="preserve">Carmona, C. P. &amp; Pärtel, M. (2021). Estimating probabilistic site-specific species pools and dark diversity from co-occurrence data. </w:t>
      </w:r>
      <w:r>
        <w:rPr>
          <w:i/>
          <w:iCs/>
        </w:rPr>
        <w:t>Global Ecology and Biogeography</w:t>
      </w:r>
      <w:r>
        <w:t>, 30(1), 316–326.</w:t>
      </w:r>
    </w:p>
    <w:p w14:paraId="4C5D1E3F" w14:textId="77777777" w:rsidR="000B1C67" w:rsidRDefault="00000000">
      <w:pPr>
        <w:pStyle w:val="a0"/>
      </w:pPr>
      <w:r>
        <w:t xml:space="preserve">Fujinuma, J. &amp; Pärtel, M. (2023). Decomposing dark diversity affinities of species and sites using Bayesian method: what accounts for absences of species at suitable sites? </w:t>
      </w:r>
      <w:r>
        <w:rPr>
          <w:i/>
          <w:iCs/>
        </w:rPr>
        <w:t>Methods in Ecology and Evolution</w:t>
      </w:r>
      <w:r>
        <w:t>, 14(7), 1796–1807.</w:t>
      </w:r>
    </w:p>
    <w:p w14:paraId="2B5E21AB" w14:textId="77777777" w:rsidR="000B1C67" w:rsidRDefault="00000000">
      <w:pPr>
        <w:pStyle w:val="a0"/>
      </w:pPr>
      <w:r>
        <w:t xml:space="preserve">Liu, J., Kang, Y., Kays, R., Jensen, A. J. &amp; Jiang, A. (2025). Apex predator loss drives trophic downgrading in China’s protected areas. </w:t>
      </w:r>
      <w:r>
        <w:rPr>
          <w:i/>
          <w:iCs/>
        </w:rPr>
        <w:t>Current Biology</w:t>
      </w:r>
      <w:r>
        <w:t>, 35(13), 2989–2997.e3.</w:t>
      </w:r>
    </w:p>
    <w:p w14:paraId="553E5B3C" w14:textId="77777777" w:rsidR="000B1C67" w:rsidRDefault="00000000">
      <w:pPr>
        <w:pStyle w:val="a0"/>
      </w:pPr>
      <w:r>
        <w:t xml:space="preserve">Servén, D. &amp; Brummitt, C. (2018). </w:t>
      </w:r>
      <w:r>
        <w:rPr>
          <w:i/>
          <w:iCs/>
        </w:rPr>
        <w:t>pyGAM: Generalized Additive Models in Python</w:t>
      </w:r>
      <w:r>
        <w:t>. Zenodo. https://doi.org/10.5281/zenodo.1208723</w:t>
      </w:r>
    </w:p>
    <w:p w14:paraId="543EFCE4" w14:textId="77777777" w:rsidR="000B1C67" w:rsidRDefault="00000000">
      <w:pPr>
        <w:pStyle w:val="a0"/>
      </w:pPr>
      <w:r>
        <w:t xml:space="preserve">Tobler, M. W., Carrillo-Percastegui, S. E., Leite Pitman, R., et al. (2008). An evaluation of camera traps for inventorying large- and medium-sized terrestrial mammals. </w:t>
      </w:r>
      <w:r>
        <w:rPr>
          <w:i/>
          <w:iCs/>
        </w:rPr>
        <w:t>Animal Conservation</w:t>
      </w:r>
      <w:r>
        <w:t>, 11(3), 169–178.</w:t>
      </w:r>
    </w:p>
    <w:p w14:paraId="0F78867B" w14:textId="77777777" w:rsidR="000B1C67" w:rsidRDefault="00000000">
      <w:pPr>
        <w:pStyle w:val="a0"/>
      </w:pPr>
      <w:r>
        <w:t xml:space="preserve">Upham, N. S., Esselstyn, J. A. &amp; Jetz, W. (2019). Inferring the mammal tree: Species-level sets of phylogenies for questions in ecology, evolution, and conservation. </w:t>
      </w:r>
      <w:r>
        <w:rPr>
          <w:i/>
          <w:iCs/>
        </w:rPr>
        <w:t>PLOS Biology</w:t>
      </w:r>
      <w:r>
        <w:t>, 17(12), e3000494.</w:t>
      </w:r>
    </w:p>
    <w:p w14:paraId="1DCBD362" w14:textId="77777777" w:rsidR="000B1C67" w:rsidRDefault="00000000">
      <w:pPr>
        <w:pStyle w:val="a0"/>
      </w:pPr>
      <w:r>
        <w:t xml:space="preserve">Wood, S. N. (2017). </w:t>
      </w:r>
      <w:r>
        <w:rPr>
          <w:i/>
          <w:iCs/>
        </w:rPr>
        <w:t>Generalized additive models: An introduction with R</w:t>
      </w:r>
      <w:r>
        <w:t xml:space="preserve"> (2nd ed.). Chapman and Hall/CRC.</w:t>
      </w:r>
      <w:bookmarkEnd w:id="0"/>
      <w:bookmarkEnd w:id="8"/>
    </w:p>
    <w:sectPr w:rsidR="000B1C67">
      <w:footnotePr>
        <w:numRestart w:val="eachSect"/>
      </w:footnotePr>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D1543" w14:textId="77777777" w:rsidR="002F30C9" w:rsidRDefault="002F30C9" w:rsidP="00656FAF">
      <w:pPr>
        <w:spacing w:after="0"/>
      </w:pPr>
      <w:r>
        <w:separator/>
      </w:r>
    </w:p>
  </w:endnote>
  <w:endnote w:type="continuationSeparator" w:id="0">
    <w:p w14:paraId="6D751A01" w14:textId="77777777" w:rsidR="002F30C9" w:rsidRDefault="002F30C9" w:rsidP="00656FA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2C81A" w14:textId="77777777" w:rsidR="002F30C9" w:rsidRDefault="002F30C9" w:rsidP="00656FAF">
      <w:pPr>
        <w:spacing w:after="0"/>
      </w:pPr>
      <w:r>
        <w:separator/>
      </w:r>
    </w:p>
  </w:footnote>
  <w:footnote w:type="continuationSeparator" w:id="0">
    <w:p w14:paraId="69D8CEDF" w14:textId="77777777" w:rsidR="002F30C9" w:rsidRDefault="002F30C9" w:rsidP="00656FA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8DFA366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66AA22C8"/>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ECFE508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488548399">
    <w:abstractNumId w:val="0"/>
  </w:num>
  <w:num w:numId="2" w16cid:durableId="1494108304">
    <w:abstractNumId w:val="1"/>
  </w:num>
  <w:num w:numId="3" w16cid:durableId="14608033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444143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B1C67"/>
    <w:rsid w:val="000B1C67"/>
    <w:rsid w:val="002F30C9"/>
    <w:rsid w:val="00656FAF"/>
    <w:rsid w:val="00A154A6"/>
    <w:rsid w:val="00ED35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F49945"/>
  <w15:docId w15:val="{D8171D08-5A2E-448C-B0E8-A7E9EFB24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0"/>
    <w:link w:val="10"/>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0"/>
    <w:link w:val="20"/>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0"/>
    <w:link w:val="30"/>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0"/>
    <w:link w:val="40"/>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0"/>
    <w:link w:val="50"/>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6">
    <w:name w:val="heading 6"/>
    <w:basedOn w:val="a"/>
    <w:next w:val="a0"/>
    <w:link w:val="60"/>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0"/>
    <w:link w:val="70"/>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8">
    <w:name w:val="heading 8"/>
    <w:basedOn w:val="a"/>
    <w:next w:val="a0"/>
    <w:link w:val="80"/>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9">
    <w:name w:val="heading 9"/>
    <w:basedOn w:val="a"/>
    <w:next w:val="a0"/>
    <w:link w:val="90"/>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link w:val="a5"/>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a5">
    <w:name w:val="标题 字符"/>
    <w:basedOn w:val="a1"/>
    <w:link w:val="a4"/>
    <w:uiPriority w:val="10"/>
    <w:rsid w:val="00A10FD9"/>
    <w:rPr>
      <w:rFonts w:asciiTheme="majorHAnsi" w:eastAsiaTheme="majorEastAsia" w:hAnsiTheme="majorHAnsi" w:cstheme="majorBidi"/>
      <w:sz w:val="56"/>
      <w:szCs w:val="56"/>
    </w:rPr>
  </w:style>
  <w:style w:type="paragraph" w:styleId="a6">
    <w:name w:val="Subtitle"/>
    <w:basedOn w:val="a4"/>
    <w:next w:val="a0"/>
    <w:link w:val="a7"/>
    <w:uiPriority w:val="11"/>
    <w:qFormat/>
    <w:rsid w:val="00A10FD9"/>
    <w:pPr>
      <w:numPr>
        <w:ilvl w:val="1"/>
      </w:numPr>
    </w:pPr>
    <w:rPr>
      <w:spacing w:val="15"/>
      <w:sz w:val="28"/>
      <w:szCs w:val="28"/>
    </w:rPr>
  </w:style>
  <w:style w:type="character" w:customStyle="1" w:styleId="a7">
    <w:name w:val="副标题 字符"/>
    <w:basedOn w:val="a1"/>
    <w:link w:val="a6"/>
    <w:uiPriority w:val="11"/>
    <w:rsid w:val="00A10FD9"/>
    <w:rPr>
      <w:rFonts w:eastAsiaTheme="majorEastAsia" w:cstheme="majorBidi"/>
      <w:color w:val="595959" w:themeColor="text1" w:themeTint="A6"/>
      <w:spacing w:val="15"/>
      <w:sz w:val="28"/>
      <w:szCs w:val="28"/>
    </w:rPr>
  </w:style>
  <w:style w:type="paragraph" w:customStyle="1" w:styleId="Author">
    <w:name w:val="Author"/>
    <w:basedOn w:val="a4"/>
    <w:next w:val="a0"/>
    <w:qFormat/>
    <w:pPr>
      <w:keepNext/>
      <w:keepLines/>
    </w:pPr>
    <w:rPr>
      <w:sz w:val="24"/>
      <w:szCs w:val="24"/>
    </w:rPr>
  </w:style>
  <w:style w:type="paragraph" w:styleId="a8">
    <w:name w:val="Date"/>
    <w:basedOn w:val="a4"/>
    <w:next w:val="a0"/>
    <w:qFormat/>
    <w:pPr>
      <w:keepNext/>
      <w:keepLines/>
    </w:pPr>
    <w:rPr>
      <w:sz w:val="24"/>
      <w:szCs w:val="24"/>
    </w:rPr>
  </w:style>
  <w:style w:type="paragraph" w:customStyle="1" w:styleId="AbstractTitle">
    <w:name w:val="Abstract Title"/>
    <w:basedOn w:val="a"/>
    <w:next w:val="Abstract"/>
    <w:qFormat/>
    <w:pPr>
      <w:keepNext/>
      <w:keepLines/>
      <w:spacing w:before="300" w:after="0"/>
      <w:jc w:val="center"/>
    </w:pPr>
    <w:rPr>
      <w:b/>
      <w:sz w:val="20"/>
      <w:szCs w:val="20"/>
    </w:rPr>
  </w:style>
  <w:style w:type="paragraph" w:customStyle="1" w:styleId="Abstract">
    <w:name w:val="Abstract"/>
    <w:basedOn w:val="a"/>
    <w:next w:val="a0"/>
    <w:qFormat/>
    <w:pPr>
      <w:keepNext/>
      <w:keepLines/>
      <w:spacing w:before="100" w:after="300"/>
    </w:pPr>
    <w:rPr>
      <w:sz w:val="20"/>
      <w:szCs w:val="20"/>
    </w:rPr>
  </w:style>
  <w:style w:type="paragraph" w:styleId="a9">
    <w:name w:val="Bibliography"/>
    <w:basedOn w:val="a"/>
    <w:qFormat/>
  </w:style>
  <w:style w:type="character" w:customStyle="1" w:styleId="10">
    <w:name w:val="标题 1 字符"/>
    <w:basedOn w:val="a1"/>
    <w:link w:val="1"/>
    <w:uiPriority w:val="9"/>
    <w:rsid w:val="00A10FD9"/>
    <w:rPr>
      <w:rFonts w:asciiTheme="majorHAnsi" w:eastAsiaTheme="majorEastAsia" w:hAnsiTheme="majorHAnsi" w:cstheme="majorBidi"/>
      <w:color w:val="0F4761" w:themeColor="accent1" w:themeShade="BF"/>
      <w:sz w:val="40"/>
      <w:szCs w:val="40"/>
    </w:rPr>
  </w:style>
  <w:style w:type="character" w:customStyle="1" w:styleId="20">
    <w:name w:val="标题 2 字符"/>
    <w:basedOn w:val="a1"/>
    <w:link w:val="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30">
    <w:name w:val="标题 3 字符"/>
    <w:basedOn w:val="a1"/>
    <w:link w:val="3"/>
    <w:uiPriority w:val="9"/>
    <w:semiHidden/>
    <w:rsid w:val="00A10FD9"/>
    <w:rPr>
      <w:rFonts w:eastAsiaTheme="majorEastAsia" w:cstheme="majorBidi"/>
      <w:color w:val="0F4761" w:themeColor="accent1" w:themeShade="BF"/>
      <w:sz w:val="28"/>
      <w:szCs w:val="28"/>
    </w:rPr>
  </w:style>
  <w:style w:type="character" w:customStyle="1" w:styleId="40">
    <w:name w:val="标题 4 字符"/>
    <w:basedOn w:val="a1"/>
    <w:link w:val="4"/>
    <w:uiPriority w:val="9"/>
    <w:semiHidden/>
    <w:rsid w:val="00A10FD9"/>
    <w:rPr>
      <w:rFonts w:eastAsiaTheme="majorEastAsia" w:cstheme="majorBidi"/>
      <w:i/>
      <w:iCs/>
      <w:color w:val="0F4761" w:themeColor="accent1" w:themeShade="BF"/>
    </w:rPr>
  </w:style>
  <w:style w:type="character" w:customStyle="1" w:styleId="50">
    <w:name w:val="标题 5 字符"/>
    <w:basedOn w:val="a1"/>
    <w:link w:val="5"/>
    <w:uiPriority w:val="9"/>
    <w:semiHidden/>
    <w:rsid w:val="00A10FD9"/>
    <w:rPr>
      <w:rFonts w:eastAsiaTheme="majorEastAsia" w:cstheme="majorBidi"/>
      <w:color w:val="0F4761" w:themeColor="accent1" w:themeShade="BF"/>
    </w:rPr>
  </w:style>
  <w:style w:type="character" w:customStyle="1" w:styleId="60">
    <w:name w:val="标题 6 字符"/>
    <w:basedOn w:val="a1"/>
    <w:link w:val="6"/>
    <w:uiPriority w:val="9"/>
    <w:semiHidden/>
    <w:rsid w:val="00A10FD9"/>
    <w:rPr>
      <w:rFonts w:eastAsiaTheme="majorEastAsia" w:cstheme="majorBidi"/>
      <w:i/>
      <w:iCs/>
      <w:color w:val="595959" w:themeColor="text1" w:themeTint="A6"/>
    </w:rPr>
  </w:style>
  <w:style w:type="character" w:customStyle="1" w:styleId="70">
    <w:name w:val="标题 7 字符"/>
    <w:basedOn w:val="a1"/>
    <w:link w:val="7"/>
    <w:uiPriority w:val="9"/>
    <w:semiHidden/>
    <w:rsid w:val="00A10FD9"/>
    <w:rPr>
      <w:rFonts w:eastAsiaTheme="majorEastAsia" w:cstheme="majorBidi"/>
      <w:color w:val="595959" w:themeColor="text1" w:themeTint="A6"/>
    </w:rPr>
  </w:style>
  <w:style w:type="character" w:customStyle="1" w:styleId="80">
    <w:name w:val="标题 8 字符"/>
    <w:basedOn w:val="a1"/>
    <w:link w:val="8"/>
    <w:uiPriority w:val="9"/>
    <w:semiHidden/>
    <w:rsid w:val="00A10FD9"/>
    <w:rPr>
      <w:rFonts w:eastAsiaTheme="majorEastAsia" w:cstheme="majorBidi"/>
      <w:i/>
      <w:iCs/>
      <w:color w:val="272727" w:themeColor="text1" w:themeTint="D8"/>
    </w:rPr>
  </w:style>
  <w:style w:type="character" w:customStyle="1" w:styleId="90">
    <w:name w:val="标题 9 字符"/>
    <w:basedOn w:val="a1"/>
    <w:link w:val="9"/>
    <w:uiPriority w:val="9"/>
    <w:semiHidden/>
    <w:rsid w:val="00A10FD9"/>
    <w:rPr>
      <w:rFonts w:eastAsiaTheme="majorEastAsia" w:cstheme="majorBidi"/>
      <w:color w:val="272727" w:themeColor="text1" w:themeTint="D8"/>
    </w:rPr>
  </w:style>
  <w:style w:type="paragraph" w:styleId="aa">
    <w:name w:val="Block Text"/>
    <w:basedOn w:val="a0"/>
    <w:next w:val="a0"/>
    <w:uiPriority w:val="9"/>
    <w:unhideWhenUsed/>
    <w:qFormat/>
    <w:pPr>
      <w:spacing w:before="100" w:after="100"/>
      <w:ind w:left="480" w:right="480"/>
    </w:pPr>
  </w:style>
  <w:style w:type="paragraph" w:styleId="ab">
    <w:name w:val="footnote text"/>
    <w:basedOn w:val="a"/>
    <w:uiPriority w:val="9"/>
    <w:unhideWhenUsed/>
    <w:qFormat/>
  </w:style>
  <w:style w:type="paragraph" w:customStyle="1" w:styleId="FootnoteBlockText">
    <w:name w:val="Footnote Block Text"/>
    <w:basedOn w:val="ab"/>
    <w:next w:val="ab"/>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c">
    <w:name w:val="caption"/>
    <w:basedOn w:val="a"/>
    <w:link w:val="ad"/>
    <w:pPr>
      <w:spacing w:after="120"/>
    </w:pPr>
    <w:rPr>
      <w:i/>
    </w:rPr>
  </w:style>
  <w:style w:type="paragraph" w:customStyle="1" w:styleId="TableCaption">
    <w:name w:val="Table Caption"/>
    <w:basedOn w:val="ac"/>
    <w:pPr>
      <w:keepNext/>
    </w:pPr>
  </w:style>
  <w:style w:type="paragraph" w:customStyle="1" w:styleId="ImageCaption">
    <w:name w:val="Image Caption"/>
    <w:basedOn w:val="ac"/>
  </w:style>
  <w:style w:type="paragraph" w:customStyle="1" w:styleId="Figure">
    <w:name w:val="Figure"/>
    <w:basedOn w:val="a"/>
  </w:style>
  <w:style w:type="paragraph" w:customStyle="1" w:styleId="CaptionedFigure">
    <w:name w:val="Captioned Figure"/>
    <w:basedOn w:val="Figure"/>
    <w:pPr>
      <w:keepNext/>
    </w:pPr>
  </w:style>
  <w:style w:type="character" w:customStyle="1" w:styleId="ad">
    <w:name w:val="题注 字符"/>
    <w:basedOn w:val="a1"/>
    <w:link w:val="ac"/>
  </w:style>
  <w:style w:type="character" w:customStyle="1" w:styleId="VerbatimChar">
    <w:name w:val="Verbatim Char"/>
    <w:basedOn w:val="ad"/>
    <w:link w:val="SourceCode"/>
    <w:rPr>
      <w:rFonts w:ascii="Consolas" w:hAnsi="Consolas"/>
      <w:sz w:val="22"/>
    </w:rPr>
  </w:style>
  <w:style w:type="character" w:customStyle="1" w:styleId="SectionNumber">
    <w:name w:val="Section Number"/>
    <w:basedOn w:val="ad"/>
  </w:style>
  <w:style w:type="character" w:styleId="ae">
    <w:name w:val="footnote reference"/>
    <w:basedOn w:val="ad"/>
    <w:rPr>
      <w:vertAlign w:val="superscript"/>
    </w:rPr>
  </w:style>
  <w:style w:type="character" w:styleId="af">
    <w:name w:val="Hyperlink"/>
    <w:basedOn w:val="ad"/>
    <w:rPr>
      <w:color w:val="156082" w:themeColor="accent1"/>
    </w:rPr>
  </w:style>
  <w:style w:type="paragraph" w:styleId="TOC">
    <w:name w:val="TOC Heading"/>
    <w:basedOn w:val="1"/>
    <w:next w:val="a0"/>
    <w:uiPriority w:val="39"/>
    <w:unhideWhenUsed/>
    <w:qFormat/>
    <w:pPr>
      <w:spacing w:before="240" w:line="259" w:lineRule="auto"/>
      <w:outlineLvl w:val="9"/>
    </w:pPr>
  </w:style>
  <w:style w:type="paragraph" w:customStyle="1" w:styleId="SourceCode">
    <w:name w:val="Source Code"/>
    <w:basedOn w:val="a"/>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af0">
    <w:name w:val="header"/>
    <w:basedOn w:val="a"/>
    <w:link w:val="af1"/>
    <w:rsid w:val="00656FAF"/>
    <w:pPr>
      <w:tabs>
        <w:tab w:val="center" w:pos="4153"/>
        <w:tab w:val="right" w:pos="8306"/>
      </w:tabs>
      <w:snapToGrid w:val="0"/>
      <w:jc w:val="center"/>
    </w:pPr>
    <w:rPr>
      <w:sz w:val="18"/>
      <w:szCs w:val="18"/>
    </w:rPr>
  </w:style>
  <w:style w:type="character" w:customStyle="1" w:styleId="af1">
    <w:name w:val="页眉 字符"/>
    <w:basedOn w:val="a1"/>
    <w:link w:val="af0"/>
    <w:rsid w:val="00656FAF"/>
    <w:rPr>
      <w:sz w:val="18"/>
      <w:szCs w:val="18"/>
    </w:rPr>
  </w:style>
  <w:style w:type="paragraph" w:styleId="af2">
    <w:name w:val="footer"/>
    <w:basedOn w:val="a"/>
    <w:link w:val="af3"/>
    <w:rsid w:val="00656FAF"/>
    <w:pPr>
      <w:tabs>
        <w:tab w:val="center" w:pos="4153"/>
        <w:tab w:val="right" w:pos="8306"/>
      </w:tabs>
      <w:snapToGrid w:val="0"/>
    </w:pPr>
    <w:rPr>
      <w:sz w:val="18"/>
      <w:szCs w:val="18"/>
    </w:rPr>
  </w:style>
  <w:style w:type="character" w:customStyle="1" w:styleId="af3">
    <w:name w:val="页脚 字符"/>
    <w:basedOn w:val="a1"/>
    <w:link w:val="af2"/>
    <w:rsid w:val="00656FA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1915</Words>
  <Characters>10921</Characters>
  <Application>Microsoft Office Word</Application>
  <DocSecurity>0</DocSecurity>
  <Lines>91</Lines>
  <Paragraphs>25</Paragraphs>
  <ScaleCrop>false</ScaleCrop>
  <Company/>
  <LinksUpToDate>false</LinksUpToDate>
  <CharactersWithSpaces>12811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晨阳 朱</cp:lastModifiedBy>
  <cp:revision>3</cp:revision>
  <dcterms:created xsi:type="dcterms:W3CDTF">2026-07-22T07:33:00Z</dcterms:created>
  <dcterms:modified xsi:type="dcterms:W3CDTF">2026-07-22T07:40:00Z</dcterms:modified>
</cp:coreProperties>
</file>