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41F" w:rsidRPr="00BD01D9" w:rsidRDefault="00D82D89" w:rsidP="00BD01D9">
      <w:pPr>
        <w:rPr>
          <w:rFonts w:ascii="Times New Roman" w:hAnsi="Times New Roman" w:cs="Times New Roman"/>
          <w:b/>
          <w:sz w:val="22"/>
          <w:szCs w:val="22"/>
        </w:rPr>
      </w:pPr>
      <w:bookmarkStart w:id="0" w:name="supplementary-appendix"/>
      <w:r w:rsidRPr="00BD01D9">
        <w:rPr>
          <w:rFonts w:ascii="Times New Roman" w:hAnsi="Times New Roman" w:cs="Times New Roman"/>
          <w:b/>
          <w:sz w:val="22"/>
          <w:szCs w:val="22"/>
        </w:rPr>
        <w:t>Supplementary Appendix</w:t>
      </w:r>
    </w:p>
    <w:p w:rsidR="004A5E46" w:rsidRPr="00BD01D9" w:rsidRDefault="004A5E46" w:rsidP="00BD01D9">
      <w:pPr>
        <w:rPr>
          <w:rFonts w:ascii="Times New Roman" w:hAnsi="Times New Roman" w:cs="Times New Roman"/>
          <w:b/>
          <w:sz w:val="22"/>
          <w:szCs w:val="22"/>
        </w:rPr>
      </w:pPr>
    </w:p>
    <w:p w:rsidR="0048641F" w:rsidRPr="00BD01D9" w:rsidRDefault="007753D1" w:rsidP="00BD01D9">
      <w:pPr>
        <w:rPr>
          <w:rFonts w:ascii="Times New Roman" w:hAnsi="Times New Roman" w:cs="Times New Roman"/>
          <w:b/>
          <w:sz w:val="22"/>
          <w:szCs w:val="22"/>
        </w:rPr>
      </w:pPr>
      <w:r>
        <w:t>Pairing absolute and relative inequality measures for maternal and child health equity monitoring across 83 countries, 2010-2023: a cross-national ecological study</w:t>
      </w:r>
    </w:p>
    <w:p w:rsidR="004A5E46" w:rsidRPr="00BD01D9" w:rsidRDefault="004A5E46" w:rsidP="00BD01D9">
      <w:pPr>
        <w:rPr>
          <w:rFonts w:ascii="Times New Roman" w:hAnsi="Times New Roman" w:cs="Times New Roman"/>
          <w:b/>
          <w:sz w:val="22"/>
          <w:szCs w:val="22"/>
        </w:rPr>
      </w:pPr>
    </w:p>
    <w:p w:rsidR="0048641F" w:rsidRPr="00BD01D9" w:rsidRDefault="00D82D89" w:rsidP="00BD01D9">
      <w:pPr>
        <w:rPr>
          <w:rFonts w:ascii="Times New Roman" w:hAnsi="Times New Roman" w:cs="Times New Roman"/>
          <w:b/>
          <w:sz w:val="22"/>
          <w:szCs w:val="22"/>
        </w:rPr>
      </w:pPr>
      <w:bookmarkStart w:id="1" w:name="list-of-supplementary-items"/>
      <w:r w:rsidRPr="00BD01D9">
        <w:rPr>
          <w:rFonts w:ascii="Times New Roman" w:hAnsi="Times New Roman" w:cs="Times New Roman"/>
          <w:b/>
          <w:sz w:val="22"/>
          <w:szCs w:val="22"/>
        </w:rPr>
        <w:t>List of Supplementary Items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All items numbered in order of first citation in the main text (Methods → Results → Discussion).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180"/>
        <w:gridCol w:w="1181"/>
        <w:gridCol w:w="1378"/>
        <w:gridCol w:w="5117"/>
      </w:tblGrid>
      <w:tr w:rsidR="0048641F" w:rsidRPr="00BD01D9" w:rsidTr="006B1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Item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Type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Title</w:t>
            </w:r>
          </w:p>
        </w:tc>
        <w:tc>
          <w:tcPr>
            <w:tcW w:w="4576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First cited in main text</w:t>
            </w:r>
          </w:p>
        </w:tc>
      </w:tr>
      <w:tr w:rsidR="0048641F" w:rsidRPr="00BD01D9"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Fig S1</w:t>
            </w:r>
          </w:p>
        </w:tc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Figure</w:t>
            </w:r>
          </w:p>
        </w:tc>
        <w:tc>
          <w:tcPr>
            <w:tcW w:w="1232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Country selection flow diagram</w:t>
            </w:r>
          </w:p>
        </w:tc>
        <w:tc>
          <w:tcPr>
            <w:tcW w:w="457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Methods: Study sample; Results 3.1</w:t>
            </w:r>
          </w:p>
        </w:tc>
      </w:tr>
      <w:tr w:rsidR="0048641F" w:rsidRPr="00BD01D9"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Fig S2</w:t>
            </w:r>
          </w:p>
        </w:tc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Figure</w:t>
            </w:r>
          </w:p>
        </w:tc>
        <w:tc>
          <w:tcPr>
            <w:tcW w:w="1232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Absolute wealth-related gap by country and indicator (SII heatmap)</w:t>
            </w:r>
          </w:p>
        </w:tc>
        <w:tc>
          <w:tcPr>
            <w:tcW w:w="457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Results 3.2</w:t>
            </w:r>
          </w:p>
        </w:tc>
      </w:tr>
      <w:tr w:rsidR="0048641F" w:rsidRPr="00BD01D9"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Fig S3</w:t>
            </w:r>
          </w:p>
        </w:tc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Figure</w:t>
            </w:r>
          </w:p>
        </w:tc>
        <w:tc>
          <w:tcPr>
            <w:tcW w:w="1232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SII decomposition patterns by indicator and WHO region</w:t>
            </w:r>
          </w:p>
        </w:tc>
        <w:tc>
          <w:tcPr>
            <w:tcW w:w="457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Results 3.2</w:t>
            </w:r>
          </w:p>
        </w:tc>
      </w:tr>
      <w:tr w:rsidR="0048641F" w:rsidRPr="00BD01D9"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Fig S4</w:t>
            </w:r>
          </w:p>
        </w:tc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Figure</w:t>
            </w:r>
          </w:p>
        </w:tc>
        <w:tc>
          <w:tcPr>
            <w:tcW w:w="1232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P:R ratio category distribution by WHO region and income group</w:t>
            </w:r>
          </w:p>
        </w:tc>
        <w:tc>
          <w:tcPr>
            <w:tcW w:w="457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Results 3.3</w:t>
            </w:r>
          </w:p>
        </w:tc>
      </w:tr>
      <w:tr w:rsidR="0048641F" w:rsidRPr="00BD01D9"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Fig S5</w:t>
            </w:r>
          </w:p>
        </w:tc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Figure</w:t>
            </w:r>
          </w:p>
        </w:tc>
        <w:tc>
          <w:tcPr>
            <w:tcW w:w="1232" w:type="dxa"/>
          </w:tcPr>
          <w:p>
            <w:r>
              <w:t>Residence disparity by region and indicator</w:t>
            </w:r>
          </w:p>
        </w:tc>
        <w:tc>
          <w:tcPr>
            <w:tcW w:w="457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Results 3.3</w:t>
            </w:r>
          </w:p>
        </w:tc>
      </w:tr>
      <w:tr w:rsidR="0048641F" w:rsidRPr="00BD01D9"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Fig S6</w:t>
            </w:r>
          </w:p>
        </w:tc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Figure</w:t>
            </w:r>
          </w:p>
        </w:tc>
        <w:tc>
          <w:tcPr>
            <w:tcW w:w="1232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DTW trajectory clusters of CRCS</w:t>
            </w:r>
          </w:p>
        </w:tc>
        <w:tc>
          <w:tcPr>
            <w:tcW w:w="457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Results 3.4</w:t>
            </w:r>
          </w:p>
        </w:tc>
      </w:tr>
      <w:tr w:rsidR="0048641F" w:rsidRPr="00BD01D9"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Fig S7</w:t>
            </w:r>
          </w:p>
        </w:tc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Figure</w:t>
            </w:r>
          </w:p>
        </w:tc>
        <w:tc>
          <w:tcPr>
            <w:tcW w:w="1232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Post-2020 CRCS changes by income group</w:t>
            </w:r>
          </w:p>
        </w:tc>
        <w:tc>
          <w:tcPr>
            <w:tcW w:w="457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Results 3.4</w:t>
            </w:r>
          </w:p>
        </w:tc>
      </w:tr>
      <w:tr w:rsidR="0048641F" w:rsidRPr="00BD01D9"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Fig S8</w:t>
            </w:r>
          </w:p>
        </w:tc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Figure</w:t>
            </w:r>
          </w:p>
        </w:tc>
        <w:tc>
          <w:tcPr>
            <w:tcW w:w="1232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Exploratory structural correlates of P:R category deterioration</w:t>
            </w:r>
          </w:p>
        </w:tc>
        <w:tc>
          <w:tcPr>
            <w:tcW w:w="457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Results 3.5</w:t>
            </w:r>
          </w:p>
        </w:tc>
      </w:tr>
      <w:tr w:rsidR="0048641F" w:rsidRPr="00BD01D9"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 S1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</w:t>
            </w:r>
          </w:p>
        </w:tc>
        <w:tc>
          <w:tcPr>
            <w:tcW w:w="123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Health service coverage indicators: codes, definitions, and data sources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Methods: Indicators</w:t>
            </w:r>
          </w:p>
        </w:tc>
      </w:tr>
      <w:tr w:rsidR="0048641F" w:rsidRPr="00BD01D9"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 S2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</w:t>
            </w:r>
          </w:p>
        </w:tc>
        <w:tc>
          <w:tcPr>
            <w:tcW w:w="123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Country-level covariates: sources, missingness, and imputation strategy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Methods: Covariates</w:t>
            </w:r>
          </w:p>
        </w:tc>
      </w:tr>
      <w:tr w:rsidR="0048641F" w:rsidRPr="00BD01D9"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 S3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</w:t>
            </w:r>
          </w:p>
        </w:tc>
        <w:tc>
          <w:tcPr>
            <w:tcW w:w="123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 xml:space="preserve">Complete list of 83 study countries with sub-analysis </w:t>
            </w:r>
            <w:r w:rsidRPr="00BD01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participation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Methods: Study sample; Results §3.1</w:t>
            </w:r>
          </w:p>
        </w:tc>
      </w:tr>
      <w:tr w:rsidR="0048641F" w:rsidRPr="00BD01D9"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 S4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</w:t>
            </w:r>
          </w:p>
        </w:tc>
        <w:tc>
          <w:tcPr>
            <w:tcW w:w="123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SII decomposition results by indicator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Methods: SII decomposition; Results §3.2</w:t>
            </w:r>
          </w:p>
        </w:tc>
      </w:tr>
      <w:tr w:rsidR="0048641F" w:rsidRPr="00BD01D9"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 S5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</w:t>
            </w:r>
          </w:p>
        </w:tc>
        <w:tc>
          <w:tcPr>
            <w:tcW w:w="1232" w:type="dxa"/>
          </w:tcPr>
          <w:p>
            <w:r>
              <w:t>Sex-based disparity by region and indicator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Methods: Fairness metrics; Results §3.3</w:t>
            </w:r>
          </w:p>
        </w:tc>
      </w:tr>
      <w:tr w:rsidR="0048641F" w:rsidRPr="00BD01D9"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 S6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</w:t>
            </w:r>
          </w:p>
        </w:tc>
        <w:tc>
          <w:tcPr>
            <w:tcW w:w="123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CRCS construction and weighting sensitivity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Methods: CES and trajectory</w:t>
            </w:r>
          </w:p>
        </w:tc>
      </w:tr>
      <w:tr w:rsidR="0048641F" w:rsidRPr="00BD01D9"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 S7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</w:t>
            </w:r>
          </w:p>
        </w:tc>
        <w:tc>
          <w:tcPr>
            <w:tcW w:w="123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Association-model specification and diagnostics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Methods: Association analysis</w:t>
            </w:r>
          </w:p>
        </w:tc>
      </w:tr>
      <w:tr w:rsidR="0048641F" w:rsidRPr="00BD01D9"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 S8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</w:t>
            </w:r>
          </w:p>
        </w:tc>
        <w:tc>
          <w:tcPr>
            <w:tcW w:w="123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Full pooled structural-correlate results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Methods: Association analysis; Results §3.5</w:t>
            </w:r>
          </w:p>
        </w:tc>
      </w:tr>
      <w:tr w:rsidR="0048641F" w:rsidRPr="00BD01D9"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 S9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</w:t>
            </w:r>
          </w:p>
        </w:tc>
        <w:tc>
          <w:tcPr>
            <w:tcW w:w="123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 xml:space="preserve">ITS-eligible countries: characteristics and post-pandemic equity </w:t>
            </w:r>
            <w:r w:rsidRPr="00BD01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change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Results §3.1; §3.4</w:t>
            </w:r>
          </w:p>
        </w:tc>
      </w:tr>
      <w:tr w:rsidR="0048641F" w:rsidRPr="00BD01D9"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 S10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</w:t>
            </w:r>
          </w:p>
        </w:tc>
        <w:tc>
          <w:tcPr>
            <w:tcW w:w="123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Operational concordance: P:R ratio versus RII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Results §3.3</w:t>
            </w:r>
          </w:p>
        </w:tc>
      </w:tr>
      <w:tr w:rsidR="0048641F" w:rsidRPr="00BD01D9">
        <w:tc>
          <w:tcPr>
            <w:tcW w:w="1056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 S11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Table</w:t>
            </w:r>
          </w:p>
        </w:tc>
        <w:tc>
          <w:tcPr>
            <w:tcW w:w="123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Double-burden classification for all 83 countries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Results §3.3</w:t>
            </w:r>
          </w:p>
        </w:tc>
      </w:tr>
      <w:tr w:rsidR="0048641F" w:rsidRPr="00BD01D9"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Text S1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Text</w:t>
            </w:r>
          </w:p>
        </w:tc>
        <w:tc>
          <w:tcPr>
            <w:tcW w:w="123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Missing-not-at-random (MNAR) sensitivity analysis for Gini and literacy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Methods: Covariates; Discussion (Limitations)</w:t>
            </w:r>
          </w:p>
        </w:tc>
      </w:tr>
      <w:tr w:rsidR="0048641F" w:rsidRPr="00BD01D9"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Text S2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Text</w:t>
            </w:r>
          </w:p>
        </w:tc>
        <w:tc>
          <w:tcPr>
            <w:tcW w:w="123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Threshold sensitivity analysis for P:R ratio classification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Methods: Fairness metrics; Results §3.3</w:t>
            </w:r>
          </w:p>
        </w:tc>
      </w:tr>
      <w:tr w:rsidR="0048641F" w:rsidRPr="00BD01D9"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Text S3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Text</w:t>
            </w:r>
          </w:p>
        </w:tc>
        <w:tc>
          <w:tcPr>
            <w:tcW w:w="123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Outlier sensitivity analysis for SII extreme values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Methods: Double-burden; Results §3.3</w:t>
            </w:r>
          </w:p>
        </w:tc>
      </w:tr>
      <w:tr w:rsidR="0048641F" w:rsidRPr="00BD01D9"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Text S4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Text</w:t>
            </w:r>
          </w:p>
        </w:tc>
        <w:tc>
          <w:tcPr>
            <w:tcW w:w="123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DTW trajectory cluster stability: bootstrap Jaccard analysis for k=2–4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Methods: CES and trajectory; Results §3.4</w:t>
            </w:r>
          </w:p>
        </w:tc>
      </w:tr>
      <w:tr w:rsidR="0048641F" w:rsidRPr="00BD01D9"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Text S5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Text</w:t>
            </w:r>
          </w:p>
        </w:tc>
        <w:tc>
          <w:tcPr>
            <w:tcW w:w="123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 xml:space="preserve">Sensitivity of ITS results to AR(1) correlation </w:t>
            </w:r>
            <w:r w:rsidRPr="00BD01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structure specification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Methods: ITS analysis</w:t>
            </w:r>
          </w:p>
        </w:tc>
      </w:tr>
      <w:tr w:rsidR="0048641F" w:rsidRPr="00BD01D9"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Text S6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Text</w:t>
            </w:r>
          </w:p>
        </w:tc>
        <w:tc>
          <w:tcPr>
            <w:tcW w:w="123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Complete-case sensitivity analysis for association analysis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Methods: Association analysis; Results §3.5</w:t>
            </w:r>
          </w:p>
        </w:tc>
      </w:tr>
      <w:tr w:rsidR="0048641F" w:rsidRPr="00BD01D9"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Text S7</w:t>
            </w:r>
          </w:p>
        </w:tc>
        <w:tc>
          <w:tcPr>
            <w:tcW w:w="105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Text</w:t>
            </w:r>
          </w:p>
        </w:tc>
        <w:tc>
          <w:tcPr>
            <w:tcW w:w="123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Sensitivity analysis: covariate values assigned at endpoint survey year</w:t>
            </w:r>
          </w:p>
        </w:tc>
        <w:tc>
          <w:tcPr>
            <w:tcW w:w="45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Methods: Association analysis</w:t>
            </w:r>
          </w:p>
        </w:tc>
      </w:tr>
      <w:tr w:rsidR="0048641F" w:rsidRPr="00BD01D9" w:rsidTr="006B18EE">
        <w:tc>
          <w:tcPr>
            <w:tcW w:w="1056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Text S8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Text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Theoretical foundations of the fairness-informed equity framework</w:t>
            </w: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Discussion (paragraph 2)</w:t>
            </w:r>
          </w:p>
        </w:tc>
      </w:tr>
    </w:tbl>
    <w:p w:rsidR="0048641F" w:rsidRPr="00BD01D9" w:rsidRDefault="0048641F" w:rsidP="00BD01D9">
      <w:pPr>
        <w:rPr>
          <w:rFonts w:ascii="Times New Roman" w:hAnsi="Times New Roman" w:cs="Times New Roman"/>
          <w:sz w:val="22"/>
          <w:szCs w:val="22"/>
        </w:rPr>
      </w:pPr>
    </w:p>
    <w:p w:rsidR="006B18EE" w:rsidRPr="00BD01D9" w:rsidRDefault="006B18EE" w:rsidP="00BD01D9">
      <w:pPr>
        <w:rPr>
          <w:rFonts w:ascii="Times New Roman" w:hAnsi="Times New Roman" w:cs="Times New Roman"/>
          <w:sz w:val="22"/>
          <w:szCs w:val="22"/>
        </w:rPr>
        <w:sectPr w:rsidR="006B18EE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2" w:name="supplementary-figures"/>
      <w:bookmarkEnd w:id="1"/>
    </w:p>
    <w:p w:rsidR="0048641F" w:rsidRPr="00BD01D9" w:rsidRDefault="00D82D89" w:rsidP="00BD01D9">
      <w:pPr>
        <w:rPr>
          <w:rFonts w:ascii="Times New Roman" w:hAnsi="Times New Roman" w:cs="Times New Roman"/>
          <w:b/>
          <w:sz w:val="22"/>
          <w:szCs w:val="22"/>
        </w:rPr>
      </w:pPr>
      <w:r w:rsidRPr="00BD01D9">
        <w:rPr>
          <w:rFonts w:ascii="Times New Roman" w:hAnsi="Times New Roman" w:cs="Times New Roman"/>
          <w:b/>
          <w:sz w:val="22"/>
          <w:szCs w:val="22"/>
        </w:rPr>
        <w:lastRenderedPageBreak/>
        <w:t>Supplementary Figures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Fig S1 — Country selection flow diagram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Title: Selection of countries for the analysis of maternal and child health equity, 2010–2023</w:t>
      </w:r>
    </w:p>
    <w:p w:rsidR="006B18EE" w:rsidRPr="00BD01D9" w:rsidRDefault="004A5E46" w:rsidP="00BD01D9">
      <w:pPr>
        <w:jc w:val="center"/>
        <w:rPr>
          <w:rFonts w:ascii="Times New Roman" w:hAnsi="Times New Roman" w:cs="Times New Roman"/>
          <w:sz w:val="22"/>
          <w:szCs w:val="22"/>
        </w:rPr>
      </w:pPr>
      <w:r>
        <w:drawing>
          <wp:inline xmlns:a="http://schemas.openxmlformats.org/drawingml/2006/main" xmlns:pic="http://schemas.openxmlformats.org/drawingml/2006/picture">
            <wp:extent cx="5943600" cy="3672179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S1_country_selection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2179"/>
                    </a:xfrm>
                    <a:prstGeom prst="rect"/>
                  </pic:spPr>
                </pic:pic>
              </a:graphicData>
            </a:graphic>
          </wp:inline>
        </w:drawing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Description: Flow diagram showing country selection from WHO HIDR to the final 83-country paired analysis, with corrected sample sizes for P:R ratio, SII, DTW, ITS, and structural-correlate analyses.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lastRenderedPageBreak/>
        <w:t>Note: HIDR = WHO Health Inequality Data Repository; DTW = Dynamic Time Warping; ITS = Interrupted Time Series; SII = Slope Index of Inequality.</w:t>
      </w:r>
    </w:p>
    <w:p w:rsidR="006B18EE" w:rsidRPr="00BD01D9" w:rsidRDefault="006B18EE" w:rsidP="00BD01D9">
      <w:pPr>
        <w:rPr>
          <w:rFonts w:ascii="Times New Roman" w:hAnsi="Times New Roman" w:cs="Times New Roman"/>
          <w:sz w:val="22"/>
          <w:szCs w:val="22"/>
        </w:rPr>
        <w:sectPr w:rsidR="006B18EE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3" w:name="Xbe82610a77371f2494dbd91d6fdb4ca6a358865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lastRenderedPageBreak/>
        <w:t>Fig S2 - SII heatmap by country and indicator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Title: Absolute wealth-related gap by country and indicator</w:t>
      </w:r>
    </w:p>
    <w:p w:rsidR="004A5E46" w:rsidRPr="00BD01D9" w:rsidRDefault="00511FDE" w:rsidP="00BD01D9">
      <w:pPr>
        <w:jc w:val="center"/>
        <w:rPr>
          <w:rFonts w:ascii="Times New Roman" w:hAnsi="Times New Roman" w:cs="Times New Roman"/>
          <w:sz w:val="22"/>
          <w:szCs w:val="22"/>
        </w:rPr>
      </w:pPr>
      <w:r>
        <w:drawing>
          <wp:inline xmlns:a="http://schemas.openxmlformats.org/drawingml/2006/main" xmlns:pic="http://schemas.openxmlformats.org/drawingml/2006/picture">
            <wp:extent cx="5486400" cy="6779408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S2_absolute_SII_heatmap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9408"/>
                    </a:xfrm>
                    <a:prstGeom prst="rect"/>
                  </pic:spPr>
                </pic:pic>
              </a:graphicData>
            </a:graphic>
          </wp:inline>
        </w:drawing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Description: Heatmap showing the most recent absolute SII magnitude (|SII|) for each available country-indicator combination. Higher values indicate larger wealth-related absolute gaps; values above 65 percentage points are colour-capped, and missing combinations are shown separately.</w:t>
      </w:r>
    </w:p>
    <w:p w:rsidR="006B18EE" w:rsidRPr="00BD01D9" w:rsidRDefault="006B18EE" w:rsidP="00BD01D9">
      <w:pPr>
        <w:rPr>
          <w:rFonts w:ascii="Times New Roman" w:hAnsi="Times New Roman" w:cs="Times New Roman"/>
          <w:sz w:val="22"/>
          <w:szCs w:val="22"/>
        </w:rPr>
        <w:sectPr w:rsidR="006B18EE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4" w:name="Xfad0f541bcda05b9e8c6ad44656e2ab42ef4756"/>
      <w:bookmarkEnd w:id="3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lastRenderedPageBreak/>
        <w:t>Fig S3 - SII decomposition patterns by indicator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Title: Distribution of SII decomposition patterns (A-D) by indicator and WHO region</w:t>
      </w:r>
    </w:p>
    <w:p w:rsidR="004A5E46" w:rsidRPr="00BD01D9" w:rsidRDefault="00511FDE" w:rsidP="00BD01D9">
      <w:pPr>
        <w:jc w:val="center"/>
        <w:rPr>
          <w:rFonts w:ascii="Times New Roman" w:hAnsi="Times New Roman" w:cs="Times New Roman"/>
          <w:sz w:val="22"/>
          <w:szCs w:val="22"/>
        </w:rPr>
      </w:pPr>
      <w:r>
        <w:drawing>
          <wp:inline xmlns:a="http://schemas.openxmlformats.org/drawingml/2006/main" xmlns:pic="http://schemas.openxmlformats.org/drawingml/2006/picture">
            <wp:extent cx="5669280" cy="583594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S3_SII_decomposition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5835940"/>
                    </a:xfrm>
                    <a:prstGeom prst="rect"/>
                  </pic:spPr>
                </pic:pic>
              </a:graphicData>
            </a:graphic>
          </wp:inline>
        </w:drawing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lastRenderedPageBreak/>
        <w:t>Description: Stacked bar showing the proportion of country-indicator pairs in each decomposition pattern: A = True Convergence; B = Ceiling Effect; C = Gap Expansion; D = Parallel Improvement.</w:t>
      </w:r>
    </w:p>
    <w:p w:rsidR="006B18EE" w:rsidRPr="00BD01D9" w:rsidRDefault="006B18EE" w:rsidP="00BD01D9">
      <w:pPr>
        <w:rPr>
          <w:rFonts w:ascii="Times New Roman" w:hAnsi="Times New Roman" w:cs="Times New Roman"/>
          <w:sz w:val="22"/>
          <w:szCs w:val="22"/>
        </w:rPr>
        <w:sectPr w:rsidR="006B18EE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5" w:name="X12524f6e65c50ebb7b59d4b19d3b4921c7bf2f5"/>
      <w:bookmarkEnd w:id="4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Fig S4 - P:R ratio classification distribution by WHO region and income group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Title: Distribution of P:R ratio categories by WHO region and World Bank income group</w:t>
      </w:r>
    </w:p>
    <w:p w:rsidR="004A5E46" w:rsidRPr="00BD01D9" w:rsidRDefault="00927583" w:rsidP="00BD01D9">
      <w:pPr>
        <w:jc w:val="center"/>
        <w:rPr>
          <w:rFonts w:ascii="Times New Roman" w:hAnsi="Times New Roman" w:cs="Times New Roman"/>
          <w:sz w:val="22"/>
          <w:szCs w:val="22"/>
        </w:rPr>
      </w:pPr>
      <w:r>
        <w:drawing>
          <wp:inline xmlns:a="http://schemas.openxmlformats.org/drawingml/2006/main" xmlns:pic="http://schemas.openxmlformats.org/drawingml/2006/picture">
            <wp:extent cx="5943600" cy="3216118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S4_PR_distribution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6118"/>
                    </a:xfrm>
                    <a:prstGeom prst="rect"/>
                  </pic:spPr>
                </pic:pic>
              </a:graphicData>
            </a:graphic>
          </wp:inline>
        </w:drawing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Description: Stacked bars show Equitable, Moderate, and Severe P:R categories across 1,651 country-indicator-year observations.</w:t>
      </w:r>
    </w:p>
    <w:p w:rsidR="006B18EE" w:rsidRPr="00BD01D9" w:rsidRDefault="006B18EE" w:rsidP="00BD01D9">
      <w:pPr>
        <w:rPr>
          <w:rFonts w:ascii="Times New Roman" w:hAnsi="Times New Roman" w:cs="Times New Roman"/>
          <w:sz w:val="22"/>
          <w:szCs w:val="22"/>
        </w:rPr>
        <w:sectPr w:rsidR="006B18EE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6" w:name="Xcc794b8868e6ae18677f23ceeede97bd85951d4"/>
      <w:bookmarkEnd w:id="5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Fig S5 - Direction-harmonised residence disparity by region and indicator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Title: Direction-harmonised rural-urban disparity in health service coverage by WHO region and indicator, 2010-2023</w:t>
      </w:r>
    </w:p>
    <w:p w:rsidR="004A5E46" w:rsidRPr="00BD01D9" w:rsidRDefault="00927583" w:rsidP="00BD01D9">
      <w:pPr>
        <w:jc w:val="center"/>
        <w:rPr>
          <w:rFonts w:ascii="Times New Roman" w:hAnsi="Times New Roman" w:cs="Times New Roman"/>
          <w:sz w:val="22"/>
          <w:szCs w:val="22"/>
        </w:rPr>
      </w:pPr>
      <w:r>
        <w:drawing>
          <wp:inline xmlns:a="http://schemas.openxmlformats.org/drawingml/2006/main" xmlns:pic="http://schemas.openxmlformats.org/drawingml/2006/picture">
            <wp:extent cx="5943600" cy="34974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S5_residence_disparity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7455"/>
                    </a:xfrm>
                    <a:prstGeom prst="rect"/>
                  </pic:spPr>
                </pic:pic>
              </a:graphicData>
            </a:graphic>
          </wp:inline>
        </w:drawing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Description: Stacked bars show Equitable, Moderate, and Severe residence categories across 1,684 observations from the final 83-country sample. Ratios were rural/urban for favourable indicators and urban/rural for ZeroDose, so values below 0.80 consistently indicate rural disadvantage.</w:t>
      </w:r>
    </w:p>
    <w:p w:rsidR="006B18EE" w:rsidRPr="00BD01D9" w:rsidRDefault="006B18EE" w:rsidP="00BD01D9">
      <w:pPr>
        <w:rPr>
          <w:rFonts w:ascii="Times New Roman" w:hAnsi="Times New Roman" w:cs="Times New Roman"/>
          <w:sz w:val="22"/>
          <w:szCs w:val="22"/>
        </w:rPr>
        <w:sectPr w:rsidR="006B18EE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7" w:name="Xb33ee62e55cd157452968f330c0ed272ae685d2"/>
      <w:bookmarkEnd w:id="6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Fig S6 - Dynamic time-warping trajectory clusters of CRCS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Title: Dynamic time-warping trajectory clusters of the composite relative coverage score, 2010-2023</w:t>
      </w:r>
    </w:p>
    <w:p w:rsidR="004A5E46" w:rsidRPr="00BD01D9" w:rsidRDefault="00BD01D9" w:rsidP="00BD01D9">
      <w:pPr>
        <w:jc w:val="center"/>
        <w:rPr>
          <w:rFonts w:ascii="Times New Roman" w:hAnsi="Times New Roman" w:cs="Times New Roman"/>
          <w:sz w:val="22"/>
          <w:szCs w:val="22"/>
        </w:rPr>
      </w:pPr>
      <w:r>
        <w:drawing>
          <wp:inline xmlns:a="http://schemas.openxmlformats.org/drawingml/2006/main" xmlns:pic="http://schemas.openxmlformats.org/drawingml/2006/picture">
            <wp:extent cx="5943600" cy="3145044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S6_DTW_trajectorie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044"/>
                    </a:xfrm>
                    <a:prstGeom prst="rect"/>
                  </pic:spPr>
                </pic:pic>
              </a:graphicData>
            </a:graphic>
          </wp:inline>
        </w:drawing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Description: DTW k-medoids clustering of CRCS trajectories in 35 countries with at least three valid survey years. The selected two-cluster solution had mean silhouette 0.604 and mean bootstrap Jaccard 0.948.</w:t>
      </w:r>
    </w:p>
    <w:p w:rsidR="00927583" w:rsidRPr="00BD01D9" w:rsidRDefault="00D82D89" w:rsidP="00BD01D9">
      <w:pPr>
        <w:rPr>
          <w:rFonts w:ascii="Times New Roman" w:hAnsi="Times New Roman" w:cs="Times New Roman"/>
          <w:sz w:val="22"/>
          <w:szCs w:val="22"/>
        </w:rPr>
        <w:sectPr w:rsidR="00927583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r>
        <w:t>Note: CRCS = composite relative coverage score; DTW = dynamic time warping.</w:t>
      </w:r>
    </w:p>
    <w:p w:rsidR="002C7C8F" w:rsidRPr="00BD01D9" w:rsidRDefault="000C6690" w:rsidP="00BD01D9">
      <w:pPr>
        <w:rPr>
          <w:rFonts w:ascii="Times New Roman" w:hAnsi="Times New Roman" w:cs="Times New Roman"/>
          <w:sz w:val="22"/>
          <w:szCs w:val="22"/>
        </w:rPr>
      </w:pPr>
      <w:r>
        <w:t>Fig S7 - Exploratory post-2020 CRCS changes by income group</w:t>
      </w:r>
    </w:p>
    <w:p w:rsidR="002C7C8F" w:rsidRPr="00BD01D9" w:rsidRDefault="000C6690" w:rsidP="00BD01D9">
      <w:pPr>
        <w:rPr>
          <w:rFonts w:ascii="Times New Roman" w:hAnsi="Times New Roman" w:cs="Times New Roman"/>
          <w:sz w:val="22"/>
          <w:szCs w:val="22"/>
        </w:rPr>
      </w:pPr>
      <w:r>
        <w:t>Title: Interrupted time-series estimate and observed post-2020 changes by income group</w:t>
      </w:r>
    </w:p>
    <w:p w:rsidR="000C6690" w:rsidRPr="00BD01D9" w:rsidRDefault="000C6690" w:rsidP="00BD01D9">
      <w:pPr>
        <w:jc w:val="center"/>
        <w:rPr>
          <w:rFonts w:ascii="Times New Roman" w:hAnsi="Times New Roman" w:cs="Times New Roman"/>
          <w:sz w:val="22"/>
          <w:szCs w:val="22"/>
        </w:rPr>
      </w:pPr>
      <w:r>
        <w:drawing>
          <wp:inline xmlns:a="http://schemas.openxmlformats.org/drawingml/2006/main" xmlns:pic="http://schemas.openxmlformats.org/drawingml/2006/picture">
            <wp:extent cx="5943600" cy="2866669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S7_ITS_incom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6669"/>
                    </a:xfrm>
                    <a:prstGeom prst="rect"/>
                  </pic:spPr>
                </pic:pic>
              </a:graphicData>
            </a:graphic>
          </wp:inline>
        </w:drawing>
      </w:r>
    </w:p>
    <w:p w:rsidR="002C7C8F" w:rsidRPr="00BD01D9" w:rsidRDefault="000C6690" w:rsidP="00BD01D9">
      <w:pPr>
        <w:rPr>
          <w:rFonts w:ascii="Times New Roman" w:hAnsi="Times New Roman" w:cs="Times New Roman"/>
          <w:sz w:val="22"/>
          <w:szCs w:val="22"/>
        </w:rPr>
      </w:pPr>
      <w:r>
        <w:t>Description: The overall ITS level-change estimate was 0.014 (95% CI -0.052 to 0.080; p=0.673). Points and intervals show income-group medians and interquartile ranges of observed changes; subgroup sizes were LIC n=3, LMIC n=15, and UMIC n=2.</w:t>
      </w:r>
    </w:p>
    <w:p w:rsidR="00BD01D9" w:rsidRPr="00BD01D9" w:rsidRDefault="00BD01D9" w:rsidP="00BD01D9">
      <w:pPr>
        <w:rPr>
          <w:rFonts w:ascii="Times New Roman" w:hAnsi="Times New Roman" w:cs="Times New Roman"/>
          <w:sz w:val="22"/>
          <w:szCs w:val="22"/>
        </w:rPr>
        <w:sectPr w:rsidR="00BD01D9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</w:p>
    <w:p w:rsidR="002C7C8F" w:rsidRPr="00BD01D9" w:rsidRDefault="000C6690" w:rsidP="00BD01D9">
      <w:pPr>
        <w:rPr>
          <w:rFonts w:ascii="Times New Roman" w:hAnsi="Times New Roman" w:cs="Times New Roman"/>
          <w:sz w:val="22"/>
          <w:szCs w:val="22"/>
        </w:rPr>
      </w:pPr>
      <w:r>
        <w:t>Fig S8 - Exploratory structural correlates of P:R category deterioration</w:t>
      </w:r>
    </w:p>
    <w:p w:rsidR="002C7C8F" w:rsidRPr="00BD01D9" w:rsidRDefault="000C6690" w:rsidP="00BD01D9">
      <w:pPr>
        <w:rPr>
          <w:rFonts w:ascii="Times New Roman" w:hAnsi="Times New Roman" w:cs="Times New Roman"/>
          <w:sz w:val="22"/>
          <w:szCs w:val="22"/>
        </w:rPr>
      </w:pPr>
      <w:r>
        <w:t>Title: Pooled logistic regression with country-clustered robust covariance</w:t>
      </w:r>
    </w:p>
    <w:p w:rsidR="00BD01D9" w:rsidRPr="00BD01D9" w:rsidRDefault="00BD01D9" w:rsidP="00BD01D9">
      <w:pPr>
        <w:jc w:val="center"/>
        <w:rPr>
          <w:rFonts w:ascii="Times New Roman" w:hAnsi="Times New Roman" w:cs="Times New Roman"/>
          <w:sz w:val="22"/>
          <w:szCs w:val="22"/>
        </w:rPr>
      </w:pPr>
      <w:r>
        <w:drawing>
          <wp:inline xmlns:a="http://schemas.openxmlformats.org/drawingml/2006/main" xmlns:pic="http://schemas.openxmlformats.org/drawingml/2006/picture">
            <wp:extent cx="5943600" cy="4021628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S8_cluster_robust_forest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1628"/>
                    </a:xfrm>
                    <a:prstGeom prst="rect"/>
                  </pic:spPr>
                </pic:pic>
              </a:graphicData>
            </a:graphic>
          </wp:inline>
        </w:drawing>
      </w:r>
    </w:p>
    <w:p w:rsidR="002C7C8F" w:rsidRPr="00BD01D9" w:rsidRDefault="000C6690" w:rsidP="00BD01D9">
      <w:pPr>
        <w:rPr>
          <w:rFonts w:ascii="Times New Roman" w:hAnsi="Times New Roman" w:cs="Times New Roman"/>
          <w:sz w:val="22"/>
          <w:szCs w:val="22"/>
        </w:rPr>
      </w:pPr>
      <w:r>
        <w:t>Description: Odds ratios and 95% confidence intervals from 20 imputed datasets, combined using Rubin's rules. Models used indicator fixed effects and country-clustered HC0 covariance. Urbanisation was the only FDR-significant association.</w:t>
      </w:r>
    </w:p>
    <w:p w:rsidR="00BD01D9" w:rsidRPr="00BD01D9" w:rsidRDefault="00BD01D9" w:rsidP="00BD01D9">
      <w:pPr>
        <w:rPr>
          <w:rFonts w:ascii="Times New Roman" w:hAnsi="Times New Roman" w:cs="Times New Roman"/>
          <w:sz w:val="22"/>
          <w:szCs w:val="22"/>
        </w:rPr>
        <w:sectPr w:rsidR="00BD01D9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</w:p>
    <w:p w:rsidR="006B18EE" w:rsidRPr="00BD01D9" w:rsidRDefault="006B18EE" w:rsidP="00BD01D9">
      <w:pPr>
        <w:rPr>
          <w:rFonts w:ascii="Times New Roman" w:hAnsi="Times New Roman" w:cs="Times New Roman"/>
          <w:sz w:val="22"/>
          <w:szCs w:val="22"/>
        </w:rPr>
        <w:sectPr w:rsidR="006B18EE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8" w:name="supplementary-tables"/>
      <w:bookmarkEnd w:id="2"/>
      <w:bookmarkEnd w:id="7"/>
    </w:p>
    <w:p w:rsidR="0048641F" w:rsidRPr="00BD01D9" w:rsidRDefault="00D82D89" w:rsidP="00BD01D9">
      <w:pPr>
        <w:rPr>
          <w:rFonts w:ascii="Times New Roman" w:hAnsi="Times New Roman" w:cs="Times New Roman"/>
          <w:b/>
          <w:sz w:val="22"/>
          <w:szCs w:val="22"/>
        </w:rPr>
      </w:pPr>
      <w:r w:rsidRPr="00BD01D9">
        <w:rPr>
          <w:rFonts w:ascii="Times New Roman" w:hAnsi="Times New Roman" w:cs="Times New Roman"/>
          <w:b/>
          <w:sz w:val="22"/>
          <w:szCs w:val="22"/>
        </w:rPr>
        <w:lastRenderedPageBreak/>
        <w:t>Supplementary Tables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Table S1 — Health service coverage indicators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Title: Definitions, HIDR codes, and measurement characteristics of the eight health service coverage indicators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24"/>
        <w:gridCol w:w="1188"/>
        <w:gridCol w:w="1728"/>
        <w:gridCol w:w="1188"/>
        <w:gridCol w:w="1188"/>
        <w:gridCol w:w="1620"/>
        <w:gridCol w:w="1620"/>
      </w:tblGrid>
      <w:tr w:rsidR="0048641F" w:rsidRPr="00BD01D9" w:rsidTr="006B1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89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#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Short name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Full definition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HIDR code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HIDR file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Indicator type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Survey period</w:t>
            </w:r>
          </w:p>
        </w:tc>
      </w:tr>
      <w:tr w:rsidR="0048641F" w:rsidRPr="00BD01D9">
        <w:tc>
          <w:tcPr>
            <w:tcW w:w="28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ANC4+</w:t>
            </w:r>
          </w:p>
        </w:tc>
        <w:tc>
          <w:tcPr>
            <w:tcW w:w="154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Proportion of women aged 15–49 with a live birth who attended ≥4 antenatal care visits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RH_ANCN_W_N4P_2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RMNCH</w:t>
            </w:r>
          </w:p>
        </w:tc>
        <w:tc>
          <w:tcPr>
            <w:tcW w:w="144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Favourable</w:t>
            </w:r>
            <w:proofErr w:type="spellEnd"/>
          </w:p>
        </w:tc>
        <w:tc>
          <w:tcPr>
            <w:tcW w:w="144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2010–2023</w:t>
            </w:r>
          </w:p>
        </w:tc>
      </w:tr>
      <w:tr w:rsidR="0048641F" w:rsidRPr="00BD01D9">
        <w:tc>
          <w:tcPr>
            <w:tcW w:w="28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SBA</w:t>
            </w:r>
          </w:p>
        </w:tc>
        <w:tc>
          <w:tcPr>
            <w:tcW w:w="154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Proportion of live births attended by a skilled birth attendant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RH_DELA_C_SKP_2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RMNCH</w:t>
            </w:r>
          </w:p>
        </w:tc>
        <w:tc>
          <w:tcPr>
            <w:tcW w:w="144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Favourable</w:t>
            </w:r>
            <w:proofErr w:type="spellEnd"/>
          </w:p>
        </w:tc>
        <w:tc>
          <w:tcPr>
            <w:tcW w:w="144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2010–2023</w:t>
            </w:r>
          </w:p>
        </w:tc>
      </w:tr>
      <w:tr w:rsidR="0048641F" w:rsidRPr="00BD01D9">
        <w:tc>
          <w:tcPr>
            <w:tcW w:w="28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PNC</w:t>
            </w:r>
          </w:p>
        </w:tc>
        <w:tc>
          <w:tcPr>
            <w:tcW w:w="154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Proportion of women who received a postnatal care check within 2 days of delivery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RH_PCMT_W_DY2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RMNCH</w:t>
            </w:r>
          </w:p>
        </w:tc>
        <w:tc>
          <w:tcPr>
            <w:tcW w:w="144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Favourable</w:t>
            </w:r>
            <w:proofErr w:type="spellEnd"/>
          </w:p>
        </w:tc>
        <w:tc>
          <w:tcPr>
            <w:tcW w:w="144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2010–2023</w:t>
            </w:r>
          </w:p>
        </w:tc>
      </w:tr>
      <w:tr w:rsidR="0048641F" w:rsidRPr="00BD01D9">
        <w:tc>
          <w:tcPr>
            <w:tcW w:w="28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ORS</w:t>
            </w:r>
          </w:p>
        </w:tc>
        <w:tc>
          <w:tcPr>
            <w:tcW w:w="154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 xml:space="preserve">Proportion of children under 5 with </w:t>
            </w:r>
            <w:proofErr w:type="spellStart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diarrhoea</w:t>
            </w:r>
            <w:proofErr w:type="spellEnd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 xml:space="preserve"> who received oral rehydration salts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CH_DIAT_C_ORS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RMNCH</w:t>
            </w:r>
          </w:p>
        </w:tc>
        <w:tc>
          <w:tcPr>
            <w:tcW w:w="144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Favourable</w:t>
            </w:r>
            <w:proofErr w:type="spellEnd"/>
          </w:p>
        </w:tc>
        <w:tc>
          <w:tcPr>
            <w:tcW w:w="144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2010–2023</w:t>
            </w:r>
          </w:p>
        </w:tc>
      </w:tr>
      <w:tr w:rsidR="0048641F" w:rsidRPr="00BD01D9">
        <w:tc>
          <w:tcPr>
            <w:tcW w:w="28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DHF</w:t>
            </w:r>
          </w:p>
        </w:tc>
        <w:tc>
          <w:tcPr>
            <w:tcW w:w="154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Proportion of live births delivered in a health facility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RH_DELP_C_DHF_2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RMNCH</w:t>
            </w:r>
          </w:p>
        </w:tc>
        <w:tc>
          <w:tcPr>
            <w:tcW w:w="144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Favourable</w:t>
            </w:r>
            <w:proofErr w:type="spellEnd"/>
          </w:p>
        </w:tc>
        <w:tc>
          <w:tcPr>
            <w:tcW w:w="144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2010–2023</w:t>
            </w:r>
          </w:p>
        </w:tc>
      </w:tr>
      <w:tr w:rsidR="0048641F" w:rsidRPr="00BD01D9">
        <w:tc>
          <w:tcPr>
            <w:tcW w:w="28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DTP3</w:t>
            </w:r>
          </w:p>
        </w:tc>
        <w:tc>
          <w:tcPr>
            <w:tcW w:w="154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Proportion of surviving infants who received three doses of DTP-containing vaccine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vdpt</w:t>
            </w:r>
            <w:proofErr w:type="spellEnd"/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Immunisation</w:t>
            </w:r>
            <w:proofErr w:type="spellEnd"/>
          </w:p>
        </w:tc>
        <w:tc>
          <w:tcPr>
            <w:tcW w:w="144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Favourable</w:t>
            </w:r>
            <w:proofErr w:type="spellEnd"/>
          </w:p>
        </w:tc>
        <w:tc>
          <w:tcPr>
            <w:tcW w:w="144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2010–2023</w:t>
            </w:r>
          </w:p>
        </w:tc>
      </w:tr>
      <w:tr w:rsidR="0048641F" w:rsidRPr="00BD01D9">
        <w:tc>
          <w:tcPr>
            <w:tcW w:w="28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MCV1</w:t>
            </w:r>
          </w:p>
        </w:tc>
        <w:tc>
          <w:tcPr>
            <w:tcW w:w="154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 xml:space="preserve">Proportion of surviving infants who received the </w:t>
            </w:r>
            <w:r w:rsidRPr="00BD01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first dose of measles-containing vaccine</w:t>
            </w:r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vmsl</w:t>
            </w:r>
            <w:proofErr w:type="spellEnd"/>
          </w:p>
        </w:tc>
        <w:tc>
          <w:tcPr>
            <w:tcW w:w="10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Immunisation</w:t>
            </w:r>
            <w:proofErr w:type="spellEnd"/>
          </w:p>
        </w:tc>
        <w:tc>
          <w:tcPr>
            <w:tcW w:w="144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Favourable</w:t>
            </w:r>
            <w:proofErr w:type="spellEnd"/>
          </w:p>
        </w:tc>
        <w:tc>
          <w:tcPr>
            <w:tcW w:w="144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2010–2023</w:t>
            </w:r>
          </w:p>
        </w:tc>
      </w:tr>
      <w:tr w:rsidR="0048641F" w:rsidRPr="00BD01D9" w:rsidTr="006B18EE">
        <w:tc>
          <w:tcPr>
            <w:tcW w:w="289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ZeroDose</w:t>
            </w:r>
            <w:proofErr w:type="spellEnd"/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Proportion of children 12–23 months who received no vaccine doses (DTP1 not received)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vzdpt</w:t>
            </w:r>
            <w:proofErr w:type="spellEnd"/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Immunisation</w:t>
            </w:r>
            <w:proofErr w:type="spellEnd"/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Adverse†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2010–2023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For ZeroDose, the P:R ratio is direction-harmonised as Q5/Q1 prevalence so that values below 1 consistently indicate higher zero-dose prevalence among the poorest quintile. When Q1=Q5=0, P:R is set to 1.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 xml:space="preserve">HIDR data </w:t>
      </w:r>
      <w:proofErr w:type="spellStart"/>
      <w:r w:rsidRPr="00BD01D9">
        <w:rPr>
          <w:rFonts w:ascii="Times New Roman" w:hAnsi="Times New Roman" w:cs="Times New Roman"/>
          <w:sz w:val="22"/>
          <w:szCs w:val="22"/>
        </w:rPr>
        <w:t>stratifier</w:t>
      </w:r>
      <w:proofErr w:type="spellEnd"/>
      <w:r w:rsidRPr="00BD01D9">
        <w:rPr>
          <w:rFonts w:ascii="Times New Roman" w:hAnsi="Times New Roman" w:cs="Times New Roman"/>
          <w:sz w:val="22"/>
          <w:szCs w:val="22"/>
        </w:rPr>
        <w:t>: All estimates are disaggregated by economic status (wealth quintile using asset-based wealth index from Demographic and Health Surveys [DHS] or Multiple Indicator Cluster Surveys [MICS]).</w:t>
      </w:r>
    </w:p>
    <w:p w:rsidR="006B18EE" w:rsidRPr="00BD01D9" w:rsidRDefault="006B18EE" w:rsidP="00BD01D9">
      <w:pPr>
        <w:rPr>
          <w:rFonts w:ascii="Times New Roman" w:hAnsi="Times New Roman" w:cs="Times New Roman"/>
          <w:sz w:val="22"/>
          <w:szCs w:val="22"/>
        </w:rPr>
        <w:sectPr w:rsidR="006B18EE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9" w:name="table-s2-country-level-covariates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lastRenderedPageBreak/>
        <w:t>Table S2 — Country-level covariates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Title: Sources, missingness rates, and imputation strategies for country-level covariates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046"/>
        <w:gridCol w:w="762"/>
        <w:gridCol w:w="1619"/>
        <w:gridCol w:w="1619"/>
        <w:gridCol w:w="1905"/>
        <w:gridCol w:w="1905"/>
      </w:tblGrid>
      <w:tr w:rsidR="0048641F" w:rsidRPr="00BD01D9" w:rsidTr="006B1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36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Covariate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Source</w:t>
            </w: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World Bank code</w:t>
            </w: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Mean missingness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Imputation strategy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Used in regression</w:t>
            </w:r>
          </w:p>
        </w:tc>
      </w:tr>
      <w:tr w:rsidR="0048641F" w:rsidRPr="00BD01D9">
        <w:tc>
          <w:tcPr>
            <w:tcW w:w="9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Log GDP per capita (constant 2015 USD)</w:t>
            </w:r>
          </w:p>
        </w:tc>
        <w:tc>
          <w:tcPr>
            <w:tcW w:w="68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WB WDI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NY.GDP.PCAP.KD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8·3%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Linear interp. + LOCF/NOCB + MICE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9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GDP growth rate (% p.a.)</w:t>
            </w:r>
          </w:p>
        </w:tc>
        <w:tc>
          <w:tcPr>
            <w:tcW w:w="68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WB WDI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NY.GDP.MKTP.KD.ZG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10·1%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Linear interp. + MICE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9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Gini coefficient</w:t>
            </w:r>
          </w:p>
        </w:tc>
        <w:tc>
          <w:tcPr>
            <w:tcW w:w="68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WB WDI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SI.POV.GINI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40·2%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Linear interp. (gap ≤5 y) + MICE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 (sensitivity: excl.)</w:t>
            </w:r>
          </w:p>
        </w:tc>
      </w:tr>
      <w:tr w:rsidR="0048641F" w:rsidRPr="00BD01D9">
        <w:tc>
          <w:tcPr>
            <w:tcW w:w="9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Health expenditure (% GDP)</w:t>
            </w:r>
          </w:p>
        </w:tc>
        <w:tc>
          <w:tcPr>
            <w:tcW w:w="68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WB WDI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SH.XPD.CHEX.GD.ZS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12·4%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Linear interp. + MICE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9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Health expenditure per capita (USD)</w:t>
            </w:r>
          </w:p>
        </w:tc>
        <w:tc>
          <w:tcPr>
            <w:tcW w:w="68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WB WDI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SH.XPD.CHEX.PC.CD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12·4%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Linear interp. + MICE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9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Urbanisation</w:t>
            </w:r>
            <w:proofErr w:type="spellEnd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 xml:space="preserve"> rate (%)</w:t>
            </w:r>
          </w:p>
        </w:tc>
        <w:tc>
          <w:tcPr>
            <w:tcW w:w="68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WB WDI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SP.URB.TOTL.IN.ZS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None needed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9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Nurses &amp; midwives per 1,000</w:t>
            </w:r>
          </w:p>
        </w:tc>
        <w:tc>
          <w:tcPr>
            <w:tcW w:w="68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WB WDI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SH.MED.NUMW.P3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38·6%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Linear interp. + MICE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9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Population growth rate (%)</w:t>
            </w:r>
          </w:p>
        </w:tc>
        <w:tc>
          <w:tcPr>
            <w:tcW w:w="68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WB WDI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SP.POP.GROW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None needed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 (VIF = 11·4; excluded)</w:t>
            </w:r>
          </w:p>
        </w:tc>
      </w:tr>
      <w:tr w:rsidR="0048641F" w:rsidRPr="00BD01D9">
        <w:tc>
          <w:tcPr>
            <w:tcW w:w="9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 xml:space="preserve">Crude birth rate (per </w:t>
            </w:r>
            <w:r w:rsidRPr="00BD01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1,000)</w:t>
            </w:r>
          </w:p>
        </w:tc>
        <w:tc>
          <w:tcPr>
            <w:tcW w:w="68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WB WDI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SP.DYN.CBRT.IN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None needed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9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Adult literacy rate (%)</w:t>
            </w:r>
          </w:p>
        </w:tc>
        <w:tc>
          <w:tcPr>
            <w:tcW w:w="68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WB WDI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SE.ADT.LITR.ZS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58·2%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MICE only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 (sensitivity: excl.)</w:t>
            </w:r>
          </w:p>
        </w:tc>
      </w:tr>
      <w:tr w:rsidR="0048641F" w:rsidRPr="00BD01D9">
        <w:tc>
          <w:tcPr>
            <w:tcW w:w="9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Political stability (PV.EST)</w:t>
            </w:r>
          </w:p>
        </w:tc>
        <w:tc>
          <w:tcPr>
            <w:tcW w:w="68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WB WGI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PV.EST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4·8%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MICE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9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Government effectiveness (GE.EST)</w:t>
            </w:r>
          </w:p>
        </w:tc>
        <w:tc>
          <w:tcPr>
            <w:tcW w:w="68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WB WGI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GE.EST</w:t>
            </w:r>
          </w:p>
        </w:tc>
        <w:tc>
          <w:tcPr>
            <w:tcW w:w="144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4·8%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MICE</w:t>
            </w:r>
          </w:p>
        </w:tc>
        <w:tc>
          <w:tcPr>
            <w:tcW w:w="17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 w:rsidTr="006B18EE">
        <w:tc>
          <w:tcPr>
            <w:tcW w:w="936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COVID-19 mortality rate (per 100,000)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WHO HIDR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—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18·2%*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Not imputed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 (degenerate; see Table S8†)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*COVID missingness reflects countries with surveys only before 2020.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†Complete numerical instability; see Table S8.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MICE settings: 20 completed datasets; predictive mean matching; seed=2025; maximum iterations=10. Year, WHO region, and income group were included as predictors. Models were fitted separately in each completed dataset and combined using Rubin's rules.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Abbreviations: WB = World Bank; WDI = World Development Indicators; WGI = Worldwide Governance Indicators; MICE = multiple imputation by chained equations; VIF = variance inflation factor; LOCF = last observation carried forward; NOCB = next observation carried backward.</w:t>
      </w:r>
    </w:p>
    <w:p w:rsidR="006B18EE" w:rsidRPr="00BD01D9" w:rsidRDefault="006B18EE" w:rsidP="00BD01D9">
      <w:pPr>
        <w:rPr>
          <w:rFonts w:ascii="Times New Roman" w:hAnsi="Times New Roman" w:cs="Times New Roman"/>
          <w:sz w:val="22"/>
          <w:szCs w:val="22"/>
        </w:rPr>
        <w:sectPr w:rsidR="006B18EE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10" w:name="X3fb7cfe64ccb550a605a73c68f604f05612dd3e"/>
      <w:bookmarkEnd w:id="9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lastRenderedPageBreak/>
        <w:t>Table S3 — Complete list of 83 study countries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Title: Countries included in the cross-national analysis, by WHO region and World Bank income classification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669"/>
        <w:gridCol w:w="2073"/>
        <w:gridCol w:w="1219"/>
        <w:gridCol w:w="1619"/>
        <w:gridCol w:w="717"/>
        <w:gridCol w:w="559"/>
      </w:tblGrid>
      <w:tr w:rsidR="0048641F" w:rsidRPr="00BD01D9" w:rsidTr="006B1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ISO3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Country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WHO Region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Income Group (WB)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DTW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ITS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African Region (AFR, n=37)</w:t>
            </w: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BDI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Burundi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BEN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Benin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BFA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Burkina Faso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CAF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Central African Republic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CIV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Côte d’Ivoire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Cameroon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COD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DR Congo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COG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Congo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COM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Comoros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DZA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Algeria†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ETH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Ethiopia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NA‡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GAB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Gabon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GHA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Ghana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GIN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Guinea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GMB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Gambia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GNB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Guinea-Bissau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KEN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Kenya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LBR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Liberia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LSO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Lesotho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MDG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Madagascar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MLI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Mali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MOZ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Mozambique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MRT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Mauritania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MWI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Malawi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NER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Niger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NGA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Nigeria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RWA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Rwanda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SEN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Senegal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SLE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Sierra Leone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STP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São Tomé and Príncipe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SWZ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Eswatini</w:t>
            </w:r>
            <w:proofErr w:type="spellEnd"/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TCD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Chad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TGO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Togo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TZA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Tanzania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UGA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Uganda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ZMB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Zambia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ZWE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Zimbabwe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Americas (AMR, n=14)</w:t>
            </w: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BLZ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Belize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BOL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Bolivia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COL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Colombia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CRI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Costa Rica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HIC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DOM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Dominican Republic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ECU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Ecuador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GUY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Guyana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HIC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HND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Honduras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HTI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Haiti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JAM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Jamaica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MEX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Mexico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PER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Peru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SUR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Suriname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TTO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Trinidad and Tobago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HIC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European Region (EUR, n=11)</w:t>
            </w: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ARM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Armenia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EUR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AZE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Azerbaijan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EUR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BIH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Bosnia and Herzegovina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EUR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KAZ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Kazakhstan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EUR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KGZ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Kyrgyzstan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EUR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MKD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North Macedonia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EUR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MNE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Montenegro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EUR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SRB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Serbia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EUR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TJK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Tajikistan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EUR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TKM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Turkmenistan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EUR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TUR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Turkey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EUR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Eastern Mediterranean (EMR, n=9)</w:t>
            </w: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AFG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Afghanistan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EGY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Egypt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IRQ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Iraq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JOR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Jordan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PAK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Pakistan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PSE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Palestine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SDN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Sudan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TUN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Tunisia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YEM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Yemen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EMR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Western Pacific (WPR, n=7)</w:t>
            </w: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IDN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Indonesia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WPR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KHM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Cambodia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WPR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LAO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Lao PDR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WPR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MNG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Mongolia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WPR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PHL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Philippines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WPR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VNM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Viet Nam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WPR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WSM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Samoa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WPR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South-East Asia (SEAR, n=5)</w:t>
            </w: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BGD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Bangladesh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SEAR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IND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India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SEAR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MMR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Myanmar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SEAR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NPL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Nepal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SEAR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LMIC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48641F" w:rsidRPr="00BD01D9" w:rsidTr="006B18EE"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THA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Thailand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SEAR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UMIC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Yes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†Algeria classified under WHO African Region in HIDR metadata.</w:t>
      </w:r>
      <w:r w:rsidRPr="00BD01D9">
        <w:rPr>
          <w:rFonts w:ascii="Times New Roman" w:hAnsi="Times New Roman" w:cs="Times New Roman"/>
          <w:sz w:val="22"/>
          <w:szCs w:val="22"/>
        </w:rPr>
        <w:br/>
        <w:t>‡Ethiopia income classification missing in World Bank 2023 dataset (reclassified LMIC effective 2024).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Regional summary: AFR n=37 | AMR n=14 | EUR n=11 | EMR n=9 | WPR n=7 | SEAR n=5. Income summary: LIC n=20 | LMIC n=35 | UMIC n=24 | HIC n=3 | Missing n=1 (ETH). DTW sub-analysis: n=35 | ITS sub-analysis: n=20.</w:t>
      </w:r>
    </w:p>
    <w:p w:rsidR="0048641F" w:rsidRPr="00BD01D9" w:rsidRDefault="0048641F" w:rsidP="00BD01D9">
      <w:pPr>
        <w:rPr>
          <w:rFonts w:ascii="Times New Roman" w:hAnsi="Times New Roman" w:cs="Times New Roman"/>
          <w:sz w:val="22"/>
          <w:szCs w:val="22"/>
        </w:rPr>
      </w:pPr>
    </w:p>
    <w:p w:rsidR="006B18EE" w:rsidRPr="00BD01D9" w:rsidRDefault="006B18EE" w:rsidP="00BD01D9">
      <w:pPr>
        <w:rPr>
          <w:rFonts w:ascii="Times New Roman" w:hAnsi="Times New Roman" w:cs="Times New Roman"/>
          <w:sz w:val="22"/>
          <w:szCs w:val="22"/>
        </w:rPr>
        <w:sectPr w:rsidR="006B18EE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11" w:name="X7f50eceb3860241cd71ae32a49ba234a9f013b8"/>
      <w:bookmarkEnd w:id="10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lastRenderedPageBreak/>
        <w:t>Table S4 — SII decomposition results by indicator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Title: Pattern distribution of SII temporal change by indicator (country-indicator pairs with ≥5 years between first and last survey, n=494)</w:t>
      </w:r>
    </w:p>
    <w:tbl>
      <w:tblPr>
        <w:tblStyle w:val="Table"/>
        <w:tblW w:w="5000" w:type="pct"/>
        <w:jc w:val="center"/>
        <w:tblLayout w:type="fixed"/>
        <w:tblLook w:val="0020" w:firstRow="1" w:lastRow="0" w:firstColumn="0" w:lastColumn="0" w:noHBand="0" w:noVBand="0"/>
      </w:tblPr>
      <w:tblGrid>
        <w:gridCol w:w="715"/>
        <w:gridCol w:w="586"/>
        <w:gridCol w:w="1694"/>
        <w:gridCol w:w="1694"/>
        <w:gridCol w:w="1231"/>
        <w:gridCol w:w="1134"/>
        <w:gridCol w:w="1802"/>
      </w:tblGrid>
      <w:tr w:rsidR="0048641F" w:rsidRPr="00BD01D9" w:rsidTr="00D82D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Arial" w:hAnsi="Arial" w:cs="Times New Roman"/>
                <w:b/>
                <w:sz w:val="15"/>
                <w:szCs w:val="22"/>
              </w:rPr>
              <w:t>Indicator</w:t>
            </w:r>
          </w:p>
        </w:tc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Arial" w:hAnsi="Arial" w:cs="Times New Roman"/>
                <w:b/>
                <w:sz w:val="15"/>
                <w:szCs w:val="22"/>
              </w:rPr>
              <w:t>N pairs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Arial" w:hAnsi="Arial" w:cs="Times New Roman"/>
                <w:b/>
                <w:sz w:val="15"/>
                <w:szCs w:val="22"/>
              </w:rPr>
              <w:t>Pattern A: True Convergence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Arial" w:hAnsi="Arial" w:cs="Times New Roman"/>
                <w:b/>
                <w:sz w:val="15"/>
                <w:szCs w:val="22"/>
              </w:rPr>
              <w:t>Pattern B: Ceiling Effect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Arial" w:hAnsi="Arial" w:cs="Times New Roman"/>
                <w:b/>
                <w:sz w:val="15"/>
                <w:szCs w:val="22"/>
              </w:rPr>
              <w:t>Pattern C: Gap Expansion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Arial" w:hAnsi="Arial" w:cs="Times New Roman"/>
                <w:b/>
                <w:sz w:val="15"/>
                <w:szCs w:val="22"/>
              </w:rPr>
              <w:t>Pattern D: Parallel Improvement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Arial" w:hAnsi="Arial" w:cs="Times New Roman"/>
                <w:b/>
                <w:sz w:val="15"/>
                <w:szCs w:val="22"/>
              </w:rPr>
              <w:t>Notes</w:t>
            </w:r>
          </w:p>
        </w:tc>
      </w:tr>
      <w:tr w:rsidR="0048641F" w:rsidRPr="00BD01D9" w:rsidTr="00D82D89">
        <w:tc>
          <w:tcPr>
            <w:tcW w:w="936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ANC4+</w:t>
            </w:r>
          </w:p>
        </w:tc>
        <w:tc>
          <w:tcPr>
            <w:tcW w:w="648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61</w:t>
            </w:r>
          </w:p>
        </w:tc>
        <w:tc>
          <w:tcPr>
            <w:tcW w:w="151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54.1%</w:t>
            </w:r>
          </w:p>
        </w:tc>
        <w:tc>
          <w:tcPr>
            <w:tcW w:w="144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14.8%</w:t>
            </w:r>
          </w:p>
        </w:tc>
        <w:tc>
          <w:tcPr>
            <w:tcW w:w="13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18.0%</w:t>
            </w:r>
          </w:p>
        </w:tc>
        <w:tc>
          <w:tcPr>
            <w:tcW w:w="13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13.1%</w:t>
            </w:r>
          </w:p>
        </w:tc>
        <w:tc>
          <w:tcPr>
            <w:tcW w:w="208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-</w:t>
            </w:r>
          </w:p>
        </w:tc>
      </w:tr>
      <w:tr w:rsidR="0048641F" w:rsidRPr="00BD01D9" w:rsidTr="00D82D89">
        <w:tc>
          <w:tcPr>
            <w:tcW w:w="936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SBA</w:t>
            </w:r>
          </w:p>
        </w:tc>
        <w:tc>
          <w:tcPr>
            <w:tcW w:w="648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62</w:t>
            </w:r>
          </w:p>
        </w:tc>
        <w:tc>
          <w:tcPr>
            <w:tcW w:w="151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77.4%</w:t>
            </w:r>
          </w:p>
        </w:tc>
        <w:tc>
          <w:tcPr>
            <w:tcW w:w="144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1.6%</w:t>
            </w:r>
          </w:p>
        </w:tc>
        <w:tc>
          <w:tcPr>
            <w:tcW w:w="13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6.5%</w:t>
            </w:r>
          </w:p>
        </w:tc>
        <w:tc>
          <w:tcPr>
            <w:tcW w:w="13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14.5%</w:t>
            </w:r>
          </w:p>
        </w:tc>
        <w:tc>
          <w:tcPr>
            <w:tcW w:w="208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-</w:t>
            </w:r>
          </w:p>
        </w:tc>
      </w:tr>
      <w:tr w:rsidR="0048641F" w:rsidRPr="00BD01D9" w:rsidTr="00D82D89">
        <w:tc>
          <w:tcPr>
            <w:tcW w:w="936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PNC</w:t>
            </w:r>
          </w:p>
        </w:tc>
        <w:tc>
          <w:tcPr>
            <w:tcW w:w="648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54</w:t>
            </w:r>
          </w:p>
        </w:tc>
        <w:tc>
          <w:tcPr>
            <w:tcW w:w="151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61.1%</w:t>
            </w:r>
          </w:p>
        </w:tc>
        <w:tc>
          <w:tcPr>
            <w:tcW w:w="144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13.0%</w:t>
            </w:r>
          </w:p>
        </w:tc>
        <w:tc>
          <w:tcPr>
            <w:tcW w:w="13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20.4%</w:t>
            </w:r>
          </w:p>
        </w:tc>
        <w:tc>
          <w:tcPr>
            <w:tcW w:w="13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5.6%</w:t>
            </w:r>
          </w:p>
        </w:tc>
        <w:tc>
          <w:tcPr>
            <w:tcW w:w="208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-</w:t>
            </w:r>
          </w:p>
        </w:tc>
      </w:tr>
      <w:tr w:rsidR="0048641F" w:rsidRPr="00BD01D9" w:rsidTr="00D82D89">
        <w:tc>
          <w:tcPr>
            <w:tcW w:w="936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ORS</w:t>
            </w:r>
          </w:p>
        </w:tc>
        <w:tc>
          <w:tcPr>
            <w:tcW w:w="648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53</w:t>
            </w:r>
          </w:p>
        </w:tc>
        <w:tc>
          <w:tcPr>
            <w:tcW w:w="151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56.6%</w:t>
            </w:r>
          </w:p>
        </w:tc>
        <w:tc>
          <w:tcPr>
            <w:tcW w:w="144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1.9%</w:t>
            </w:r>
          </w:p>
        </w:tc>
        <w:tc>
          <w:tcPr>
            <w:tcW w:w="13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39.6%</w:t>
            </w:r>
          </w:p>
        </w:tc>
        <w:tc>
          <w:tcPr>
            <w:tcW w:w="13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1.9%</w:t>
            </w:r>
          </w:p>
        </w:tc>
        <w:tc>
          <w:tcPr>
            <w:tcW w:w="208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Highest gap-expansion share</w:t>
            </w:r>
          </w:p>
        </w:tc>
      </w:tr>
      <w:tr w:rsidR="0048641F" w:rsidRPr="00BD01D9" w:rsidTr="00D82D89">
        <w:tc>
          <w:tcPr>
            <w:tcW w:w="936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DHF</w:t>
            </w:r>
          </w:p>
        </w:tc>
        <w:tc>
          <w:tcPr>
            <w:tcW w:w="648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63</w:t>
            </w:r>
          </w:p>
        </w:tc>
        <w:tc>
          <w:tcPr>
            <w:tcW w:w="151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82.5%</w:t>
            </w:r>
          </w:p>
        </w:tc>
        <w:tc>
          <w:tcPr>
            <w:tcW w:w="144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0.0%</w:t>
            </w:r>
          </w:p>
        </w:tc>
        <w:tc>
          <w:tcPr>
            <w:tcW w:w="13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4.8%</w:t>
            </w:r>
          </w:p>
        </w:tc>
        <w:tc>
          <w:tcPr>
            <w:tcW w:w="13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12.7%</w:t>
            </w:r>
          </w:p>
        </w:tc>
        <w:tc>
          <w:tcPr>
            <w:tcW w:w="208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No ceiling-effect pairs</w:t>
            </w:r>
          </w:p>
        </w:tc>
      </w:tr>
      <w:tr w:rsidR="0048641F" w:rsidRPr="00BD01D9" w:rsidTr="00D82D89">
        <w:tc>
          <w:tcPr>
            <w:tcW w:w="936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DTP3</w:t>
            </w:r>
          </w:p>
        </w:tc>
        <w:tc>
          <w:tcPr>
            <w:tcW w:w="648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67</w:t>
            </w:r>
          </w:p>
        </w:tc>
        <w:tc>
          <w:tcPr>
            <w:tcW w:w="151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61.2%</w:t>
            </w:r>
          </w:p>
        </w:tc>
        <w:tc>
          <w:tcPr>
            <w:tcW w:w="144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20.9%</w:t>
            </w:r>
          </w:p>
        </w:tc>
        <w:tc>
          <w:tcPr>
            <w:tcW w:w="13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9.0%</w:t>
            </w:r>
          </w:p>
        </w:tc>
        <w:tc>
          <w:tcPr>
            <w:tcW w:w="13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9.0%</w:t>
            </w:r>
          </w:p>
        </w:tc>
        <w:tc>
          <w:tcPr>
            <w:tcW w:w="208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-</w:t>
            </w:r>
          </w:p>
        </w:tc>
      </w:tr>
      <w:tr w:rsidR="0048641F" w:rsidRPr="00BD01D9" w:rsidTr="00D82D89">
        <w:tc>
          <w:tcPr>
            <w:tcW w:w="936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MCV1</w:t>
            </w:r>
          </w:p>
        </w:tc>
        <w:tc>
          <w:tcPr>
            <w:tcW w:w="648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68</w:t>
            </w:r>
          </w:p>
        </w:tc>
        <w:tc>
          <w:tcPr>
            <w:tcW w:w="151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50.0%</w:t>
            </w:r>
          </w:p>
        </w:tc>
        <w:tc>
          <w:tcPr>
            <w:tcW w:w="144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33.8%</w:t>
            </w:r>
          </w:p>
        </w:tc>
        <w:tc>
          <w:tcPr>
            <w:tcW w:w="13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5.9%</w:t>
            </w:r>
          </w:p>
        </w:tc>
        <w:tc>
          <w:tcPr>
            <w:tcW w:w="13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10.3%</w:t>
            </w:r>
          </w:p>
        </w:tc>
        <w:tc>
          <w:tcPr>
            <w:tcW w:w="208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Ceiling effect in 33.8%</w:t>
            </w:r>
          </w:p>
        </w:tc>
      </w:tr>
      <w:tr w:rsidR="0048641F" w:rsidRPr="00BD01D9" w:rsidTr="00D82D89">
        <w:tc>
          <w:tcPr>
            <w:tcW w:w="936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ZeroDose</w:t>
            </w:r>
          </w:p>
        </w:tc>
        <w:tc>
          <w:tcPr>
            <w:tcW w:w="648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66</w:t>
            </w:r>
          </w:p>
        </w:tc>
        <w:tc>
          <w:tcPr>
            <w:tcW w:w="151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45.5%</w:t>
            </w:r>
          </w:p>
        </w:tc>
        <w:tc>
          <w:tcPr>
            <w:tcW w:w="144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37.9%</w:t>
            </w:r>
          </w:p>
        </w:tc>
        <w:tc>
          <w:tcPr>
            <w:tcW w:w="13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1.5%</w:t>
            </w:r>
          </w:p>
        </w:tc>
        <w:tc>
          <w:tcPr>
            <w:tcW w:w="13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15.2%</w:t>
            </w:r>
          </w:p>
        </w:tc>
        <w:tc>
          <w:tcPr>
            <w:tcW w:w="208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Directions reversed</w:t>
            </w:r>
          </w:p>
        </w:tc>
      </w:tr>
      <w:tr w:rsidR="0048641F" w:rsidRPr="00BD01D9" w:rsidTr="00D82D89"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All combined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494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60.9%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16.2%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12.3%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10.5%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-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†MCV1 Pattern B: ceiling-driven expansion — median ΔQ1 = −1·2 pp, median ΔQ5 = −1·3 pp; SII expansion is a mathematical artefact of Q5 approaching saturation. Demand-side interventions are needed to close the remaining gap.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 xml:space="preserve">Pattern definitions: A = True Convergence (ΔQ1_dir &gt; ΔQ5_dir + 1 pp); B = Ceiling Effect (Q5 baseline ≥80% and ΔQ5_dir &gt; ΔQ1_dir + 1 pp); C = Gap Expansion (ΔQ5_dir &gt; ΔQ1_dir + 1 pp, Q5 baseline &lt;80%); D = Parallel Improvement (all other). For </w:t>
      </w:r>
      <w:proofErr w:type="spellStart"/>
      <w:r w:rsidRPr="00BD01D9">
        <w:rPr>
          <w:rFonts w:ascii="Times New Roman" w:hAnsi="Times New Roman" w:cs="Times New Roman"/>
          <w:sz w:val="22"/>
          <w:szCs w:val="22"/>
        </w:rPr>
        <w:t>ZeroDose</w:t>
      </w:r>
      <w:proofErr w:type="spellEnd"/>
      <w:r w:rsidRPr="00BD01D9">
        <w:rPr>
          <w:rFonts w:ascii="Times New Roman" w:hAnsi="Times New Roman" w:cs="Times New Roman"/>
          <w:sz w:val="22"/>
          <w:szCs w:val="22"/>
        </w:rPr>
        <w:t>, ΔQ1_dir and ΔQ5_dir are sign-reversed.</w:t>
      </w:r>
    </w:p>
    <w:p w:rsidR="00D82D89" w:rsidRPr="00BD01D9" w:rsidRDefault="00D82D89" w:rsidP="00BD01D9">
      <w:pPr>
        <w:rPr>
          <w:rFonts w:ascii="Times New Roman" w:hAnsi="Times New Roman" w:cs="Times New Roman"/>
          <w:sz w:val="22"/>
          <w:szCs w:val="22"/>
        </w:rPr>
        <w:sectPr w:rsidR="00D82D89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12" w:name="Xe40232a77b2d657f73c3b6aa74d29b3be220e0b"/>
      <w:bookmarkEnd w:id="11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Table S5 - Direction-harmonised sex-based coverage disparity by WHO region and indicator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spellEnd"/>
      <w:r>
        <w:t>Title: Direction-harmonised sex-based health service coverage disparity by WHO region and indicator, 2010-2023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Source: The direction-harmonised sex ratio was female/male coverage for favourable indicators and male/female prevalence for ZeroDose. Values below 1 therefore consistently denote female disadvantage. Sex-disaggregated data were available for 866 observations.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Part A — By WHO Region</w:t>
      </w:r>
    </w:p>
    <w:tbl>
      <w:tblPr>
        <w:tblStyle w:val="Table"/>
        <w:tblW w:w="5000" w:type="pct"/>
        <w:jc w:val="center"/>
        <w:tblLayout w:type="fixed"/>
        <w:tblLook w:val="0020" w:firstRow="1" w:lastRow="0" w:firstColumn="0" w:lastColumn="0" w:noHBand="0" w:noVBand="0"/>
      </w:tblPr>
      <w:tblGrid>
        <w:gridCol w:w="983"/>
        <w:gridCol w:w="1342"/>
        <w:gridCol w:w="2326"/>
        <w:gridCol w:w="2326"/>
        <w:gridCol w:w="1879"/>
      </w:tblGrid>
      <w:tr w:rsidR="0048641F" w:rsidRPr="00BD01D9" w:rsidTr="009831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16"/>
              </w:rPr>
              <w:t>WHO Region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16"/>
              </w:rPr>
              <w:t>N observations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sz w:val="16"/>
              </w:rPr>
              <w:t>Sex ratio &lt;0.80, n (%)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sz w:val="16"/>
              </w:rPr>
              <w:t>Sex ratio &lt;0.60, n (%)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sz w:val="16"/>
              </w:rPr>
              <w:t>Median direction-harmonised sex ratio</w:t>
            </w:r>
          </w:p>
        </w:tc>
      </w:tr>
      <w:tr w:rsidR="0048641F" w:rsidRPr="00BD01D9">
        <w:tc>
          <w:tcPr>
            <w:tcW w:w="18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African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442</w:t>
            </w:r>
          </w:p>
        </w:tc>
        <w:tc>
          <w:tcPr>
            <w:tcW w:w="194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35 (7.9%)</w:t>
            </w:r>
          </w:p>
        </w:tc>
        <w:tc>
          <w:tcPr>
            <w:tcW w:w="194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5 (1.1%)</w:t>
            </w:r>
          </w:p>
        </w:tc>
        <w:tc>
          <w:tcPr>
            <w:tcW w:w="252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0.993</w:t>
            </w:r>
          </w:p>
        </w:tc>
      </w:tr>
      <w:tr w:rsidR="0048641F" w:rsidRPr="00BD01D9">
        <w:tc>
          <w:tcPr>
            <w:tcW w:w="18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Americas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139</w:t>
            </w:r>
          </w:p>
        </w:tc>
        <w:tc>
          <w:tcPr>
            <w:tcW w:w="194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8 (5.8%)</w:t>
            </w:r>
          </w:p>
        </w:tc>
        <w:tc>
          <w:tcPr>
            <w:tcW w:w="194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2 (1.4%)</w:t>
            </w:r>
          </w:p>
        </w:tc>
        <w:tc>
          <w:tcPr>
            <w:tcW w:w="252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0.995</w:t>
            </w:r>
          </w:p>
        </w:tc>
      </w:tr>
      <w:tr w:rsidR="0048641F" w:rsidRPr="00BD01D9">
        <w:tc>
          <w:tcPr>
            <w:tcW w:w="18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Eastern Mediterranean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82</w:t>
            </w:r>
          </w:p>
        </w:tc>
        <w:tc>
          <w:tcPr>
            <w:tcW w:w="194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1 (1.2%)</w:t>
            </w:r>
          </w:p>
        </w:tc>
        <w:tc>
          <w:tcPr>
            <w:tcW w:w="194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1 (1.2%)</w:t>
            </w:r>
          </w:p>
        </w:tc>
        <w:tc>
          <w:tcPr>
            <w:tcW w:w="252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0.988</w:t>
            </w:r>
          </w:p>
        </w:tc>
      </w:tr>
      <w:tr w:rsidR="0048641F" w:rsidRPr="00BD01D9">
        <w:tc>
          <w:tcPr>
            <w:tcW w:w="18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European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69</w:t>
            </w:r>
          </w:p>
        </w:tc>
        <w:tc>
          <w:tcPr>
            <w:tcW w:w="194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8 (11.6%)</w:t>
            </w:r>
          </w:p>
        </w:tc>
        <w:tc>
          <w:tcPr>
            <w:tcW w:w="194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3 (4.3%)</w:t>
            </w:r>
          </w:p>
        </w:tc>
        <w:tc>
          <w:tcPr>
            <w:tcW w:w="252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1.004</w:t>
            </w:r>
          </w:p>
        </w:tc>
      </w:tr>
      <w:tr w:rsidR="0048641F" w:rsidRPr="00BD01D9">
        <w:tc>
          <w:tcPr>
            <w:tcW w:w="18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South-East Asia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66</w:t>
            </w:r>
          </w:p>
        </w:tc>
        <w:tc>
          <w:tcPr>
            <w:tcW w:w="194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8 (12.1%)</w:t>
            </w:r>
          </w:p>
        </w:tc>
        <w:tc>
          <w:tcPr>
            <w:tcW w:w="194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2 (3.0%)</w:t>
            </w:r>
          </w:p>
        </w:tc>
        <w:tc>
          <w:tcPr>
            <w:tcW w:w="252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0.977</w:t>
            </w:r>
          </w:p>
        </w:tc>
      </w:tr>
      <w:tr w:rsidR="0048641F" w:rsidRPr="00BD01D9">
        <w:tc>
          <w:tcPr>
            <w:tcW w:w="180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Western Pacific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68</w:t>
            </w:r>
          </w:p>
        </w:tc>
        <w:tc>
          <w:tcPr>
            <w:tcW w:w="194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4 (5.9%)</w:t>
            </w:r>
          </w:p>
        </w:tc>
        <w:tc>
          <w:tcPr>
            <w:tcW w:w="194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2 (2.9%)</w:t>
            </w:r>
          </w:p>
        </w:tc>
        <w:tc>
          <w:tcPr>
            <w:tcW w:w="252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0.991</w:t>
            </w:r>
          </w:p>
        </w:tc>
      </w:tr>
      <w:tr w:rsidR="0048641F" w:rsidRPr="00BD01D9" w:rsidTr="00983183"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Overall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866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64 (7.4%)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15 (1.7%)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0.992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Part B — By Indicator</w:t>
      </w:r>
    </w:p>
    <w:tbl>
      <w:tblPr>
        <w:tblStyle w:val="Table"/>
        <w:tblW w:w="5000" w:type="pct"/>
        <w:jc w:val="center"/>
        <w:tblLayout w:type="fixed"/>
        <w:tblLook w:val="0020" w:firstRow="1" w:lastRow="0" w:firstColumn="0" w:lastColumn="0" w:noHBand="0" w:noVBand="0"/>
      </w:tblPr>
      <w:tblGrid>
        <w:gridCol w:w="1282"/>
        <w:gridCol w:w="815"/>
        <w:gridCol w:w="1748"/>
        <w:gridCol w:w="2564"/>
        <w:gridCol w:w="2447"/>
      </w:tblGrid>
      <w:tr w:rsidR="0048641F" w:rsidRPr="00BD01D9" w:rsidTr="009831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12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16"/>
              </w:rPr>
              <w:t>Indicator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16"/>
              </w:rPr>
              <w:t>Group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sz w:val="16"/>
              </w:rPr>
              <w:t>N observations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sz w:val="16"/>
              </w:rPr>
              <w:t>Sex ratio &lt;0.80, %</w:t>
            </w:r>
          </w:p>
        </w:tc>
        <w:tc>
          <w:tcPr>
            <w:tcW w:w="3168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sz w:val="16"/>
              </w:rPr>
              <w:t>Median direction-harmonised sex ratio</w:t>
            </w:r>
          </w:p>
        </w:tc>
      </w:tr>
      <w:tr w:rsidR="0048641F" w:rsidRPr="00BD01D9">
        <w:tc>
          <w:tcPr>
            <w:tcW w:w="1512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ZeroDose</w:t>
            </w:r>
          </w:p>
        </w:tc>
        <w:tc>
          <w:tcPr>
            <w:tcW w:w="144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Immunisation</w:t>
            </w:r>
          </w:p>
        </w:tc>
        <w:tc>
          <w:tcPr>
            <w:tcW w:w="144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218</w:t>
            </w:r>
          </w:p>
        </w:tc>
        <w:tc>
          <w:tcPr>
            <w:tcW w:w="180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22.9%</w:t>
            </w:r>
          </w:p>
        </w:tc>
        <w:tc>
          <w:tcPr>
            <w:tcW w:w="31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0.961</w:t>
            </w:r>
          </w:p>
        </w:tc>
      </w:tr>
      <w:tr w:rsidR="0048641F" w:rsidRPr="00BD01D9">
        <w:tc>
          <w:tcPr>
            <w:tcW w:w="1512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ORS</w:t>
            </w:r>
          </w:p>
        </w:tc>
        <w:tc>
          <w:tcPr>
            <w:tcW w:w="144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RMNCH</w:t>
            </w:r>
          </w:p>
        </w:tc>
        <w:tc>
          <w:tcPr>
            <w:tcW w:w="144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206</w:t>
            </w:r>
          </w:p>
        </w:tc>
        <w:tc>
          <w:tcPr>
            <w:tcW w:w="180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6.8%</w:t>
            </w:r>
          </w:p>
        </w:tc>
        <w:tc>
          <w:tcPr>
            <w:tcW w:w="31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0.977</w:t>
            </w:r>
          </w:p>
        </w:tc>
      </w:tr>
      <w:tr w:rsidR="0048641F" w:rsidRPr="00BD01D9">
        <w:tc>
          <w:tcPr>
            <w:tcW w:w="1512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DTP3</w:t>
            </w:r>
          </w:p>
        </w:tc>
        <w:tc>
          <w:tcPr>
            <w:tcW w:w="144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Immunisation</w:t>
            </w:r>
          </w:p>
        </w:tc>
        <w:tc>
          <w:tcPr>
            <w:tcW w:w="144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220</w:t>
            </w:r>
          </w:p>
        </w:tc>
        <w:tc>
          <w:tcPr>
            <w:tcW w:w="180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0.0%</w:t>
            </w:r>
          </w:p>
        </w:tc>
        <w:tc>
          <w:tcPr>
            <w:tcW w:w="316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0.997</w:t>
            </w:r>
          </w:p>
        </w:tc>
      </w:tr>
      <w:tr w:rsidR="0048641F" w:rsidRPr="00BD01D9" w:rsidTr="00983183"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MCV1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Immunisation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222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0.0%</w:t>
            </w:r>
          </w:p>
        </w:tc>
        <w:tc>
          <w:tcPr>
            <w:tcW w:w="3168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0.995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spellEnd"/>
      <w:proofErr w:type="spellStart"/>
      <w:proofErr w:type="spellEnd"/>
      <w:r>
        <w:t>Notes: A ratio below 0.80 denotes sex disadvantage and below 0.60 denotes Severe disadvantage. Sex-disaggregated data were unavailable for the maternal-specific indicators ANC4+, SBA, PNC, and DHF.</w:t>
      </w:r>
    </w:p>
    <w:p w:rsidR="0048641F" w:rsidRPr="00BD01D9" w:rsidRDefault="0048641F" w:rsidP="00BD01D9">
      <w:pPr>
        <w:rPr>
          <w:rFonts w:ascii="Times New Roman" w:hAnsi="Times New Roman" w:cs="Times New Roman"/>
          <w:sz w:val="22"/>
          <w:szCs w:val="22"/>
        </w:rPr>
      </w:pPr>
    </w:p>
    <w:p w:rsidR="00983183" w:rsidRPr="00BD01D9" w:rsidRDefault="00983183" w:rsidP="00BD01D9">
      <w:pPr>
        <w:rPr>
          <w:rFonts w:ascii="Times New Roman" w:hAnsi="Times New Roman" w:cs="Times New Roman"/>
          <w:sz w:val="22"/>
          <w:szCs w:val="22"/>
        </w:rPr>
        <w:sectPr w:rsidR="00983183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13" w:name="X50f7837204c555edb3ee151ad71050fe7bfc7c9"/>
      <w:bookmarkEnd w:id="12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Table S6 - CRCS construction: indicator domains, weighting schemes, and sensitivity analysis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Title: Composite relative coverage score composition and weighting schemes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Table S6a. Indicator weights under three CES versions</w:t>
      </w:r>
    </w:p>
    <w:tbl>
      <w:tblPr>
        <w:tblStyle w:val="Table"/>
        <w:tblW w:w="5000" w:type="pct"/>
        <w:jc w:val="center"/>
        <w:tblLayout w:type="fixed"/>
        <w:tblLook w:val="0020" w:firstRow="1" w:lastRow="0" w:firstColumn="0" w:lastColumn="0" w:noHBand="0" w:noVBand="0"/>
      </w:tblPr>
      <w:tblGrid>
        <w:gridCol w:w="1201"/>
        <w:gridCol w:w="1422"/>
        <w:gridCol w:w="875"/>
        <w:gridCol w:w="1422"/>
        <w:gridCol w:w="1530"/>
        <w:gridCol w:w="2406"/>
      </w:tblGrid>
      <w:tr w:rsidR="0048641F" w:rsidRPr="00BD01D9" w:rsidTr="00986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Arial" w:hAnsi="Arial" w:cs="Times New Roman"/>
                <w:b/>
                <w:sz w:val="15"/>
                <w:szCs w:val="22"/>
              </w:rPr>
              <w:t>Indicator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Arial" w:hAnsi="Arial" w:cs="Times New Roman"/>
                <w:b/>
                <w:sz w:val="15"/>
                <w:szCs w:val="22"/>
              </w:rPr>
              <w:t>Abbreviation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Arial" w:hAnsi="Arial" w:cs="Times New Roman"/>
                <w:b/>
                <w:sz w:val="15"/>
                <w:szCs w:val="22"/>
              </w:rPr>
              <w:t>Domain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Arial" w:hAnsi="Arial" w:cs="Times New Roman"/>
                <w:b/>
                <w:sz w:val="15"/>
                <w:szCs w:val="22"/>
              </w:rPr>
              <w:t>Equal weight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Arial" w:hAnsi="Arial" w:cs="Times New Roman"/>
                <w:b/>
                <w:sz w:val="15"/>
                <w:szCs w:val="22"/>
              </w:rPr>
              <w:t>Domain weight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Arial" w:hAnsi="Arial" w:cs="Times New Roman"/>
                <w:b/>
                <w:sz w:val="15"/>
                <w:szCs w:val="22"/>
              </w:rPr>
              <w:t>Factor-analytic weight</w:t>
            </w:r>
          </w:p>
        </w:tc>
      </w:tr>
      <w:tr w:rsidR="0048641F" w:rsidRPr="00BD01D9">
        <w:tc>
          <w:tcPr>
            <w:tcW w:w="2376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ORS (child diarrhoea treatment)</w:t>
            </w:r>
          </w:p>
        </w:tc>
        <w:tc>
          <w:tcPr>
            <w:tcW w:w="1008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ORS</w:t>
            </w:r>
          </w:p>
        </w:tc>
        <w:tc>
          <w:tcPr>
            <w:tcW w:w="158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Child health/immunisation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0.125</w:t>
            </w:r>
          </w:p>
        </w:tc>
        <w:tc>
          <w:tcPr>
            <w:tcW w:w="122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0.125</w:t>
            </w:r>
          </w:p>
        </w:tc>
        <w:tc>
          <w:tcPr>
            <w:tcW w:w="208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0.074</w:t>
            </w:r>
          </w:p>
        </w:tc>
      </w:tr>
      <w:tr w:rsidR="0048641F" w:rsidRPr="00BD01D9">
        <w:tc>
          <w:tcPr>
            <w:tcW w:w="2376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Antenatal care &gt;=4 visits</w:t>
            </w:r>
          </w:p>
        </w:tc>
        <w:tc>
          <w:tcPr>
            <w:tcW w:w="1008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ANC4+</w:t>
            </w:r>
          </w:p>
        </w:tc>
        <w:tc>
          <w:tcPr>
            <w:tcW w:w="158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RMNCH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0.125</w:t>
            </w:r>
          </w:p>
        </w:tc>
        <w:tc>
          <w:tcPr>
            <w:tcW w:w="122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0.125</w:t>
            </w:r>
          </w:p>
        </w:tc>
        <w:tc>
          <w:tcPr>
            <w:tcW w:w="208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0.139</w:t>
            </w:r>
          </w:p>
        </w:tc>
      </w:tr>
      <w:tr w:rsidR="0048641F" w:rsidRPr="00BD01D9">
        <w:tc>
          <w:tcPr>
            <w:tcW w:w="2376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Skilled birth attendance</w:t>
            </w:r>
          </w:p>
        </w:tc>
        <w:tc>
          <w:tcPr>
            <w:tcW w:w="1008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SBA</w:t>
            </w:r>
          </w:p>
        </w:tc>
        <w:tc>
          <w:tcPr>
            <w:tcW w:w="158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RMNCH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0.125</w:t>
            </w:r>
          </w:p>
        </w:tc>
        <w:tc>
          <w:tcPr>
            <w:tcW w:w="122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0.125</w:t>
            </w:r>
          </w:p>
        </w:tc>
        <w:tc>
          <w:tcPr>
            <w:tcW w:w="208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0.144</w:t>
            </w:r>
          </w:p>
        </w:tc>
      </w:tr>
      <w:tr w:rsidR="0048641F" w:rsidRPr="00BD01D9">
        <w:tc>
          <w:tcPr>
            <w:tcW w:w="2376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Delivery in health facility</w:t>
            </w:r>
          </w:p>
        </w:tc>
        <w:tc>
          <w:tcPr>
            <w:tcW w:w="1008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DHF</w:t>
            </w:r>
          </w:p>
        </w:tc>
        <w:tc>
          <w:tcPr>
            <w:tcW w:w="158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RMNCH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0.125</w:t>
            </w:r>
          </w:p>
        </w:tc>
        <w:tc>
          <w:tcPr>
            <w:tcW w:w="122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0.125</w:t>
            </w:r>
          </w:p>
        </w:tc>
        <w:tc>
          <w:tcPr>
            <w:tcW w:w="208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0.144</w:t>
            </w:r>
          </w:p>
        </w:tc>
      </w:tr>
      <w:tr w:rsidR="0048641F" w:rsidRPr="00BD01D9">
        <w:tc>
          <w:tcPr>
            <w:tcW w:w="2376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Postnatal care within 2 days</w:t>
            </w:r>
          </w:p>
        </w:tc>
        <w:tc>
          <w:tcPr>
            <w:tcW w:w="1008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PNC</w:t>
            </w:r>
          </w:p>
        </w:tc>
        <w:tc>
          <w:tcPr>
            <w:tcW w:w="158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RMNCH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0.125</w:t>
            </w:r>
          </w:p>
        </w:tc>
        <w:tc>
          <w:tcPr>
            <w:tcW w:w="122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0.125</w:t>
            </w:r>
          </w:p>
        </w:tc>
        <w:tc>
          <w:tcPr>
            <w:tcW w:w="208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0.141</w:t>
            </w:r>
          </w:p>
        </w:tc>
      </w:tr>
      <w:tr w:rsidR="0048641F" w:rsidRPr="00BD01D9">
        <w:tc>
          <w:tcPr>
            <w:tcW w:w="2376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DTP3 (3rd dose)</w:t>
            </w:r>
          </w:p>
        </w:tc>
        <w:tc>
          <w:tcPr>
            <w:tcW w:w="1008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DTP3</w:t>
            </w:r>
          </w:p>
        </w:tc>
        <w:tc>
          <w:tcPr>
            <w:tcW w:w="158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Child health/immunisation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0.125</w:t>
            </w:r>
          </w:p>
        </w:tc>
        <w:tc>
          <w:tcPr>
            <w:tcW w:w="122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0.125</w:t>
            </w:r>
          </w:p>
        </w:tc>
        <w:tc>
          <w:tcPr>
            <w:tcW w:w="208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0.138</w:t>
            </w:r>
          </w:p>
        </w:tc>
      </w:tr>
      <w:tr w:rsidR="0048641F" w:rsidRPr="00BD01D9">
        <w:tc>
          <w:tcPr>
            <w:tcW w:w="2376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Measles vaccine (1st dose)</w:t>
            </w:r>
          </w:p>
        </w:tc>
        <w:tc>
          <w:tcPr>
            <w:tcW w:w="1008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MCV1</w:t>
            </w:r>
          </w:p>
        </w:tc>
        <w:tc>
          <w:tcPr>
            <w:tcW w:w="158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Child health/immunisation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0.125</w:t>
            </w:r>
          </w:p>
        </w:tc>
        <w:tc>
          <w:tcPr>
            <w:tcW w:w="122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0.125</w:t>
            </w:r>
          </w:p>
        </w:tc>
        <w:tc>
          <w:tcPr>
            <w:tcW w:w="208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0.138</w:t>
            </w:r>
          </w:p>
        </w:tc>
      </w:tr>
      <w:tr w:rsidR="0048641F" w:rsidRPr="00BD01D9">
        <w:tc>
          <w:tcPr>
            <w:tcW w:w="2376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Zero-dose DTP (reciprocal)</w:t>
            </w:r>
          </w:p>
        </w:tc>
        <w:tc>
          <w:tcPr>
            <w:tcW w:w="1008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ZeroDose</w:t>
            </w:r>
          </w:p>
        </w:tc>
        <w:tc>
          <w:tcPr>
            <w:tcW w:w="158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Child health/immunisation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0.125</w:t>
            </w:r>
          </w:p>
        </w:tc>
        <w:tc>
          <w:tcPr>
            <w:tcW w:w="1224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0.125</w:t>
            </w:r>
          </w:p>
        </w:tc>
        <w:tc>
          <w:tcPr>
            <w:tcW w:w="2088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0.082</w:t>
            </w:r>
          </w:p>
        </w:tc>
      </w:tr>
      <w:tr w:rsidR="0048641F" w:rsidRPr="00BD01D9" w:rsidTr="009860DD"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  <w:t>Column sum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5"/>
              </w:rPr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1.000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1.000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5"/>
              </w:rPr>
              <w:t>1.000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RMNCH = reproductive, maternal, newborn, and child health. Domain-proportional weight = 0·5/4 = 0·125 per indicator within each of the two equally sized domains.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The eight-indicator set is balanced across two domains. Equal and domain-proportional weighting therefore assign 0.125 per indicator. The first factor explained 63.9% of component variance; loading-derived weights were examined as a sensitivity analysis.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Table S6b. Sensitivity analysis of alternative CRCS weighting schemes</w:t>
      </w:r>
    </w:p>
    <w:tbl>
      <w:tblPr>
        <w:tblStyle w:val="Table"/>
        <w:tblW w:w="0" w:type="auto"/>
        <w:jc w:val="center"/>
        <w:tblLayout w:type="fixed"/>
        <w:tblLook w:val="0020" w:firstRow="1" w:lastRow="0" w:firstColumn="0" w:lastColumn="0" w:noHBand="0" w:noVBand="0"/>
      </w:tblPr>
      <w:tblGrid>
        <w:gridCol w:w="6109"/>
        <w:gridCol w:w="1257"/>
        <w:gridCol w:w="1490"/>
      </w:tblGrid>
      <w:tr w:rsidR="0048641F" w:rsidRPr="00BD01D9" w:rsidTr="00986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120" w:type="dxa"/>
            <w:tcBorders>
              <w:top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Arial" w:hAnsi="Arial" w:cs="Times New Roman"/>
                <w:b/>
                <w:sz w:val="16"/>
                <w:szCs w:val="22"/>
              </w:rPr>
              <w:t>Comparison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Arial" w:hAnsi="Arial" w:cs="Times New Roman"/>
                <w:b/>
                <w:sz w:val="16"/>
                <w:szCs w:val="22"/>
              </w:rPr>
              <w:t>Spearman ρ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Arial" w:hAnsi="Arial" w:cs="Times New Roman"/>
                <w:b/>
                <w:sz w:val="16"/>
                <w:szCs w:val="22"/>
              </w:rPr>
              <w:t>n observations</w:t>
            </w:r>
          </w:p>
        </w:tc>
      </w:tr>
      <w:tr w:rsidR="0048641F" w:rsidRPr="00BD01D9">
        <w:tc>
          <w:tcPr>
            <w:tcW w:w="612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CRCS vs RMNCH-domain score</w:t>
            </w:r>
          </w:p>
        </w:tc>
        <w:tc>
          <w:tcPr>
            <w:tcW w:w="144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0.926</w:t>
            </w:r>
          </w:p>
        </w:tc>
        <w:tc>
          <w:tcPr>
            <w:tcW w:w="180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206</w:t>
            </w:r>
          </w:p>
        </w:tc>
      </w:tr>
      <w:tr w:rsidR="0048641F" w:rsidRPr="00BD01D9">
        <w:tc>
          <w:tcPr>
            <w:tcW w:w="612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CRCS vs child-health/immunisation-domain score</w:t>
            </w:r>
          </w:p>
        </w:tc>
        <w:tc>
          <w:tcPr>
            <w:tcW w:w="144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0.804</w:t>
            </w:r>
          </w:p>
        </w:tc>
        <w:tc>
          <w:tcPr>
            <w:tcW w:w="180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207</w:t>
            </w:r>
          </w:p>
        </w:tc>
      </w:tr>
      <w:tr w:rsidR="0048641F" w:rsidRPr="00BD01D9">
        <w:tc>
          <w:tcPr>
            <w:tcW w:w="612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CRCS vs domain-balanced CRCS</w:t>
            </w:r>
          </w:p>
        </w:tc>
        <w:tc>
          <w:tcPr>
            <w:tcW w:w="1440" w:type="dxa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0.991</w:t>
            </w:r>
          </w:p>
        </w:tc>
        <w:tc>
          <w:tcPr>
            <w:tcW w:w="180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203</w:t>
            </w:r>
          </w:p>
        </w:tc>
      </w:tr>
      <w:tr w:rsidR="0048641F" w:rsidRPr="00BD01D9" w:rsidTr="009860DD"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CRCS vs factor-weighted CRCS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6"/>
              </w:rPr>
              <w:t>0.992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6"/>
              </w:rPr>
              <w:t>210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Notes: Each direction-harmonised P:R component was capped at 1 before aggregation so that pro-poor values did not offset disadvantage in other indicators.</w:t>
      </w:r>
    </w:p>
    <w:p w:rsidR="009860DD" w:rsidRPr="00BD01D9" w:rsidRDefault="009860DD" w:rsidP="00BD01D9">
      <w:pPr>
        <w:rPr>
          <w:rFonts w:ascii="Times New Roman" w:hAnsi="Times New Roman" w:cs="Times New Roman"/>
          <w:sz w:val="22"/>
          <w:szCs w:val="22"/>
        </w:rPr>
        <w:sectPr w:rsidR="009860DD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14" w:name="Xa4ab083b0a77b8612b23bf7fc6337742994f087"/>
      <w:bookmarkEnd w:id="13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Table S7 - Association-model specification and diagnostics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Title: Prespecified model, singularity audit, and final robust specification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673"/>
        <w:gridCol w:w="2214"/>
        <w:gridCol w:w="1829"/>
        <w:gridCol w:w="1156"/>
        <w:gridCol w:w="1156"/>
        <w:gridCol w:w="481"/>
        <w:gridCol w:w="481"/>
        <w:gridCol w:w="866"/>
      </w:tblGrid>
      <w:tr w:rsidR="0048641F" w:rsidRPr="00BD01D9" w:rsidTr="00986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02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Dimension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Specification</w:t>
            </w:r>
          </w:p>
        </w:tc>
        <w:tc>
          <w:tcPr>
            <w:tcW w:w="1635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Evidence</w:t>
            </w:r>
          </w:p>
        </w:tc>
        <w:tc>
          <w:tcPr>
            <w:tcW w:w="1033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Sensitivity</w:t>
            </w:r>
          </w:p>
        </w:tc>
        <w:tc>
          <w:tcPr>
            <w:tcW w:w="1033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Specificity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PPV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NPV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Decision</w:t>
            </w:r>
          </w:p>
        </w:tc>
      </w:tr>
      <w:tr w:rsidR="0048641F" w:rsidRPr="00BD01D9">
        <w:tc>
          <w:tcPr>
            <w:tcW w:w="60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Analysis set</w:t>
            </w:r>
          </w:p>
        </w:tc>
        <w:tc>
          <w:tcPr>
            <w:tcW w:w="197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Full sample</w:t>
            </w:r>
          </w:p>
        </w:tc>
        <w:tc>
          <w:tcPr>
            <w:tcW w:w="163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1,022 pairs; 73 events</w:t>
            </w:r>
          </w:p>
        </w:tc>
        <w:tc>
          <w:tcPr>
            <w:tcW w:w="103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103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43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43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77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Retain</w:t>
            </w:r>
          </w:p>
        </w:tc>
      </w:tr>
      <w:tr w:rsidR="0048641F" w:rsidRPr="00BD01D9">
        <w:tc>
          <w:tcPr>
            <w:tcW w:w="60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Initial mixed model</w:t>
            </w:r>
          </w:p>
        </w:tc>
        <w:tc>
          <w:tcPr>
            <w:tcW w:w="197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Country + indicator random intercepts</w:t>
            </w:r>
          </w:p>
        </w:tc>
        <w:tc>
          <w:tcPr>
            <w:tcW w:w="163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20/20 singular fits</w:t>
            </w:r>
          </w:p>
        </w:tc>
        <w:tc>
          <w:tcPr>
            <w:tcW w:w="103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103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43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43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77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Reject</w:t>
            </w:r>
          </w:p>
        </w:tc>
      </w:tr>
      <w:tr w:rsidR="0048641F" w:rsidRPr="00BD01D9" w:rsidTr="009860DD">
        <w:tc>
          <w:tcPr>
            <w:tcW w:w="602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Final model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Indicator fixed effects; country-clustered HC0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20/20 converged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774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Use for exploratory inference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The structural dataset contained 1,022 consecutive survey pairs, 73 deterioration events, and 81 countries. Prediction performance was not a study objective.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The initial country-plus-indicator random-intercept model was singular in all 20 imputations because country-level variance was approximately zero. The final model used the full sample, indicator fixed effects, and country-clustered HC0 covariance.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All 20 final models converged; estimates and covariance matrices were pooled using Rubin's rules.</w:t>
      </w:r>
    </w:p>
    <w:p w:rsidR="009860DD" w:rsidRPr="00BD01D9" w:rsidRDefault="009860DD" w:rsidP="00BD01D9">
      <w:pPr>
        <w:rPr>
          <w:rFonts w:ascii="Times New Roman" w:hAnsi="Times New Roman" w:cs="Times New Roman"/>
          <w:sz w:val="22"/>
          <w:szCs w:val="22"/>
        </w:rPr>
        <w:sectPr w:rsidR="009860DD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15" w:name="Xefffb6a7d798a1fac5ecfd7aa54e0c1cb5bd3d2"/>
      <w:bookmarkEnd w:id="14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Table S8 - Full exploratory structural-correlate results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Title: Pooled logistic regression results for all 12 country-level covariates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Analytic sample: 1,022 pairs; 73 events (7.1%); 81 countries; 8 indicators. Continuous covariates were standardised; ORs are per 1-SD increase.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44"/>
        <w:gridCol w:w="1264"/>
        <w:gridCol w:w="575"/>
        <w:gridCol w:w="1496"/>
        <w:gridCol w:w="1496"/>
        <w:gridCol w:w="1035"/>
        <w:gridCol w:w="1150"/>
        <w:gridCol w:w="1496"/>
      </w:tblGrid>
      <w:tr w:rsidR="0048641F" w:rsidRPr="00BD01D9" w:rsidTr="00986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#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Covariate</w:t>
            </w:r>
          </w:p>
        </w:tc>
        <w:tc>
          <w:tcPr>
            <w:tcW w:w="514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OR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95% CI Lower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95% CI Upper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p-value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BH-FDR q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Significance</w:t>
            </w:r>
          </w:p>
        </w:tc>
      </w:tr>
      <w:tr w:rsidR="0048641F" w:rsidRPr="00BD01D9">
        <w:tc>
          <w:tcPr>
            <w:tcW w:w="30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</w:t>
            </w:r>
          </w:p>
        </w:tc>
        <w:tc>
          <w:tcPr>
            <w:tcW w:w="113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GDP per capita (log)</w:t>
            </w:r>
          </w:p>
        </w:tc>
        <w:tc>
          <w:tcPr>
            <w:tcW w:w="51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0.870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0.433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1.749</w:t>
            </w:r>
          </w:p>
        </w:tc>
        <w:tc>
          <w:tcPr>
            <w:tcW w:w="92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0.6955</w:t>
            </w:r>
          </w:p>
        </w:tc>
        <w:tc>
          <w:tcPr>
            <w:tcW w:w="102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0.927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/>
          </w:p>
        </w:tc>
      </w:tr>
      <w:tr w:rsidR="0048641F" w:rsidRPr="00BD01D9">
        <w:tc>
          <w:tcPr>
            <w:tcW w:w="30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</w:t>
            </w:r>
          </w:p>
        </w:tc>
        <w:tc>
          <w:tcPr>
            <w:tcW w:w="113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GDP growth rate</w:t>
            </w:r>
          </w:p>
        </w:tc>
        <w:tc>
          <w:tcPr>
            <w:tcW w:w="51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0.964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0.731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1.272</w:t>
            </w:r>
          </w:p>
        </w:tc>
        <w:tc>
          <w:tcPr>
            <w:tcW w:w="92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0.7953</w:t>
            </w:r>
          </w:p>
        </w:tc>
        <w:tc>
          <w:tcPr>
            <w:tcW w:w="102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0.944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/>
          </w:p>
        </w:tc>
      </w:tr>
      <w:tr w:rsidR="0048641F" w:rsidRPr="00BD01D9">
        <w:tc>
          <w:tcPr>
            <w:tcW w:w="30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3</w:t>
            </w:r>
          </w:p>
        </w:tc>
        <w:tc>
          <w:tcPr>
            <w:tcW w:w="113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Gini index</w:t>
            </w:r>
          </w:p>
        </w:tc>
        <w:tc>
          <w:tcPr>
            <w:tcW w:w="51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1.297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0.910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1.849</w:t>
            </w:r>
          </w:p>
        </w:tc>
        <w:tc>
          <w:tcPr>
            <w:tcW w:w="92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0.1498</w:t>
            </w:r>
          </w:p>
        </w:tc>
        <w:tc>
          <w:tcPr>
            <w:tcW w:w="102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0.817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/>
          </w:p>
        </w:tc>
      </w:tr>
      <w:tr w:rsidR="0048641F" w:rsidRPr="00BD01D9">
        <w:tc>
          <w:tcPr>
            <w:tcW w:w="30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4</w:t>
            </w:r>
          </w:p>
        </w:tc>
        <w:tc>
          <w:tcPr>
            <w:tcW w:w="113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Health expenditure (% GDP)</w:t>
            </w:r>
          </w:p>
        </w:tc>
        <w:tc>
          <w:tcPr>
            <w:tcW w:w="51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1.182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0.876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1.596</w:t>
            </w:r>
          </w:p>
        </w:tc>
        <w:tc>
          <w:tcPr>
            <w:tcW w:w="92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0.2739</w:t>
            </w:r>
          </w:p>
        </w:tc>
        <w:tc>
          <w:tcPr>
            <w:tcW w:w="102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0.817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/>
          </w:p>
        </w:tc>
      </w:tr>
      <w:tr w:rsidR="0048641F" w:rsidRPr="00BD01D9">
        <w:tc>
          <w:tcPr>
            <w:tcW w:w="30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5</w:t>
            </w:r>
          </w:p>
        </w:tc>
        <w:tc>
          <w:tcPr>
            <w:tcW w:w="113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Health expenditure per capita</w:t>
            </w:r>
          </w:p>
        </w:tc>
        <w:tc>
          <w:tcPr>
            <w:tcW w:w="51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0.962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0.512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1.807</w:t>
            </w:r>
          </w:p>
        </w:tc>
        <w:tc>
          <w:tcPr>
            <w:tcW w:w="92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0.9042</w:t>
            </w:r>
          </w:p>
        </w:tc>
        <w:tc>
          <w:tcPr>
            <w:tcW w:w="102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0.944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/>
          </w:p>
        </w:tc>
      </w:tr>
      <w:tr w:rsidR="0048641F" w:rsidRPr="00BD01D9">
        <w:tc>
          <w:tcPr>
            <w:tcW w:w="30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6</w:t>
            </w:r>
          </w:p>
        </w:tc>
        <w:tc>
          <w:tcPr>
            <w:tcW w:w="113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Urbanisation rate</w:t>
            </w:r>
          </w:p>
        </w:tc>
        <w:tc>
          <w:tcPr>
            <w:tcW w:w="51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1.681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1.202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2.352</w:t>
            </w:r>
          </w:p>
        </w:tc>
        <w:tc>
          <w:tcPr>
            <w:tcW w:w="92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0.0024</w:t>
            </w:r>
          </w:p>
        </w:tc>
        <w:tc>
          <w:tcPr>
            <w:tcW w:w="102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0.029</w:t>
            </w:r>
          </w:p>
        </w:tc>
        <w:tc>
          <w:tcPr>
            <w:tcW w:w="1337" w:type="dxa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**</w:t>
            </w:r>
          </w:p>
        </w:tc>
      </w:tr>
      <w:tr w:rsidR="0048641F" w:rsidRPr="00BD01D9">
        <w:tc>
          <w:tcPr>
            <w:tcW w:w="30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7</w:t>
            </w:r>
          </w:p>
        </w:tc>
        <w:tc>
          <w:tcPr>
            <w:tcW w:w="113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Nurses and midwives</w:t>
            </w:r>
          </w:p>
        </w:tc>
        <w:tc>
          <w:tcPr>
            <w:tcW w:w="51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0.907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0.563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1.462</w:t>
            </w:r>
          </w:p>
        </w:tc>
        <w:tc>
          <w:tcPr>
            <w:tcW w:w="92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0.6883</w:t>
            </w:r>
          </w:p>
        </w:tc>
        <w:tc>
          <w:tcPr>
            <w:tcW w:w="102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0.927</w:t>
            </w:r>
          </w:p>
        </w:tc>
        <w:tc>
          <w:tcPr>
            <w:tcW w:w="1337" w:type="dxa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/>
          </w:p>
        </w:tc>
      </w:tr>
      <w:tr w:rsidR="0048641F" w:rsidRPr="00BD01D9">
        <w:tc>
          <w:tcPr>
            <w:tcW w:w="30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8</w:t>
            </w:r>
          </w:p>
        </w:tc>
        <w:tc>
          <w:tcPr>
            <w:tcW w:w="113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Crude birth rate</w:t>
            </w:r>
          </w:p>
        </w:tc>
        <w:tc>
          <w:tcPr>
            <w:tcW w:w="51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1.224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0.780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1.920</w:t>
            </w:r>
          </w:p>
        </w:tc>
        <w:tc>
          <w:tcPr>
            <w:tcW w:w="92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0.3798</w:t>
            </w:r>
          </w:p>
        </w:tc>
        <w:tc>
          <w:tcPr>
            <w:tcW w:w="102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0.817</w:t>
            </w:r>
          </w:p>
        </w:tc>
        <w:tc>
          <w:tcPr>
            <w:tcW w:w="1337" w:type="dxa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/>
          </w:p>
        </w:tc>
      </w:tr>
      <w:tr w:rsidR="0048641F" w:rsidRPr="00BD01D9">
        <w:tc>
          <w:tcPr>
            <w:tcW w:w="30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9</w:t>
            </w:r>
          </w:p>
        </w:tc>
        <w:tc>
          <w:tcPr>
            <w:tcW w:w="113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Adult literacy rate</w:t>
            </w:r>
          </w:p>
        </w:tc>
        <w:tc>
          <w:tcPr>
            <w:tcW w:w="51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1.136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0.625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2.064</w:t>
            </w:r>
          </w:p>
        </w:tc>
        <w:tc>
          <w:tcPr>
            <w:tcW w:w="92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0.6739</w:t>
            </w:r>
          </w:p>
        </w:tc>
        <w:tc>
          <w:tcPr>
            <w:tcW w:w="102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0.927</w:t>
            </w:r>
          </w:p>
        </w:tc>
        <w:tc>
          <w:tcPr>
            <w:tcW w:w="1337" w:type="dxa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/>
          </w:p>
        </w:tc>
      </w:tr>
      <w:tr w:rsidR="0048641F" w:rsidRPr="00BD01D9">
        <w:tc>
          <w:tcPr>
            <w:tcW w:w="30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10</w:t>
            </w:r>
          </w:p>
        </w:tc>
        <w:tc>
          <w:tcPr>
            <w:tcW w:w="113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Political stability</w:t>
            </w:r>
          </w:p>
        </w:tc>
        <w:tc>
          <w:tcPr>
            <w:tcW w:w="51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0.873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0.632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1.205</w:t>
            </w:r>
          </w:p>
        </w:tc>
        <w:tc>
          <w:tcPr>
            <w:tcW w:w="92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0.4084</w:t>
            </w:r>
          </w:p>
        </w:tc>
        <w:tc>
          <w:tcPr>
            <w:tcW w:w="102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0.817</w:t>
            </w:r>
          </w:p>
        </w:tc>
        <w:tc>
          <w:tcPr>
            <w:tcW w:w="1337" w:type="dxa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/>
          </w:p>
        </w:tc>
      </w:tr>
      <w:tr w:rsidR="0048641F" w:rsidRPr="00BD01D9">
        <w:tc>
          <w:tcPr>
            <w:tcW w:w="30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11</w:t>
            </w:r>
          </w:p>
        </w:tc>
        <w:tc>
          <w:tcPr>
            <w:tcW w:w="113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Government effectiveness</w:t>
            </w:r>
          </w:p>
        </w:tc>
        <w:tc>
          <w:tcPr>
            <w:tcW w:w="51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0.793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0.526</w:t>
            </w:r>
          </w:p>
        </w:tc>
        <w:tc>
          <w:tcPr>
            <w:tcW w:w="133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1.195</w:t>
            </w:r>
          </w:p>
        </w:tc>
        <w:tc>
          <w:tcPr>
            <w:tcW w:w="92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0.2667</w:t>
            </w:r>
          </w:p>
        </w:tc>
        <w:tc>
          <w:tcPr>
            <w:tcW w:w="102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0.817</w:t>
            </w:r>
          </w:p>
        </w:tc>
        <w:tc>
          <w:tcPr>
            <w:tcW w:w="1337" w:type="dxa"/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/>
          </w:p>
        </w:tc>
      </w:tr>
      <w:tr w:rsidR="0048641F" w:rsidRPr="00BD01D9" w:rsidTr="009860DD">
        <w:tc>
          <w:tcPr>
            <w:tcW w:w="308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12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COVID-19 mortality</w:t>
            </w:r>
          </w:p>
        </w:tc>
        <w:tc>
          <w:tcPr>
            <w:tcW w:w="514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1.014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0.687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1.495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0.9439</w:t>
            </w: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0.944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/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Model: unweighted logistic regression with indicator fixed effects and country-clustered HC0 robust covariance, fitted in each of 20 completed datasets and pooled with Rubin's rules. BH-FDR correction was applied across 12 covariates.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** indicates FDR q&lt;0.05. All associations are exploratory and non-causal.</w:t>
      </w:r>
    </w:p>
    <w:p w:rsidR="009860DD" w:rsidRPr="00BD01D9" w:rsidRDefault="009860DD" w:rsidP="00BD01D9">
      <w:pPr>
        <w:rPr>
          <w:rFonts w:ascii="Times New Roman" w:hAnsi="Times New Roman" w:cs="Times New Roman"/>
          <w:sz w:val="22"/>
          <w:szCs w:val="22"/>
        </w:rPr>
        <w:sectPr w:rsidR="009860DD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16" w:name="Xf531eac45d96ca2bbd606fe5cfe819ae6db1674"/>
      <w:bookmarkEnd w:id="15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Table S9 - ITS-eligible countries and observed post-2020 CRCS change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Title: Survey timing and observed CRCS change in the 20 ITS-eligible countries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Overall ITS: post-2020 level change=0.014 (95% CI -0.052 to 0.080; p=0.673). The continuous-time AR(1) and discrete-time AR(1) specifications produced the same estimate.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Observed change differed by income group (Kruskal-Wallis p=0.038), but LIC and UMIC contained only three and two countries. These subgroup summaries are descriptive.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817"/>
        <w:gridCol w:w="992"/>
        <w:gridCol w:w="851"/>
        <w:gridCol w:w="1134"/>
        <w:gridCol w:w="1276"/>
        <w:gridCol w:w="850"/>
        <w:gridCol w:w="992"/>
        <w:gridCol w:w="1139"/>
        <w:gridCol w:w="805"/>
      </w:tblGrid>
      <w:tr w:rsidR="004A5E46" w:rsidRPr="00BD01D9" w:rsidTr="009D2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817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ISO3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Country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WHO Region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Income Group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Pre year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Post year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Pre CRCS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Post CRCS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Change / DTW cluster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AFG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Afghanistan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EMR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2015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2022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0.555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0.467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-0.088; cluster 1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MOZ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Mozambique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AFR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2015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2022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0.557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0.445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-0.112; cluster 1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MWI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Malawi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AFR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2015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2020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0.885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0.833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-0.052; cluster 2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BEN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Benin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AFR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LMIC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2017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2021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0.546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0.562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+0.016; cluster 1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BGD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Bangladesh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SEAR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LMIC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2019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2022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0.508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0.543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+0.035; cluster 1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CIV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Côte d’Ivoire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AFR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LMIC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2016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2021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0.539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0.783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+0.245; cluster 1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GHA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Ghana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AFR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LMIC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2017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2022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0.745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0.756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+0.011; cluster 2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JOR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Jordan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EMR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LMIC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2017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2023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0.883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0.750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-0.133; cluster 2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KHM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Cambodia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WPR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LMIC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2014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2021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0.712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0.828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+0.116; cluster 2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LSO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Lesotho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AFR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LMIC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2018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2023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0.802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0.767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-0.035; cluster 2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MRT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Mauritania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AFR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LMIC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2015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2020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0.420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0.525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+0.105; cluster 1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NGA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Nigeria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AFR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LMIC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2018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2021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0.282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0.362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+0.080; cluster 1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NPL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Nepal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SEAR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LMIC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2019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2022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0.728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0.764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+0.036; cluster 1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PHL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Philippines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WPR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LMIC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2017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2022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0.719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0.697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-0.021; cluster 2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PSE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State of Palestine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EMR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LMIC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2014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2020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0.909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0.898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-0.010; cluster 2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SEN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Senegal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AFR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LMIC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2019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2023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0.622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0.768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+0.146; cluster 1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SWZ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Eswatini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AFR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LMIC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2014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2022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0.827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0.798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-0.029; cluster 2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TZA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United Republic of Tanzania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AFR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LMIC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2015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2022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0.577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0.752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+0.175; cluster 1</w:t>
            </w:r>
          </w:p>
        </w:tc>
      </w:tr>
      <w:tr w:rsidR="004A5E46" w:rsidRPr="00BD01D9" w:rsidTr="009D2CFA">
        <w:tc>
          <w:tcPr>
            <w:tcW w:w="81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PER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Peru</w:t>
            </w:r>
          </w:p>
        </w:tc>
        <w:tc>
          <w:tcPr>
            <w:tcW w:w="85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AMR</w:t>
            </w:r>
          </w:p>
        </w:tc>
        <w:tc>
          <w:tcPr>
            <w:tcW w:w="113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UMIC</w:t>
            </w:r>
          </w:p>
        </w:tc>
        <w:tc>
          <w:tcPr>
            <w:tcW w:w="127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2015</w:t>
            </w:r>
          </w:p>
        </w:tc>
        <w:tc>
          <w:tcPr>
            <w:tcW w:w="85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2020</w:t>
            </w:r>
          </w:p>
        </w:tc>
        <w:tc>
          <w:tcPr>
            <w:tcW w:w="99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0.777</w:t>
            </w:r>
          </w:p>
        </w:tc>
        <w:tc>
          <w:tcPr>
            <w:tcW w:w="11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0.940</w:t>
            </w:r>
          </w:p>
        </w:tc>
        <w:tc>
          <w:tcPr>
            <w:tcW w:w="8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+0.162; cluster 2</w:t>
            </w:r>
          </w:p>
        </w:tc>
      </w:tr>
      <w:tr w:rsidR="004A5E46" w:rsidRPr="00BD01D9" w:rsidTr="009D2CFA">
        <w:tc>
          <w:tcPr>
            <w:tcW w:w="817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THA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Thailand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SEAR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UMIC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2019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2022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0.811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0.883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+0.072; cluster 2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Notes: Change=first post-2020 CRCS minus last pre-2020 CRCS; negative values indicate deterioration.</w:t>
      </w:r>
    </w:p>
    <w:p w:rsidR="009D2CFA" w:rsidRPr="00BD01D9" w:rsidRDefault="009D2CFA" w:rsidP="00BD01D9">
      <w:pPr>
        <w:rPr>
          <w:rFonts w:ascii="Times New Roman" w:hAnsi="Times New Roman" w:cs="Times New Roman"/>
          <w:sz w:val="22"/>
          <w:szCs w:val="22"/>
        </w:rPr>
        <w:sectPr w:rsidR="009D2CFA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17" w:name="X2fd8f7cec8e51a278d0e630f9d7a12fdc66842a"/>
      <w:bookmarkEnd w:id="16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Table S10 - Operational concordance: P:R ratio versus RII classification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Title: Cross-tabulation of P:R and RII categories across matched observations, 2010-2023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The P:R ratio uses Q1 and Q5 endpoints; RII uses the full socioeconomic gradient. Both were direction-harmonised and classified into comparable Equitable, Moderate, and Severe categories.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025"/>
        <w:gridCol w:w="2530"/>
        <w:gridCol w:w="2277"/>
        <w:gridCol w:w="2024"/>
      </w:tblGrid>
      <w:tr w:rsidR="0048641F" w:rsidRPr="00BD01D9" w:rsidTr="00667E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10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Metric</w:t>
            </w:r>
          </w:p>
        </w:tc>
        <w:tc>
          <w:tcPr>
            <w:tcW w:w="2262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Equitable</w:t>
            </w:r>
          </w:p>
        </w:tc>
        <w:tc>
          <w:tcPr>
            <w:tcW w:w="2036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Moderate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Severe</w:t>
            </w:r>
          </w:p>
        </w:tc>
      </w:tr>
      <w:tr w:rsidR="0048641F" w:rsidRPr="00BD01D9">
        <w:tc>
          <w:tcPr>
            <w:tcW w:w="181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P:R ratio (all indicators, direction-harmonised)</w:t>
            </w:r>
          </w:p>
        </w:tc>
        <w:tc>
          <w:tcPr>
            <w:tcW w:w="22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&gt;=0.80</w:t>
            </w:r>
          </w:p>
        </w:tc>
        <w:tc>
          <w:tcPr>
            <w:tcW w:w="20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0.60 to &lt;0.80</w:t>
            </w:r>
          </w:p>
        </w:tc>
        <w:tc>
          <w:tcPr>
            <w:tcW w:w="181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&lt;0.60</w:t>
            </w:r>
          </w:p>
        </w:tc>
      </w:tr>
      <w:tr w:rsidR="0048641F" w:rsidRPr="00BD01D9">
        <w:tc>
          <w:tcPr>
            <w:tcW w:w="181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RII (favourable indicators)</w:t>
            </w:r>
          </w:p>
        </w:tc>
        <w:tc>
          <w:tcPr>
            <w:tcW w:w="2262" w:type="dxa"/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&lt;=1.25</w:t>
            </w:r>
          </w:p>
        </w:tc>
        <w:tc>
          <w:tcPr>
            <w:tcW w:w="20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&gt;1.25 to &lt;=1.67</w:t>
            </w:r>
          </w:p>
        </w:tc>
        <w:tc>
          <w:tcPr>
            <w:tcW w:w="181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&gt;1.67</w:t>
            </w:r>
          </w:p>
        </w:tc>
      </w:tr>
      <w:tr w:rsidR="0048641F" w:rsidRPr="00BD01D9">
        <w:tc>
          <w:tcPr>
            <w:tcW w:w="181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RII (ZeroDose, direction-harmonised)</w:t>
            </w:r>
          </w:p>
        </w:tc>
        <w:tc>
          <w:tcPr>
            <w:tcW w:w="226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&gt;=0.80</w:t>
            </w:r>
          </w:p>
        </w:tc>
        <w:tc>
          <w:tcPr>
            <w:tcW w:w="20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0.60 to &lt;0.80</w:t>
            </w:r>
          </w:p>
        </w:tc>
        <w:tc>
          <w:tcPr>
            <w:tcW w:w="181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&lt;0.60</w:t>
            </w:r>
          </w:p>
        </w:tc>
      </w:tr>
      <w:tr w:rsidR="0048641F" w:rsidRPr="00BD01D9" w:rsidTr="00667E6D">
        <w:tc>
          <w:tcPr>
            <w:tcW w:w="1810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Interpretation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Screening category</w:t>
            </w: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Screening category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Screening category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Primary validation used all observations with valid P:R and RII estimates.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Part A - Cross-tabulation (n=1,202 matched observations)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526"/>
        <w:gridCol w:w="1984"/>
        <w:gridCol w:w="2136"/>
        <w:gridCol w:w="2214"/>
        <w:gridCol w:w="996"/>
      </w:tblGrid>
      <w:tr w:rsidR="0048641F" w:rsidRPr="00BD01D9" w:rsidTr="00667E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26" w:type="dxa"/>
            <w:tcBorders>
              <w:top w:val="single" w:sz="4" w:space="0" w:color="auto"/>
            </w:tcBorders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/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RII: Equitable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RII: Moderate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RII: Severe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Row total</w:t>
            </w:r>
          </w:p>
        </w:tc>
      </w:tr>
      <w:tr w:rsidR="0048641F" w:rsidRPr="00BD01D9" w:rsidTr="00667E6D">
        <w:tc>
          <w:tcPr>
            <w:tcW w:w="152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P:R: Equitable</w:t>
            </w:r>
          </w:p>
        </w:tc>
        <w:tc>
          <w:tcPr>
            <w:tcW w:w="198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445</w:t>
            </w:r>
          </w:p>
        </w:tc>
        <w:tc>
          <w:tcPr>
            <w:tcW w:w="21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67</w:t>
            </w:r>
          </w:p>
        </w:tc>
        <w:tc>
          <w:tcPr>
            <w:tcW w:w="221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5</w:t>
            </w:r>
          </w:p>
        </w:tc>
        <w:tc>
          <w:tcPr>
            <w:tcW w:w="99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517</w:t>
            </w:r>
          </w:p>
        </w:tc>
      </w:tr>
      <w:tr w:rsidR="0048641F" w:rsidRPr="00BD01D9" w:rsidTr="00667E6D">
        <w:tc>
          <w:tcPr>
            <w:tcW w:w="152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P:R: Moderate</w:t>
            </w:r>
          </w:p>
        </w:tc>
        <w:tc>
          <w:tcPr>
            <w:tcW w:w="198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6</w:t>
            </w:r>
          </w:p>
        </w:tc>
        <w:tc>
          <w:tcPr>
            <w:tcW w:w="21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151</w:t>
            </w:r>
          </w:p>
        </w:tc>
        <w:tc>
          <w:tcPr>
            <w:tcW w:w="221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84</w:t>
            </w:r>
          </w:p>
        </w:tc>
        <w:tc>
          <w:tcPr>
            <w:tcW w:w="99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241</w:t>
            </w:r>
          </w:p>
        </w:tc>
      </w:tr>
      <w:tr w:rsidR="0048641F" w:rsidRPr="00BD01D9" w:rsidTr="00667E6D">
        <w:tc>
          <w:tcPr>
            <w:tcW w:w="152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P:R: Severe</w:t>
            </w:r>
          </w:p>
        </w:tc>
        <w:tc>
          <w:tcPr>
            <w:tcW w:w="198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4</w:t>
            </w:r>
          </w:p>
        </w:tc>
        <w:tc>
          <w:tcPr>
            <w:tcW w:w="21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9</w:t>
            </w:r>
          </w:p>
        </w:tc>
        <w:tc>
          <w:tcPr>
            <w:tcW w:w="221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431</w:t>
            </w:r>
          </w:p>
        </w:tc>
        <w:tc>
          <w:tcPr>
            <w:tcW w:w="99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444</w:t>
            </w:r>
          </w:p>
        </w:tc>
      </w:tr>
      <w:tr w:rsidR="0048641F" w:rsidRPr="00BD01D9" w:rsidTr="00667E6D">
        <w:tc>
          <w:tcPr>
            <w:tcW w:w="1526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Column total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455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227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520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1202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Linearly weighted Cohen's kappa=0.896 (95% CI 0.879-0.913); exact agreement=85.4%.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Part B - Threshold sensitivity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056"/>
        <w:gridCol w:w="1469"/>
        <w:gridCol w:w="1469"/>
        <w:gridCol w:w="1224"/>
        <w:gridCol w:w="1078"/>
      </w:tblGrid>
      <w:tr w:rsidR="0048641F" w:rsidRPr="00BD01D9" w:rsidTr="00667E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Comparison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Weighted kappa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Exact agreement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Interpretation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/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Primary vs lenient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0.907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91.2%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Near-perfect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/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Primary vs strict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0.878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88.3%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Near-perfect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/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Primary scheme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&gt;=0.80 / 0.60-&lt;0.80 / &lt;0.60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Retained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/>
          </w:p>
        </w:tc>
      </w:tr>
      <w:tr w:rsidR="0048641F" w:rsidRPr="00BD01D9" w:rsidTr="00667E6D"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Purpose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Category robustness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Not a clinical threshold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/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Primary versus lenient weighted kappa=0.907; exact agreement=91.2%.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Primary versus strict weighted kappa=0.878; exact agreement=88.3%.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These comparisons assess category robustness and do not redefine the primary thresholds.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Part C - Directional asymmetry of Severe-category discordance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RII was more stringent in 89 observations; the P:R ratio was more stringent in 13.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Part D - Incremental data coverage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677"/>
        <w:gridCol w:w="668"/>
        <w:gridCol w:w="1838"/>
        <w:gridCol w:w="2673"/>
      </w:tblGrid>
      <w:tr w:rsidR="0048641F" w:rsidRPr="00BD01D9" w:rsidTr="00667E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287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Discordance direction</w:t>
            </w:r>
          </w:p>
        </w:tc>
        <w:tc>
          <w:tcPr>
            <w:tcW w:w="597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% of matched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Interpretation</w:t>
            </w:r>
          </w:p>
        </w:tc>
      </w:tr>
      <w:tr w:rsidR="0048641F" w:rsidRPr="00BD01D9">
        <w:tc>
          <w:tcPr>
            <w:tcW w:w="328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RII Severe; P:R not Severe</w:t>
            </w:r>
          </w:p>
        </w:tc>
        <w:tc>
          <w:tcPr>
            <w:tcW w:w="59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89</w:t>
            </w:r>
          </w:p>
        </w:tc>
        <w:tc>
          <w:tcPr>
            <w:tcW w:w="164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7.4%</w:t>
            </w:r>
          </w:p>
        </w:tc>
        <w:tc>
          <w:tcPr>
            <w:tcW w:w="239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RII captures full-gradient information</w:t>
            </w:r>
          </w:p>
        </w:tc>
      </w:tr>
      <w:tr w:rsidR="0048641F" w:rsidRPr="00BD01D9" w:rsidTr="00667E6D">
        <w:tc>
          <w:tcPr>
            <w:tcW w:w="3287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P:R Severe; RII not Severe</w:t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13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1.1%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Endpoint and gradient shapes differ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The P:R ratio added 447 eligible observations relative to RII (1,651 vs 1,204).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518"/>
        <w:gridCol w:w="2699"/>
        <w:gridCol w:w="3639"/>
      </w:tblGrid>
      <w:tr w:rsidR="0048641F" w:rsidRPr="00BD01D9" w:rsidTr="00667E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18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Dataset</w:t>
            </w:r>
          </w:p>
        </w:tc>
        <w:tc>
          <w:tcPr>
            <w:tcW w:w="2699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Valid observations</w:t>
            </w:r>
          </w:p>
        </w:tc>
        <w:tc>
          <w:tcPr>
            <w:tcW w:w="3639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Countries</w:t>
            </w:r>
          </w:p>
        </w:tc>
      </w:tr>
      <w:tr w:rsidR="0048641F" w:rsidRPr="00BD01D9" w:rsidTr="00667E6D">
        <w:tc>
          <w:tcPr>
            <w:tcW w:w="251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P:R ratio (Q1 and Q5)</w:t>
            </w:r>
          </w:p>
        </w:tc>
        <w:tc>
          <w:tcPr>
            <w:tcW w:w="269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1,651</w:t>
            </w:r>
          </w:p>
        </w:tc>
        <w:tc>
          <w:tcPr>
            <w:tcW w:w="36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83</w:t>
            </w:r>
          </w:p>
        </w:tc>
      </w:tr>
      <w:tr w:rsidR="0048641F" w:rsidRPr="00BD01D9" w:rsidTr="00667E6D">
        <w:tc>
          <w:tcPr>
            <w:tcW w:w="251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RII (full-gradient estimate)</w:t>
            </w:r>
          </w:p>
        </w:tc>
        <w:tc>
          <w:tcPr>
            <w:tcW w:w="269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1,204</w:t>
            </w:r>
          </w:p>
        </w:tc>
        <w:tc>
          <w:tcPr>
            <w:tcW w:w="363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83</w:t>
            </w:r>
          </w:p>
        </w:tc>
      </w:tr>
      <w:tr w:rsidR="0048641F" w:rsidRPr="00BD01D9" w:rsidTr="00667E6D">
        <w:tc>
          <w:tcPr>
            <w:tcW w:w="2518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Incremental P:R yield</w:t>
            </w: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+447</w:t>
            </w:r>
          </w:p>
        </w:tc>
        <w:tc>
          <w:tcPr>
            <w:tcW w:w="3639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 additional countries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Interpretation: high concordance supports use of the endpoint ratio as a transparent companion measure, while asymmetric discordance confirms that it cannot replace RII.</w:t>
      </w:r>
    </w:p>
    <w:p w:rsidR="00667E6D" w:rsidRPr="00BD01D9" w:rsidRDefault="00667E6D" w:rsidP="00BD01D9">
      <w:pPr>
        <w:rPr>
          <w:rFonts w:ascii="Times New Roman" w:hAnsi="Times New Roman" w:cs="Times New Roman"/>
          <w:sz w:val="22"/>
          <w:szCs w:val="22"/>
        </w:rPr>
        <w:sectPr w:rsidR="00667E6D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18" w:name="Xf4cd72da8f7430991d2da29c46d29248f5d2d3c"/>
      <w:bookmarkEnd w:id="17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Table S11 - Double-burden classification for all 83 countries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Title: Paired absolute and relative inequality profiles using the most recent indicator observations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SII_mean is the cross-indicator mean absolute SII. Severe P:R % is the proportion of available indicators in the Severe category. Primary double burden requires SII_mean at least 20 percentage points and Severe P:R % at least 50%.</w:t>
      </w:r>
    </w:p>
    <w:tbl>
      <w:tblPr>
        <w:tblStyle w:val="Table"/>
        <w:tblW w:w="5000" w:type="pct"/>
        <w:jc w:val="center"/>
        <w:tblLayout w:type="fixed"/>
        <w:tblLook w:val="0020" w:firstRow="1" w:lastRow="0" w:firstColumn="0" w:lastColumn="0" w:noHBand="0" w:noVBand="0"/>
      </w:tblPr>
      <w:tblGrid>
        <w:gridCol w:w="565"/>
        <w:gridCol w:w="848"/>
        <w:gridCol w:w="1036"/>
        <w:gridCol w:w="754"/>
        <w:gridCol w:w="1319"/>
        <w:gridCol w:w="1131"/>
        <w:gridCol w:w="1319"/>
        <w:gridCol w:w="1036"/>
      </w:tblGrid>
      <w:tr w:rsidR="0048641F" w:rsidRPr="00BD01D9" w:rsidTr="00667E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14"/>
              </w:rPr>
              <w:t>ISO3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b/>
                <w:sz w:val="14"/>
              </w:rPr>
              <w:t>Country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sz w:val="14"/>
              </w:rPr>
              <w:t>WHO Region</w:t>
            </w:r>
          </w:p>
        </w:tc>
        <w:tc>
          <w:tcPr>
            <w:tcW w:w="864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sz w:val="14"/>
              </w:rPr>
              <w:t>Income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sz w:val="14"/>
              </w:rPr>
              <w:t>Mean |SII| (pp)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sz w:val="14"/>
              </w:rPr>
              <w:t>Severe P:R (%)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sz w:val="14"/>
              </w:rPr>
              <w:t>Double burden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b/>
                <w:sz w:val="14"/>
              </w:rPr>
              <w:t>Divergence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AFG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Afghanistan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37.96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75.0%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ARM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Armenia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EUR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6.04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14.3%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AZE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Azerbaijan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EUR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35.87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BDI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Burundi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8.34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BEN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Benin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35.66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50.0%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BFA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Burkina Faso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7.56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BGD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Bangladesh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SEAR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27.27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62.5%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BIH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Bosnia and Herzegovina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EUR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5.27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16.7%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BLZ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Belize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3.79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BOL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Bolivia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2.54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CAF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Central African Republic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42.07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87.5%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CIV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Côte d’Ivoire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22.30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25.0%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CMR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Cameroon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49.01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87.5%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COD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DR Congo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34.56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62.5%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COG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Congo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31.02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25.0%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COL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Colombia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13.50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COM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Comoros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26.31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25.0%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CRI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Costa Rica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HIC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8.98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DOM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Dominican Republic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7.42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DZA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Algeria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8.76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ECU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Ecuador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3.50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EGY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Egypt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13.67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ETH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Ethiopia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NA†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50.61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87.5%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GAB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Gabon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20.07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25.0%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GHA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Ghana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19.44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GIN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Guinea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47.69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100.0%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GMB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Gambia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8.98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GNB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Guinea-Bissau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2.81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37.5%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GUY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Guyana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HIC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11.38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14.3%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HND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Honduras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22.21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HTI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Haiti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42.94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75.0%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IDN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Indonesia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WPR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22.59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25.0%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IND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India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SEAR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16.80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IRQ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Iraq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23.15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25.0%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JAM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Jamaica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2.52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16.7%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JOR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Jordan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9.75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25.0%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KAZ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Kazakhstan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EUR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10.64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KEN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Kenya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23.36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KGZ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Kyrgyzstan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EUR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7.86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KHM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Cambodia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WPR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13.88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LAO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Lao PDR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WPR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34.82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75.0%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LBR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Liberia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11.76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LSO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Lesotho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13.63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MDG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Madagascar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44.21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87.5%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MEX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Mexico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4.68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MKD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North Macedonia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EUR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9.55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MLI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Mali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33.86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50.0%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MMR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Myanmar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SEAR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38.07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62.5%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MNE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Montenegro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EUR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5.10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MNG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Mongolia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WPR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1.92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MOZ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Mozambique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48.62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87.5%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MRT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Mauritania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38.32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75.0%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MWI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Malawi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8.29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NER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Niger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27.94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37.5%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NGA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Nigeria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57.12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100.0%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NPL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Nepal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SEAR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21.40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PAK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Pakistan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45.92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87.5%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PER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Peru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24.56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PHL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Philippines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WPR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29.14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PSE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Palestine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10.65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RWA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Rwanda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9.91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SDN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Sudan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43.99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75.0%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SEN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Senegal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17.09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SLE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Sierra Leone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8.11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SRB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Serbia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EUR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12.57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16.7%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STP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São Tomé and Príncipe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13.02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SUR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Suriname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8.21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SWZ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Eswatini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6.42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TCD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Chad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23.74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75.0%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TGO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Togo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35.69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62.5%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THA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Thailand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SEAR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5.19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TJK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Tajikistan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EUR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14.02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TKM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Turkmenistan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EUR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9.78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TTO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Trinidad and Tobago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HIC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13.80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TUN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Tunisia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22.09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TUR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Turkey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EUR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17.05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14.3%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TZA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Tanzania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23.73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UGA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Uganda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14.71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VNM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Viet Nam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WPR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8.80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28.6%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WSM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Samoa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WPR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UMIC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14.83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YEM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Yemen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EMR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33.92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50.0%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YES</w:t>
            </w:r>
          </w:p>
        </w:tc>
      </w:tr>
      <w:tr w:rsidR="0048641F" w:rsidRPr="00BD01D9">
        <w:tc>
          <w:tcPr>
            <w:tcW w:w="64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ZMB</w:t>
            </w:r>
          </w:p>
        </w:tc>
        <w:tc>
          <w:tcPr>
            <w:tcW w:w="2088" w:type="dxa"/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Zambia</w:t>
            </w:r>
          </w:p>
        </w:tc>
        <w:tc>
          <w:tcPr>
            <w:tcW w:w="936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15.02</w:t>
            </w:r>
          </w:p>
        </w:tc>
        <w:tc>
          <w:tcPr>
            <w:tcW w:w="1296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  <w:tr w:rsidR="0048641F" w:rsidRPr="00BD01D9" w:rsidTr="00667E6D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ZWE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Zimbabwe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AFR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:rsidR="0048641F" w:rsidRPr="00BD01D9" w:rsidRDefault="00D82D89" w:rsidP="00BD01D9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/>
                <w:sz w:val="14"/>
              </w:rPr>
              <w:t>LMIC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20.77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12.5%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4"/>
              </w:rPr>
              <w:t>No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Divergence requires SII improvement greater than 10 percentage points in at least one indicator while at least half of the latest P:R classifications remain Severe.</w:t>
      </w:r>
    </w:p>
    <w:p w:rsidR="00667E6D" w:rsidRPr="00BD01D9" w:rsidRDefault="00667E6D" w:rsidP="00BD01D9">
      <w:pPr>
        <w:rPr>
          <w:rFonts w:ascii="Times New Roman" w:hAnsi="Times New Roman" w:cs="Times New Roman"/>
          <w:sz w:val="22"/>
          <w:szCs w:val="22"/>
        </w:rPr>
        <w:sectPr w:rsidR="00667E6D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19" w:name="supplementary-texts"/>
      <w:bookmarkEnd w:id="8"/>
      <w:bookmarkEnd w:id="18"/>
    </w:p>
    <w:p w:rsidR="0048641F" w:rsidRPr="00BD01D9" w:rsidRDefault="00D82D89" w:rsidP="00BD01D9">
      <w:pPr>
        <w:rPr>
          <w:rFonts w:ascii="Times New Roman" w:hAnsi="Times New Roman" w:cs="Times New Roman"/>
          <w:b/>
          <w:sz w:val="22"/>
          <w:szCs w:val="22"/>
        </w:rPr>
      </w:pPr>
      <w:r w:rsidRPr="00BD01D9">
        <w:rPr>
          <w:rFonts w:ascii="Times New Roman" w:hAnsi="Times New Roman" w:cs="Times New Roman"/>
          <w:b/>
          <w:sz w:val="22"/>
          <w:szCs w:val="22"/>
        </w:rPr>
        <w:lastRenderedPageBreak/>
        <w:t>Supplementary Texts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bookmarkStart w:id="20" w:name="X80bf35b7bd6b6ae7eb043bffa11d05dba1226fd"/>
      <w:r w:rsidRPr="00BD01D9">
        <w:rPr>
          <w:rFonts w:ascii="Times New Roman" w:hAnsi="Times New Roman" w:cs="Times New Roman"/>
          <w:sz w:val="22"/>
          <w:szCs w:val="22"/>
        </w:rPr>
        <w:t>Text S1 — Missing-not-at-random (MNAR) sensitivity analysis for Gini and literacy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Title: Assessment of missing-at-random (MAR) assumption for Gini index and adult literacy rate imputation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Background: Multiple imputation by chained equations (MICE) assumes data are missing at random (MAR). Gini and literacy data had 40·2% and 58·2% observation-level missingness, respectively. We formally tested whether the missing-data pattern was systematically related to country characteristics. Missing not at random (MNAR) was considered the alternative hypothesis.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Methods: Country-level complete missingness was defined as all observations for a country having missing values. Gini-missing countries (n=15/83; 18·1%) and literacy-missing countries (n=16/83; 19·3%) were compared with non-missing countries on: (1) income group (Fisher’s exact test); (2) country-mean SII (Wilcoxon rank-sum test).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Results: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Table S1a. Missing data pattern for Gini and literacy in the 83-country analytic sample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668"/>
        <w:gridCol w:w="1701"/>
        <w:gridCol w:w="1275"/>
        <w:gridCol w:w="1843"/>
        <w:gridCol w:w="2369"/>
      </w:tblGrid>
      <w:tr w:rsidR="0048641F" w:rsidRPr="00BD01D9" w:rsidTr="00667E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668" w:type="dxa"/>
            <w:tcBorders>
              <w:top w:val="single" w:sz="4" w:space="0" w:color="auto"/>
            </w:tcBorders>
          </w:tcPr>
          <w:p w:rsidR="0048641F" w:rsidRPr="00BD01D9" w:rsidRDefault="0048641F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Non-missing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Missing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Fisher p (income group)</w:t>
            </w:r>
          </w:p>
        </w:tc>
        <w:tc>
          <w:tcPr>
            <w:tcW w:w="2369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Wilcoxon p (vs SII)</w:t>
            </w:r>
          </w:p>
        </w:tc>
      </w:tr>
      <w:tr w:rsidR="0048641F" w:rsidRPr="00BD01D9" w:rsidTr="00667E6D">
        <w:tc>
          <w:tcPr>
            <w:tcW w:w="166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Gini</w:t>
            </w:r>
          </w:p>
        </w:tc>
        <w:tc>
          <w:tcPr>
            <w:tcW w:w="170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68 countries</w:t>
            </w:r>
          </w:p>
        </w:tc>
        <w:tc>
          <w:tcPr>
            <w:tcW w:w="127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15 countries</w:t>
            </w:r>
          </w:p>
        </w:tc>
        <w:tc>
          <w:tcPr>
            <w:tcW w:w="184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0·016</w:t>
            </w:r>
          </w:p>
        </w:tc>
        <w:tc>
          <w:tcPr>
            <w:tcW w:w="236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0·42</w:t>
            </w:r>
          </w:p>
        </w:tc>
      </w:tr>
      <w:tr w:rsidR="0048641F" w:rsidRPr="00BD01D9" w:rsidTr="00667E6D">
        <w:tc>
          <w:tcPr>
            <w:tcW w:w="1668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Literacy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67 countries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16 countries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0·085</w:t>
            </w:r>
          </w:p>
        </w:tc>
        <w:tc>
          <w:tcPr>
            <w:tcW w:w="2369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0·059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Table S1b. Mean country-level SII by missing-data status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974"/>
        <w:gridCol w:w="2270"/>
        <w:gridCol w:w="1842"/>
        <w:gridCol w:w="3137"/>
      </w:tblGrid>
      <w:tr w:rsidR="0048641F" w:rsidRPr="00BD01D9" w:rsidTr="00667E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Non-missing: mean SII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Missing: mean SII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Direction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Gini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18·3 pp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13·9 pp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Missing countries have lower SII</w:t>
            </w:r>
          </w:p>
        </w:tc>
      </w:tr>
      <w:tr w:rsidR="0048641F" w:rsidRPr="00BD01D9" w:rsidTr="00667E6D"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Literacy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19·1 pp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11·0 pp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01D9">
              <w:rPr>
                <w:rFonts w:ascii="Times New Roman" w:hAnsi="Times New Roman" w:cs="Times New Roman"/>
                <w:sz w:val="22"/>
                <w:szCs w:val="22"/>
              </w:rPr>
              <w:t>Missing countries have lower SII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Interpretation: The Gini Fisher p = 0·016 reflects disproportionate absence of high-income country data from the DHS/MICS-based HIDR (high-income countries constituted 7 of 10 countries with missing Gini), rather than systematic exclusion of high-inequity settings. Countries with missing Gini and literacy had, if anything, lower mean SII (13·9 and 11·0 pp respectively vs 18·3 and 19·1 pp in non-missing countries), indicating that any MNAR-related bias would push estimates towards the null rather than inflating them. These findings support the validity of MICE-based inference for the primary analyses.</w:t>
      </w:r>
    </w:p>
    <w:p w:rsidR="00667E6D" w:rsidRPr="00BD01D9" w:rsidRDefault="00667E6D" w:rsidP="00BD01D9">
      <w:pPr>
        <w:rPr>
          <w:rFonts w:ascii="Times New Roman" w:hAnsi="Times New Roman" w:cs="Times New Roman"/>
          <w:sz w:val="22"/>
          <w:szCs w:val="22"/>
        </w:rPr>
        <w:sectPr w:rsidR="00667E6D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21" w:name="Xf7a0b6a1e9e3cd10460a874da88f258e48cebd5"/>
      <w:bookmarkEnd w:id="20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Text S2 - Threshold sensitivity analysis for P:R ratio classification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Title: Robustness of P:R categories under alternative threshold schemes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Methods: Three threshold schemes were evaluated: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Scheme A (primary): Equitable ≥0·80; Moderate 0·60–0·80; Severe &lt;0·60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Scheme B (lenient): Equitable ≥0·75; Moderate 0·55–0·75; Severe &lt;0·55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Scheme C (strict): Equitable ≥0·85; Moderate 0·65–0·85; Severe &lt;0·65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Results: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117"/>
        <w:gridCol w:w="2118"/>
        <w:gridCol w:w="1540"/>
        <w:gridCol w:w="3081"/>
      </w:tblGrid>
      <w:tr w:rsidR="0048641F" w:rsidRPr="00BD01D9" w:rsidTr="00667E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93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Comparison</w:t>
            </w:r>
          </w:p>
        </w:tc>
        <w:tc>
          <w:tcPr>
            <w:tcW w:w="1893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Weighted kappa</w:t>
            </w:r>
          </w:p>
        </w:tc>
        <w:tc>
          <w:tcPr>
            <w:tcW w:w="1377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Exact agreement</w:t>
            </w:r>
          </w:p>
        </w:tc>
        <w:tc>
          <w:tcPr>
            <w:tcW w:w="2754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Interpretation</w:t>
            </w:r>
          </w:p>
        </w:tc>
      </w:tr>
      <w:tr w:rsidR="0048641F" w:rsidRPr="00BD01D9">
        <w:tc>
          <w:tcPr>
            <w:tcW w:w="189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Primary vs lenient</w:t>
            </w:r>
          </w:p>
        </w:tc>
        <w:tc>
          <w:tcPr>
            <w:tcW w:w="189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0.907</w:t>
            </w:r>
          </w:p>
        </w:tc>
        <w:tc>
          <w:tcPr>
            <w:tcW w:w="137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91.2%</w:t>
            </w:r>
          </w:p>
        </w:tc>
        <w:tc>
          <w:tcPr>
            <w:tcW w:w="275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Near-perfect agreement</w:t>
            </w:r>
          </w:p>
        </w:tc>
      </w:tr>
      <w:tr w:rsidR="0048641F" w:rsidRPr="00BD01D9">
        <w:tc>
          <w:tcPr>
            <w:tcW w:w="189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Primary vs strict</w:t>
            </w:r>
          </w:p>
        </w:tc>
        <w:tc>
          <w:tcPr>
            <w:tcW w:w="189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0.878</w:t>
            </w:r>
          </w:p>
        </w:tc>
        <w:tc>
          <w:tcPr>
            <w:tcW w:w="137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88.3%</w:t>
            </w:r>
          </w:p>
        </w:tc>
        <w:tc>
          <w:tcPr>
            <w:tcW w:w="275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Near-perfect agreement</w:t>
            </w:r>
          </w:p>
        </w:tc>
      </w:tr>
      <w:tr w:rsidR="0048641F" w:rsidRPr="00BD01D9" w:rsidTr="00667E6D">
        <w:tc>
          <w:tcPr>
            <w:tcW w:w="1893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Role</w:t>
            </w:r>
          </w:p>
        </w:tc>
        <w:tc>
          <w:tcPr>
            <w:tcW w:w="1893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Sensitivity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Sensitivity</w:t>
            </w:r>
          </w:p>
        </w:tc>
        <w:tc>
          <w:tcPr>
            <w:tcW w:w="2754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Primary scheme retained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Agreement with the primary scheme remained high: weighted kappa=0.907 for the lenient scheme and 0.878 for the strict scheme.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Conclusion: the broad three-category pattern was robust to plausible alternative cut-points.</w:t>
      </w:r>
    </w:p>
    <w:p w:rsidR="00667E6D" w:rsidRPr="00BD01D9" w:rsidRDefault="00667E6D" w:rsidP="00BD01D9">
      <w:pPr>
        <w:rPr>
          <w:rFonts w:ascii="Times New Roman" w:hAnsi="Times New Roman" w:cs="Times New Roman"/>
          <w:sz w:val="22"/>
          <w:szCs w:val="22"/>
        </w:rPr>
        <w:sectPr w:rsidR="00667E6D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22" w:name="X51c3fd1a3df22f14b8a2d1992d42dad21986ce9"/>
      <w:bookmarkEnd w:id="21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lastRenderedPageBreak/>
        <w:t>Text S3 — Outlier sensitivity analysis for SII extreme values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Title: Sensitivity of inequality trend findings to exclusion of SII outlier observations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Methods: Outlier flagging: |SII| &gt;30 pp AND |SII| &gt;2 × |gap_(Q5−Q1)| (dual criterion). Primary analyses retained all observations; sensitivity excluded flagged observations.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Results: Under the dual criterion, 0 observations met both conditions simultaneously. The more lenient single-criterion threshold (|SII| &gt;30 pp alone) flagged 87 observations (8·6%). Sensitivity analysis excluding n=87 produced: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Regional pattern distribution: unchanged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Country-level SII mean ranking: Spearman ρ = 0·973 vs primary analysis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Double-burden classification: 20/21 countries retained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The SII-specific outlier analysis did not refit the corrected structural-correlate model.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Conclusion: country-level SII ranking and double-burden geography were not materially altered.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Sensitivity analysis: data-driven 75th-percentile SII threshold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spellEnd"/>
      <w:r>
        <w:t>A second sensitivity analysis replaced the primary &gt;=20 pp double-burden threshold with the data-driven 75th-percentile mean absolute SII threshold (&gt;=30.08 pp), retaining the &gt;=50% Severe P:R criterion: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proofErr w:type="spellStart"/>
      <w:proofErr w:type="spellEnd"/>
      <w:r>
        <w:t>Nineteen countries met both criteria. Two countries from the primary 21-country list fell below the higher threshold: Bangladesh (mean |SII| 27.27 pp) and Chad (23.74 pp).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Regional concentration: AFR n=12, EMR n=4, SEAR n=1, WPR n=1, AMR n=1. The dominant concentration in AFR and EMR was unchanged.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Income gradient: LIC 45.0% (9/20), LMIC 25.7% (9/35), UMIC and HIC 0%; Ethiopia, which lacked a 2023 income classification, was also identified (Fisher's exact p&lt;0.001 among classified countries).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Conclusion: The double-burden geographic pattern is robust to the choice of SII threshold. All 19 countries identified at the 75th-percentile threshold were contained within the primary 21-country set; the higher threshold excludes only borderline cases.</w:t>
      </w:r>
    </w:p>
    <w:p w:rsidR="00667E6D" w:rsidRPr="00BD01D9" w:rsidRDefault="00667E6D" w:rsidP="00BD01D9">
      <w:pPr>
        <w:rPr>
          <w:rFonts w:ascii="Times New Roman" w:hAnsi="Times New Roman" w:cs="Times New Roman"/>
          <w:sz w:val="22"/>
          <w:szCs w:val="22"/>
        </w:rPr>
        <w:sectPr w:rsidR="00667E6D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23" w:name="X12d521e2c56313cac05c501619a05eb4627a5e2"/>
      <w:bookmarkEnd w:id="22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Text S4 - DTW trajectory cluster stability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Title: Silhouette selection and bootstrap stability for two to five DTW clusters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Methods: Among 35 countries with at least three valid CRCS survey years, k=2-5 partitioning-around-medoids solutions were compared by mean silhouette. Stability used 100 iterations of 80% country subsampling and Jaccard similarity.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Table S4a. Silhouette coefficients by candidate k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64"/>
        <w:gridCol w:w="1941"/>
        <w:gridCol w:w="1820"/>
        <w:gridCol w:w="1577"/>
        <w:gridCol w:w="3154"/>
      </w:tblGrid>
      <w:tr w:rsidR="0048641F" w:rsidRPr="00BD01D9" w:rsidTr="00667E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25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k</w:t>
            </w: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Mean silhouette</w:t>
            </w:r>
          </w:p>
        </w:tc>
        <w:tc>
          <w:tcPr>
            <w:tcW w:w="1627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Minimum silhouette</w:t>
            </w:r>
          </w:p>
        </w:tc>
        <w:tc>
          <w:tcPr>
            <w:tcW w:w="1410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Mean Jaccard</w:t>
            </w:r>
          </w:p>
        </w:tc>
        <w:tc>
          <w:tcPr>
            <w:tcW w:w="2820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Minimum Jaccard</w:t>
            </w:r>
          </w:p>
        </w:tc>
      </w:tr>
      <w:tr w:rsidR="0048641F" w:rsidRPr="00BD01D9">
        <w:tc>
          <w:tcPr>
            <w:tcW w:w="32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</w:t>
            </w:r>
          </w:p>
        </w:tc>
        <w:tc>
          <w:tcPr>
            <w:tcW w:w="173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0.604</w:t>
            </w:r>
          </w:p>
        </w:tc>
        <w:tc>
          <w:tcPr>
            <w:tcW w:w="162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-0.053</w:t>
            </w:r>
          </w:p>
        </w:tc>
        <w:tc>
          <w:tcPr>
            <w:tcW w:w="141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0.948</w:t>
            </w:r>
          </w:p>
        </w:tc>
        <w:tc>
          <w:tcPr>
            <w:tcW w:w="282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0.533</w:t>
            </w:r>
          </w:p>
        </w:tc>
      </w:tr>
      <w:tr w:rsidR="0048641F" w:rsidRPr="00BD01D9">
        <w:tc>
          <w:tcPr>
            <w:tcW w:w="32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3</w:t>
            </w:r>
          </w:p>
        </w:tc>
        <w:tc>
          <w:tcPr>
            <w:tcW w:w="173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0.554</w:t>
            </w:r>
          </w:p>
        </w:tc>
        <w:tc>
          <w:tcPr>
            <w:tcW w:w="162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-0.291</w:t>
            </w:r>
          </w:p>
        </w:tc>
        <w:tc>
          <w:tcPr>
            <w:tcW w:w="141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282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</w:tr>
      <w:tr w:rsidR="0048641F" w:rsidRPr="00BD01D9">
        <w:tc>
          <w:tcPr>
            <w:tcW w:w="32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4</w:t>
            </w:r>
          </w:p>
        </w:tc>
        <w:tc>
          <w:tcPr>
            <w:tcW w:w="173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0.581</w:t>
            </w:r>
          </w:p>
        </w:tc>
        <w:tc>
          <w:tcPr>
            <w:tcW w:w="1627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0.028</w:t>
            </w:r>
          </w:p>
        </w:tc>
        <w:tc>
          <w:tcPr>
            <w:tcW w:w="141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282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</w:tr>
      <w:tr w:rsidR="0048641F" w:rsidRPr="00BD01D9" w:rsidTr="00667E6D">
        <w:tc>
          <w:tcPr>
            <w:tcW w:w="325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5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0.503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-0.003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2820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Table S4b. Cluster-specific Jaccard stability for the selected k=2 solution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852"/>
        <w:gridCol w:w="2153"/>
        <w:gridCol w:w="1188"/>
        <w:gridCol w:w="1432"/>
        <w:gridCol w:w="1298"/>
      </w:tblGrid>
      <w:tr w:rsidR="0048641F" w:rsidRPr="00BD01D9" w:rsidTr="00667E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Cluster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Descriptive label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 countries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Mean Jaccard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Minimum Jaccard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Lower-equity / improving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18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0.950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0.533</w:t>
            </w:r>
          </w:p>
        </w:tc>
      </w:tr>
      <w:tr w:rsidR="0048641F" w:rsidRPr="00BD01D9"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Higher-equity / sustained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17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0.947</w:t>
            </w:r>
          </w:p>
        </w:tc>
        <w:tc>
          <w:tcPr>
            <w:tcW w:w="0" w:type="auto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0.650</w:t>
            </w:r>
          </w:p>
        </w:tc>
      </w:tr>
      <w:tr w:rsidR="0048641F" w:rsidRPr="00BD01D9" w:rsidTr="00667E6D"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Overall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Selected k=2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35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0.948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0.533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Conclusion: k=2 had the highest mean silhouette (0.604). Mean Jaccard values were 0.950 and 0.947 (overall mean 0.948); minimum resample values were 0.533 and 0.650.</w:t>
      </w:r>
    </w:p>
    <w:p w:rsidR="0048641F" w:rsidRPr="00BD01D9" w:rsidRDefault="0048641F" w:rsidP="00BD01D9">
      <w:pPr>
        <w:rPr>
          <w:rFonts w:ascii="Times New Roman" w:hAnsi="Times New Roman" w:cs="Times New Roman"/>
          <w:sz w:val="22"/>
          <w:szCs w:val="22"/>
        </w:rPr>
      </w:pPr>
    </w:p>
    <w:p w:rsidR="00667E6D" w:rsidRPr="00BD01D9" w:rsidRDefault="00667E6D" w:rsidP="00BD01D9">
      <w:pPr>
        <w:rPr>
          <w:rFonts w:ascii="Times New Roman" w:hAnsi="Times New Roman" w:cs="Times New Roman"/>
          <w:sz w:val="22"/>
          <w:szCs w:val="22"/>
        </w:rPr>
        <w:sectPr w:rsidR="00667E6D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24" w:name="Xd3b51e51589203e6ae8cea4fba1150c96857807"/>
      <w:bookmarkEnd w:id="23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Text S5 - Sensitivity of ITS results to AR(1) correlation specification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Title: Continuous-time versus discrete-time autoregressive correlation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The primary level-change model used continuous-time AR(1) residual correlation for irregular survey intervals. A discrete-time AR(1) model was fitted as sensitivity analysis.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Both specifications estimated the post-2020 level change as 0.0139 with p=0.673.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Table S5a. Post-2020 estimate under corCAR1 and corAR1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009"/>
        <w:gridCol w:w="1345"/>
        <w:gridCol w:w="2242"/>
        <w:gridCol w:w="1009"/>
        <w:gridCol w:w="2242"/>
        <w:gridCol w:w="1009"/>
      </w:tblGrid>
      <w:tr w:rsidR="0048641F" w:rsidRPr="00BD01D9" w:rsidTr="00667E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02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Stratum / specification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 countries</w:t>
            </w:r>
          </w:p>
        </w:tc>
        <w:tc>
          <w:tcPr>
            <w:tcW w:w="2005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Estimate or median change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95% CI / IQR</w:t>
            </w:r>
          </w:p>
        </w:tc>
        <w:tc>
          <w:tcPr>
            <w:tcW w:w="2005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p-value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Interpretation</w:t>
            </w:r>
          </w:p>
        </w:tc>
      </w:tr>
      <w:tr w:rsidR="0048641F" w:rsidRPr="00BD01D9">
        <w:tc>
          <w:tcPr>
            <w:tcW w:w="90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Overall corCAR1</w:t>
            </w:r>
          </w:p>
        </w:tc>
        <w:tc>
          <w:tcPr>
            <w:tcW w:w="12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</w:t>
            </w:r>
          </w:p>
        </w:tc>
        <w:tc>
          <w:tcPr>
            <w:tcW w:w="20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0.0139</w:t>
            </w:r>
          </w:p>
        </w:tc>
        <w:tc>
          <w:tcPr>
            <w:tcW w:w="90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-0.0519 to 0.0797</w:t>
            </w:r>
          </w:p>
        </w:tc>
        <w:tc>
          <w:tcPr>
            <w:tcW w:w="20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0.6735</w:t>
            </w:r>
          </w:p>
        </w:tc>
        <w:tc>
          <w:tcPr>
            <w:tcW w:w="90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No overall level change</w:t>
            </w:r>
          </w:p>
        </w:tc>
      </w:tr>
      <w:tr w:rsidR="0048641F" w:rsidRPr="00BD01D9">
        <w:tc>
          <w:tcPr>
            <w:tcW w:w="90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Overall corAR1</w:t>
            </w:r>
          </w:p>
        </w:tc>
        <w:tc>
          <w:tcPr>
            <w:tcW w:w="12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</w:t>
            </w:r>
          </w:p>
        </w:tc>
        <w:tc>
          <w:tcPr>
            <w:tcW w:w="20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0.0139</w:t>
            </w:r>
          </w:p>
        </w:tc>
        <w:tc>
          <w:tcPr>
            <w:tcW w:w="90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same as corCAR1</w:t>
            </w:r>
          </w:p>
        </w:tc>
        <w:tc>
          <w:tcPr>
            <w:tcW w:w="20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0.6735</w:t>
            </w:r>
          </w:p>
        </w:tc>
        <w:tc>
          <w:tcPr>
            <w:tcW w:w="90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Sensitivity unchanged</w:t>
            </w:r>
          </w:p>
        </w:tc>
      </w:tr>
      <w:tr w:rsidR="0048641F" w:rsidRPr="00BD01D9">
        <w:tc>
          <w:tcPr>
            <w:tcW w:w="90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Low-income</w:t>
            </w:r>
          </w:p>
        </w:tc>
        <w:tc>
          <w:tcPr>
            <w:tcW w:w="12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3</w:t>
            </w:r>
          </w:p>
        </w:tc>
        <w:tc>
          <w:tcPr>
            <w:tcW w:w="20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-0.088</w:t>
            </w:r>
          </w:p>
        </w:tc>
        <w:tc>
          <w:tcPr>
            <w:tcW w:w="90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-0.100 to -0.070</w:t>
            </w:r>
          </w:p>
        </w:tc>
        <w:tc>
          <w:tcPr>
            <w:tcW w:w="20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90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Observed change</w:t>
            </w:r>
          </w:p>
        </w:tc>
      </w:tr>
      <w:tr w:rsidR="0048641F" w:rsidRPr="00BD01D9">
        <w:tc>
          <w:tcPr>
            <w:tcW w:w="90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Lower-middle-income</w:t>
            </w:r>
          </w:p>
        </w:tc>
        <w:tc>
          <w:tcPr>
            <w:tcW w:w="1203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15</w:t>
            </w:r>
          </w:p>
        </w:tc>
        <w:tc>
          <w:tcPr>
            <w:tcW w:w="20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0.035</w:t>
            </w:r>
          </w:p>
        </w:tc>
        <w:tc>
          <w:tcPr>
            <w:tcW w:w="90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-0.016 to 0.111</w:t>
            </w:r>
          </w:p>
        </w:tc>
        <w:tc>
          <w:tcPr>
            <w:tcW w:w="2005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902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Observed change</w:t>
            </w:r>
          </w:p>
        </w:tc>
      </w:tr>
      <w:tr w:rsidR="0048641F" w:rsidRPr="00BD01D9" w:rsidTr="00667E6D">
        <w:tc>
          <w:tcPr>
            <w:tcW w:w="902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Upper-middle-income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0.117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0.095 to 0.140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—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Observed change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Conclusion: the null overall ITS conclusion was insensitive to correlation specification.</w:t>
      </w:r>
    </w:p>
    <w:p w:rsidR="0048641F" w:rsidRPr="00BD01D9" w:rsidRDefault="0048641F" w:rsidP="00BD01D9">
      <w:pPr>
        <w:rPr>
          <w:rFonts w:ascii="Times New Roman" w:hAnsi="Times New Roman" w:cs="Times New Roman"/>
          <w:sz w:val="22"/>
          <w:szCs w:val="22"/>
        </w:rPr>
      </w:pPr>
    </w:p>
    <w:p w:rsidR="00667E6D" w:rsidRPr="00BD01D9" w:rsidRDefault="00667E6D" w:rsidP="00BD01D9">
      <w:pPr>
        <w:rPr>
          <w:rFonts w:ascii="Times New Roman" w:hAnsi="Times New Roman" w:cs="Times New Roman"/>
          <w:sz w:val="22"/>
          <w:szCs w:val="22"/>
        </w:rPr>
        <w:sectPr w:rsidR="00667E6D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25" w:name="X8febc4b2a1481895b94c416e6aa14dcebd7e915"/>
      <w:bookmarkEnd w:id="24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Text S6 - Association-model specification audit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Title: Random-effects singularity and selection of country-clustered robust inference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The initial model included country and indicator random intercepts in each of 20 completed datasets. All fits were singular and country-level variance was approximately zero.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The final specification therefore used indicator fixed effects and country-clustered HC0 covariance, retaining all 1,022 pairs without class weighting.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All 20 final models converged.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047"/>
        <w:gridCol w:w="2857"/>
        <w:gridCol w:w="2762"/>
        <w:gridCol w:w="2190"/>
      </w:tblGrid>
      <w:tr w:rsidR="0048641F" w:rsidRPr="00BD01D9" w:rsidTr="00E251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36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Diagnostic</w:t>
            </w: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Corrected specification</w:t>
            </w:r>
          </w:p>
        </w:tc>
        <w:tc>
          <w:tcPr>
            <w:tcW w:w="2469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Result</w:t>
            </w:r>
          </w:p>
        </w:tc>
        <w:tc>
          <w:tcPr>
            <w:tcW w:w="1958" w:type="dxa"/>
            <w:tcBorders>
              <w:top w:val="single" w:sz="4" w:space="0" w:color="auto"/>
            </w:tcBorders>
          </w:tcPr>
          <w:p w:rsidR="002C7C8F" w:rsidRPr="00BD01D9" w:rsidRDefault="000C6690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Implication</w:t>
            </w:r>
          </w:p>
        </w:tc>
      </w:tr>
      <w:tr w:rsidR="0048641F" w:rsidRPr="00BD01D9">
        <w:tc>
          <w:tcPr>
            <w:tcW w:w="9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Completed datasets</w:t>
            </w:r>
          </w:p>
        </w:tc>
        <w:tc>
          <w:tcPr>
            <w:tcW w:w="255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 separate fits</w:t>
            </w:r>
          </w:p>
        </w:tc>
        <w:tc>
          <w:tcPr>
            <w:tcW w:w="246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20/20 converged</w:t>
            </w:r>
          </w:p>
        </w:tc>
        <w:tc>
          <w:tcPr>
            <w:tcW w:w="195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Pooling valid</w:t>
            </w:r>
          </w:p>
        </w:tc>
      </w:tr>
      <w:tr w:rsidR="0048641F" w:rsidRPr="00BD01D9">
        <w:tc>
          <w:tcPr>
            <w:tcW w:w="9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Initial random-effects model</w:t>
            </w:r>
          </w:p>
        </w:tc>
        <w:tc>
          <w:tcPr>
            <w:tcW w:w="255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Country + indicator intercepts</w:t>
            </w:r>
          </w:p>
        </w:tc>
        <w:tc>
          <w:tcPr>
            <w:tcW w:w="246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20/20 singular</w:t>
            </w:r>
          </w:p>
        </w:tc>
        <w:tc>
          <w:tcPr>
            <w:tcW w:w="195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Rejected</w:t>
            </w:r>
          </w:p>
        </w:tc>
      </w:tr>
      <w:tr w:rsidR="0048641F" w:rsidRPr="00BD01D9">
        <w:tc>
          <w:tcPr>
            <w:tcW w:w="936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Final covariance</w:t>
            </w:r>
          </w:p>
        </w:tc>
        <w:tc>
          <w:tcPr>
            <w:tcW w:w="255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Country-clustered HC0</w:t>
            </w:r>
          </w:p>
        </w:tc>
        <w:tc>
          <w:tcPr>
            <w:tcW w:w="2469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81 country clusters</w:t>
            </w:r>
          </w:p>
        </w:tc>
        <w:tc>
          <w:tcPr>
            <w:tcW w:w="1958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Retained</w:t>
            </w:r>
          </w:p>
        </w:tc>
      </w:tr>
      <w:tr w:rsidR="0048641F" w:rsidRPr="00BD01D9" w:rsidTr="00E251B4">
        <w:tc>
          <w:tcPr>
            <w:tcW w:w="936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Multiplicity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BH-FDR across 12 tests</w:t>
            </w:r>
          </w:p>
        </w:tc>
        <w:tc>
          <w:tcPr>
            <w:tcW w:w="2469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Urbanisation q=0.029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Only supported association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Only urbanisation remained FDR-significant after corrected pooling (OR=1.68, 95% CI 1.20-2.35; q=0.029).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Conclusion: the stable robust specification supports exploratory association, not prediction or causation.</w:t>
      </w:r>
    </w:p>
    <w:p w:rsidR="0048641F" w:rsidRPr="00BD01D9" w:rsidRDefault="0048641F" w:rsidP="00BD01D9">
      <w:pPr>
        <w:rPr>
          <w:rFonts w:ascii="Times New Roman" w:hAnsi="Times New Roman" w:cs="Times New Roman"/>
          <w:sz w:val="22"/>
          <w:szCs w:val="22"/>
        </w:rPr>
      </w:pPr>
    </w:p>
    <w:p w:rsidR="00E251B4" w:rsidRPr="00BD01D9" w:rsidRDefault="00E251B4" w:rsidP="00BD01D9">
      <w:pPr>
        <w:rPr>
          <w:rFonts w:ascii="Times New Roman" w:hAnsi="Times New Roman" w:cs="Times New Roman"/>
          <w:sz w:val="22"/>
          <w:szCs w:val="22"/>
        </w:rPr>
        <w:sectPr w:rsidR="00E251B4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26" w:name="Xd5c56c9ecd0c8c2d4c411826f5a3dc23c3ade08"/>
      <w:bookmarkEnd w:id="25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Text S7 - Multiple-imputation pooling and uncertainty propagation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Title: Separate model fitting within 20 completed datasets and Rubin pooling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Each completed dataset was analysed separately after standardising continuous covariates. Coefficients and full covariance matrices were then combined using Rubin's rules.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This approach replaced the legacy practice of averaging completed datasets, which does not propagate between-imputation uncertainty.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Final sample size was 1,022 pairs with 73 events in every completed dataset.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All 20 final models converged.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265"/>
        <w:gridCol w:w="2185"/>
        <w:gridCol w:w="2990"/>
        <w:gridCol w:w="2416"/>
      </w:tblGrid>
      <w:tr w:rsidR="0048641F" w:rsidRPr="00BD01D9" w:rsidTr="00E251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131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Component</w:t>
            </w:r>
          </w:p>
        </w:tc>
        <w:tc>
          <w:tcPr>
            <w:tcW w:w="1954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Legacy approach</w:t>
            </w:r>
          </w:p>
        </w:tc>
        <w:tc>
          <w:tcPr>
            <w:tcW w:w="2674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Corrected approach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Consequence</w:t>
            </w:r>
          </w:p>
        </w:tc>
      </w:tr>
      <w:tr w:rsidR="0048641F" w:rsidRPr="00BD01D9">
        <w:tc>
          <w:tcPr>
            <w:tcW w:w="113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Imputation</w:t>
            </w:r>
          </w:p>
        </w:tc>
        <w:tc>
          <w:tcPr>
            <w:tcW w:w="195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Averaged completed data</w:t>
            </w:r>
          </w:p>
        </w:tc>
        <w:tc>
          <w:tcPr>
            <w:tcW w:w="267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Separate fits + Rubin pooling</w:t>
            </w:r>
          </w:p>
        </w:tc>
        <w:tc>
          <w:tcPr>
            <w:tcW w:w="216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Between-imputation uncertainty retained</w:t>
            </w:r>
          </w:p>
        </w:tc>
      </w:tr>
      <w:tr w:rsidR="0048641F" w:rsidRPr="00BD01D9">
        <w:tc>
          <w:tcPr>
            <w:tcW w:w="113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Sampling</w:t>
            </w:r>
          </w:p>
        </w:tc>
        <w:tc>
          <w:tcPr>
            <w:tcW w:w="195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Training subset</w:t>
            </w:r>
          </w:p>
        </w:tc>
        <w:tc>
          <w:tcPr>
            <w:tcW w:w="267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Full 1,022-pair sample</w:t>
            </w:r>
          </w:p>
        </w:tc>
        <w:tc>
          <w:tcPr>
            <w:tcW w:w="216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All eligible evidence retained</w:t>
            </w:r>
          </w:p>
        </w:tc>
      </w:tr>
      <w:tr w:rsidR="0048641F" w:rsidRPr="00BD01D9">
        <w:tc>
          <w:tcPr>
            <w:tcW w:w="1131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Weighting</w:t>
            </w:r>
          </w:p>
        </w:tc>
        <w:tc>
          <w:tcPr>
            <w:tcW w:w="195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Class weights</w:t>
            </w:r>
          </w:p>
        </w:tc>
        <w:tc>
          <w:tcPr>
            <w:tcW w:w="2674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Unweighted association model</w:t>
            </w:r>
          </w:p>
        </w:tc>
        <w:tc>
          <w:tcPr>
            <w:tcW w:w="2160" w:type="dxa"/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Descriptive target preserved</w:t>
            </w:r>
          </w:p>
        </w:tc>
      </w:tr>
      <w:tr w:rsidR="0048641F" w:rsidRPr="00BD01D9" w:rsidTr="00E251B4">
        <w:tc>
          <w:tcPr>
            <w:tcW w:w="1131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Inference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Model-based SE</w:t>
            </w: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Country-clustered robust SE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48641F" w:rsidRPr="00BD01D9" w:rsidRDefault="00D82D89" w:rsidP="00BD01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Within-country dependence addressed</w:t>
            </w:r>
          </w:p>
        </w:tc>
      </w:tr>
    </w:tbl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Country-clustered HC0 covariance addressed repeated observations within countries.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False-discovery-rate correction was applied once to the 12 pooled covariate tests.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Conclusion: corrected pooling materially changed which structural associations were supported.</w:t>
      </w:r>
    </w:p>
    <w:p w:rsidR="0048641F" w:rsidRPr="00BD01D9" w:rsidRDefault="0048641F" w:rsidP="00BD01D9">
      <w:pPr>
        <w:rPr>
          <w:rFonts w:ascii="Times New Roman" w:hAnsi="Times New Roman" w:cs="Times New Roman"/>
          <w:sz w:val="22"/>
          <w:szCs w:val="22"/>
        </w:rPr>
      </w:pPr>
    </w:p>
    <w:p w:rsidR="00E251B4" w:rsidRPr="00BD01D9" w:rsidRDefault="00E251B4" w:rsidP="00BD01D9">
      <w:pPr>
        <w:rPr>
          <w:rFonts w:ascii="Times New Roman" w:hAnsi="Times New Roman" w:cs="Times New Roman"/>
          <w:sz w:val="22"/>
          <w:szCs w:val="22"/>
        </w:rPr>
        <w:sectPr w:rsidR="00E251B4" w:rsidRPr="00BD01D9" w:rsidSect="004A5E46">
          <w:footnotePr>
            <w:numRestart w:val="eachSect"/>
          </w:footnotePr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26"/>
        </w:sectPr>
      </w:pPr>
      <w:bookmarkStart w:id="27" w:name="X1d7324d2502aebf25c6ab9305ab0904aa51b366"/>
      <w:bookmarkStart w:id="28" w:name="_GoBack"/>
      <w:bookmarkEnd w:id="26"/>
      <w:bookmarkEnd w:id="28"/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Text S8 - Interpretation of endpoint and gradient-based inequality measures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Title: Why the P:R ratio complements rather than replaces SII and RII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S8.1 Endpoint-ratio interpretation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The P:R ratio is a descriptive comparison of poorest- and richest-quintile coverage. It is not an individual-level fairness estimand and does not identify causal access mechanisms.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S8.2 Proportional parity and absolute coverage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A ratio near 1 can occur when both endpoint groups have uniformly low coverage. The ratio must therefore be interpreted alongside absolute coverage and SII.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S8.3 Endpoint versus full-gradient information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SII and RII incorporate the socioeconomic distribution, whereas the P:R ratio uses only Q1 and Q5. The endpoint measure gains data availability and interpretability but can miss non-linear gradients.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S8.4 Relationship to WHO inequality monitoring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>
        <w:t>Weighted kappa of 0.896 shows that the P:R ratio and RII usually classify observations similarly. The 447-observation yield advantage supports companion reporting, while discordance supports continued use of gradient-based measures.</w:t>
      </w:r>
    </w:p>
    <w:p w:rsidR="0048641F" w:rsidRPr="00BD01D9" w:rsidRDefault="00D82D89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References (Text S8 internal):</w:t>
      </w:r>
    </w:p>
    <w:p w:rsidR="004A5E46" w:rsidRPr="00BD01D9" w:rsidRDefault="001D6503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lastRenderedPageBreak/>
        <w:fldChar w:fldCharType="begin"/>
      </w:r>
      <w:r w:rsidRPr="00BD01D9">
        <w:rPr>
          <w:rFonts w:ascii="Times New Roman" w:hAnsi="Times New Roman" w:cs="Times New Roman"/>
          <w:sz w:val="22"/>
          <w:szCs w:val="22"/>
        </w:rPr>
        <w:instrText xml:space="preserve"> ADDIN ZOTERO_BIBL {"uncited":[],"omitted":[],"custom":[]} CSL_BIBLIOGRAPHY </w:instrText>
      </w:r>
      <w:r w:rsidRPr="00BD01D9">
        <w:rPr>
          <w:rFonts w:ascii="Times New Roman" w:hAnsi="Times New Roman" w:cs="Times New Roman"/>
          <w:sz w:val="22"/>
          <w:szCs w:val="22"/>
        </w:rPr>
        <w:fldChar w:fldCharType="separate"/>
      </w:r>
      <w:r w:rsidR="004A5E46" w:rsidRPr="00BD01D9">
        <w:rPr>
          <w:rFonts w:ascii="Times New Roman" w:hAnsi="Times New Roman" w:cs="Times New Roman"/>
          <w:sz w:val="22"/>
          <w:szCs w:val="22"/>
        </w:rPr>
        <w:t>1.</w:t>
      </w:r>
      <w:r w:rsidR="004A5E46" w:rsidRPr="00BD01D9">
        <w:rPr>
          <w:rFonts w:ascii="Times New Roman" w:hAnsi="Times New Roman" w:cs="Times New Roman"/>
          <w:sz w:val="22"/>
          <w:szCs w:val="22"/>
        </w:rPr>
        <w:tab/>
        <w:t>Hardt M, Price E, Srebro N. Equality of Opportunity in Supervised Learning. Advances in Neural Information Processing Systems. 2016;29.</w:t>
      </w:r>
    </w:p>
    <w:p w:rsidR="004A5E46" w:rsidRPr="00BD01D9" w:rsidRDefault="004A5E46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2.</w:t>
      </w:r>
      <w:r w:rsidRPr="00BD01D9">
        <w:rPr>
          <w:rFonts w:ascii="Times New Roman" w:hAnsi="Times New Roman" w:cs="Times New Roman"/>
          <w:sz w:val="22"/>
          <w:szCs w:val="22"/>
        </w:rPr>
        <w:tab/>
        <w:t>Wagstaff A, Paci P, van Doorslaer E. On the measurement of inequalities in health. Soc Sci Med. 1991;33(5):545-557. doi:10.1016/0277-9536(91)90212-u</w:t>
      </w:r>
    </w:p>
    <w:p w:rsidR="004A5E46" w:rsidRPr="00BD01D9" w:rsidRDefault="004A5E46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3.</w:t>
      </w:r>
      <w:r w:rsidRPr="00BD01D9">
        <w:rPr>
          <w:rFonts w:ascii="Times New Roman" w:hAnsi="Times New Roman" w:cs="Times New Roman"/>
          <w:sz w:val="22"/>
          <w:szCs w:val="22"/>
        </w:rPr>
        <w:tab/>
        <w:t>Barocas S, Hardt M, Narayanan A. Fairness and Machine Learning: Limitations and Opportunities. MIT Press. Published online 2023. Accessed June 17, 2026. https://fairmlbook.org/</w:t>
      </w:r>
    </w:p>
    <w:p w:rsidR="004A5E46" w:rsidRPr="00BD01D9" w:rsidRDefault="004A5E46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4.</w:t>
      </w:r>
      <w:r w:rsidRPr="00BD01D9">
        <w:rPr>
          <w:rFonts w:ascii="Times New Roman" w:hAnsi="Times New Roman" w:cs="Times New Roman"/>
          <w:sz w:val="22"/>
          <w:szCs w:val="22"/>
        </w:rPr>
        <w:tab/>
        <w:t>Poz MRD, World Health Organization, World Bank, United States, eds. Handbook on Monitoring and Evaluation of Human Resources for Health: With Special Applications for Low- and Middle-Income Contries. World Health Organization; 2009.</w:t>
      </w:r>
    </w:p>
    <w:p w:rsidR="004A5E46" w:rsidRPr="00BD01D9" w:rsidRDefault="004A5E46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t>5.</w:t>
      </w:r>
      <w:r w:rsidRPr="00BD01D9">
        <w:rPr>
          <w:rFonts w:ascii="Times New Roman" w:hAnsi="Times New Roman" w:cs="Times New Roman"/>
          <w:sz w:val="22"/>
          <w:szCs w:val="22"/>
        </w:rPr>
        <w:tab/>
        <w:t>Hosseinpoor AR, Bergen N, Schlotheuber A. Promoting health equity: WHO health inequality monitoring at global and national levels. Global Health Action. 2015;8(1):29034. doi:10.3402/gha.v8.29034</w:t>
      </w:r>
    </w:p>
    <w:p w:rsidR="0048641F" w:rsidRPr="00BD01D9" w:rsidRDefault="001D6503" w:rsidP="00BD01D9">
      <w:pPr>
        <w:rPr>
          <w:rFonts w:ascii="Times New Roman" w:hAnsi="Times New Roman" w:cs="Times New Roman"/>
          <w:sz w:val="22"/>
          <w:szCs w:val="22"/>
        </w:rPr>
      </w:pPr>
      <w:r w:rsidRPr="00BD01D9">
        <w:rPr>
          <w:rFonts w:ascii="Times New Roman" w:hAnsi="Times New Roman" w:cs="Times New Roman"/>
          <w:sz w:val="22"/>
          <w:szCs w:val="22"/>
        </w:rPr>
        <w:fldChar w:fldCharType="end"/>
      </w:r>
      <w:bookmarkEnd w:id="0"/>
      <w:bookmarkEnd w:id="19"/>
      <w:bookmarkEnd w:id="27"/>
    </w:p>
    <w:sectPr w:rsidR="0048641F" w:rsidRPr="00BD01D9" w:rsidSect="004A5E46">
      <w:footnotePr>
        <w:numRestart w:val="eachSect"/>
      </w:footnotePr>
      <w:pgSz w:w="12240" w:h="15840"/>
      <w:pgMar w:top="1440" w:right="1800" w:bottom="1440" w:left="1800" w:header="720" w:footer="720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165" w:rsidRDefault="00B66165" w:rsidP="006B18EE">
      <w:pPr>
        <w:spacing w:after="0"/>
      </w:pPr>
      <w:r>
        <w:separator/>
      </w:r>
    </w:p>
  </w:endnote>
  <w:endnote w:type="continuationSeparator" w:id="0">
    <w:p w:rsidR="00B66165" w:rsidRDefault="00B66165" w:rsidP="006B18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165" w:rsidRDefault="00B66165" w:rsidP="006B18EE">
      <w:pPr>
        <w:spacing w:after="0"/>
      </w:pPr>
      <w:r>
        <w:separator/>
      </w:r>
    </w:p>
  </w:footnote>
  <w:footnote w:type="continuationSeparator" w:id="0">
    <w:p w:rsidR="00B66165" w:rsidRDefault="00B66165" w:rsidP="006B18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C5AAB50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2CEE70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C600A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641F"/>
    <w:rsid w:val="000C6690"/>
    <w:rsid w:val="001D6503"/>
    <w:rsid w:val="002C7C8F"/>
    <w:rsid w:val="0048641F"/>
    <w:rsid w:val="004A5E46"/>
    <w:rsid w:val="00511FDE"/>
    <w:rsid w:val="00667E6D"/>
    <w:rsid w:val="006B18EE"/>
    <w:rsid w:val="007753D1"/>
    <w:rsid w:val="00927583"/>
    <w:rsid w:val="00983183"/>
    <w:rsid w:val="009860DD"/>
    <w:rsid w:val="009D2CFA"/>
    <w:rsid w:val="00B66165"/>
    <w:rsid w:val="00BD01D9"/>
    <w:rsid w:val="00D82D89"/>
    <w:rsid w:val="00E251B4"/>
    <w:rsid w:val="00E3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BC27D"/>
  <w15:docId w15:val="{735F278E-A529-4A6C-B6F5-32F37400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  <w:pPr>
      <w:tabs>
        <w:tab w:val="left" w:pos="264"/>
      </w:tabs>
      <w:spacing w:after="240"/>
      <w:ind w:left="264" w:hanging="264"/>
    </w:pPr>
  </w:style>
  <w:style w:type="character" w:customStyle="1" w:styleId="10">
    <w:name w:val="标题 1 字符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题注 字符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0">
    <w:name w:val="header"/>
    <w:basedOn w:val="a"/>
    <w:link w:val="af1"/>
    <w:unhideWhenUsed/>
    <w:rsid w:val="006B1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1"/>
    <w:link w:val="af0"/>
    <w:rsid w:val="006B18EE"/>
    <w:rPr>
      <w:sz w:val="18"/>
      <w:szCs w:val="18"/>
    </w:rPr>
  </w:style>
  <w:style w:type="paragraph" w:styleId="af2">
    <w:name w:val="footer"/>
    <w:basedOn w:val="a"/>
    <w:link w:val="af3"/>
    <w:unhideWhenUsed/>
    <w:rsid w:val="006B18E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3">
    <w:name w:val="页脚 字符"/>
    <w:basedOn w:val="a1"/>
    <w:link w:val="af2"/>
    <w:rsid w:val="006B18EE"/>
    <w:rPr>
      <w:sz w:val="18"/>
      <w:szCs w:val="18"/>
    </w:rPr>
  </w:style>
  <w:style w:type="character" w:styleId="af4">
    <w:name w:val="line number"/>
    <w:basedOn w:val="a1"/>
    <w:semiHidden/>
    <w:unhideWhenUsed/>
    <w:rsid w:val="004A5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58</Pages>
  <Words>8738</Words>
  <Characters>49807</Characters>
  <Application>Microsoft Office Word</Application>
  <DocSecurity>0</DocSecurity>
  <Lines>415</Lines>
  <Paragraphs>116</Paragraphs>
  <ScaleCrop>false</ScaleCrop>
  <Company/>
  <LinksUpToDate>false</LinksUpToDate>
  <CharactersWithSpaces>58429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朱晶晶</cp:lastModifiedBy>
  <cp:revision>12</cp:revision>
  <dcterms:created xsi:type="dcterms:W3CDTF">2026-06-24T09:10:00Z</dcterms:created>
  <dcterms:modified xsi:type="dcterms:W3CDTF">2026-07-06T03:01:00Z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zotero-version="9.0.5"&gt;&lt;session id="xRh7EdNL"/&gt;&lt;style id="http://www.zotero.org/styles/vancouver-ama" locale="zh-CN" hasBibliography="1" bibliographyStyleHasBeenSet="1"/&gt;&lt;prefs&gt;&lt;pref name="fieldType" value="Field"/&gt;&lt;/prefs&gt;&lt;/data&gt;</vt:lpwstr>
  </property>
</Properties>
</file>