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59823">
      <w:pPr>
        <w:jc w:val="center"/>
        <w:rPr>
          <w:rFonts w:hint="default" w:ascii="Times New Roman" w:hAnsi="Times New Roman" w:cs="Times New Roman"/>
          <w:b/>
          <w:bCs/>
          <w:sz w:val="28"/>
          <w:szCs w:val="36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</w:rPr>
        <w:t>COREQ (Consolidated Criteria for Reporting Qualitative Research) Checklist</w:t>
      </w:r>
    </w:p>
    <w:p w14:paraId="421B0132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Domain 1: Research Team and Reflexivity</w:t>
      </w:r>
    </w:p>
    <w:p w14:paraId="0C90AB15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Personal Characteristics</w:t>
      </w:r>
    </w:p>
    <w:p w14:paraId="7E78E14D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1. Interviewer/facilitator</w:t>
      </w:r>
    </w:p>
    <w:p w14:paraId="1DAFA305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Interviews were conducted by the primary researcher (a nursing research fellow).</w:t>
      </w:r>
    </w:p>
    <w:p w14:paraId="33821ECF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2. Credentials</w:t>
      </w:r>
    </w:p>
    <w:p w14:paraId="55F51D59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The primary researcher holds a background in clinical nursing research, currently pursuing advanced research training.</w:t>
      </w:r>
    </w:p>
    <w:p w14:paraId="758C055C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3. Occupation</w:t>
      </w:r>
    </w:p>
    <w:p w14:paraId="33349FA0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Nursing researcher.</w:t>
      </w:r>
    </w:p>
    <w:p w14:paraId="48DB5D0C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4. Gender</w:t>
      </w:r>
    </w:p>
    <w:p w14:paraId="523F616D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Female.</w:t>
      </w:r>
    </w:p>
    <w:p w14:paraId="0725DD21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5. Experience and training</w:t>
      </w:r>
    </w:p>
    <w:p w14:paraId="194D5E34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The researcher has received systematic training in qualitative research methodologies, semi-structured interview techniques, and content analysis.</w:t>
      </w:r>
    </w:p>
    <w:p w14:paraId="424A9BB5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Relationship with Participants</w:t>
      </w:r>
    </w:p>
    <w:p w14:paraId="3134BCF5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6. Relationship established</w:t>
      </w:r>
    </w:p>
    <w:p w14:paraId="785CDD12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The researcher established a trustworthy rapport with the participants prior to data collection by contacting them in advance and explaining the study's background.</w:t>
      </w:r>
    </w:p>
    <w:p w14:paraId="68E8DBF0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7. Participant knowledge of the interviewer</w:t>
      </w:r>
    </w:p>
    <w:p w14:paraId="29C40C54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Participants were explicitly informed about the researcher's identity, institutional affiliation, and the core purpose of this study.</w:t>
      </w:r>
    </w:p>
    <w:p w14:paraId="2FEB3BDE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8. Interviewer characteristics</w:t>
      </w:r>
    </w:p>
    <w:p w14:paraId="2AFCEBBE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The researcher had a strong interest in optimizing day-surgery pathways and patient experiences, with no prior clinical care relationship with the participants to minimize bias.</w:t>
      </w:r>
    </w:p>
    <w:p w14:paraId="680A2966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Domain 2: Study Design</w:t>
      </w:r>
    </w:p>
    <w:p w14:paraId="1D34279F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Theoretical Framework</w:t>
      </w:r>
    </w:p>
    <w:p w14:paraId="745BBA99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9. Methodological orientation and Theory</w:t>
      </w:r>
    </w:p>
    <w:p w14:paraId="5EEA7A8F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A descriptive qualitative research design was adopted, utilizing content analysis to interpret the narrative data.</w:t>
      </w:r>
    </w:p>
    <w:p w14:paraId="283AE840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Participant Selection</w:t>
      </w:r>
    </w:p>
    <w:p w14:paraId="14DA8647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10. Sampling</w:t>
      </w:r>
    </w:p>
    <w:p w14:paraId="58A3870F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Purposive sampling was used, adhering to the principle of maximum variation to ensure diverse demographic and clinical representation.</w:t>
      </w:r>
    </w:p>
    <w:p w14:paraId="7A0D1563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11. Method of approach</w:t>
      </w:r>
    </w:p>
    <w:p w14:paraId="4029C220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Participants were recruited face-to-face in the day surgery ward of a tertiary hospital in Nanchang, China.</w:t>
      </w:r>
    </w:p>
    <w:p w14:paraId="34B31BE2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12. Sample size</w:t>
      </w:r>
    </w:p>
    <w:p w14:paraId="322F51FF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A total of 14 patients undergoing day surgery for thyroid tumors were included and completed the study.</w:t>
      </w:r>
    </w:p>
    <w:p w14:paraId="3A19F273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13. Non-participation</w:t>
      </w:r>
    </w:p>
    <w:p w14:paraId="68C3E32C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A total of 5 potential participants declined to participate due to time constraints, fatigue, or lack of interest; no participants dropped out after the interviews commenced.</w:t>
      </w:r>
    </w:p>
    <w:p w14:paraId="6A66FD83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Setting</w:t>
      </w:r>
    </w:p>
    <w:p w14:paraId="10C5B6A8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14. Setting of data collection</w:t>
      </w:r>
    </w:p>
    <w:p w14:paraId="1AAC531A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Interviews were conducted in a quiet, private setting (such as a clinic lounge or a designated counseling room) chosen according to the patient’s preference to ensure confidentiality.</w:t>
      </w:r>
    </w:p>
    <w:p w14:paraId="117B39F8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15. Presence of non-participants</w:t>
      </w:r>
    </w:p>
    <w:p w14:paraId="61A5CC81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Only the researcher and the participant were present during the interview to ensure privacy.</w:t>
      </w:r>
    </w:p>
    <w:p w14:paraId="639CD4B4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16. Description of sample</w:t>
      </w:r>
    </w:p>
    <w:p w14:paraId="03C9D500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Detailed demographic and clinical characteristics (gender, age, marital status, education, type of surgery, etc.) are presented in Table 1.</w:t>
      </w:r>
    </w:p>
    <w:p w14:paraId="770DAE28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Data Collection</w:t>
      </w:r>
    </w:p>
    <w:p w14:paraId="1BD7BC69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17. Interview guide</w:t>
      </w:r>
    </w:p>
    <w:p w14:paraId="679EE63A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A semi-structured interview guide was developed based on literature review, expert group discussions, and pilot interviews, covering four main dimensions: tasks, emotions, pain points, and supporting personnel across different treatment stages.</w:t>
      </w:r>
    </w:p>
    <w:p w14:paraId="75F4D43A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18. Repeat interviews</w:t>
      </w:r>
    </w:p>
    <w:p w14:paraId="5F9DB286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No repeat interviews were conducted; each participant completed a single in-depth interview.</w:t>
      </w:r>
    </w:p>
    <w:p w14:paraId="7ADF3751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19. Audio/visual recording</w:t>
      </w:r>
    </w:p>
    <w:p w14:paraId="501C4E1A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All interviews were digitally audio-recorded with the explicit written informed consent of the participants.</w:t>
      </w:r>
    </w:p>
    <w:p w14:paraId="3825A397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20. Field notes</w:t>
      </w:r>
    </w:p>
    <w:p w14:paraId="67049E36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The researcher recorded field notes during and immediately after the interviews, capturing participants’ non-verbal cues, emotional fluctuations, and behavioral changes.</w:t>
      </w:r>
    </w:p>
    <w:p w14:paraId="06B9FBC7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21. Duration</w:t>
      </w:r>
    </w:p>
    <w:p w14:paraId="7E593E30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Each semi-structured interview lasted approximately 30 to 40 minutes.</w:t>
      </w:r>
    </w:p>
    <w:p w14:paraId="59B77556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22. Data saturation</w:t>
      </w:r>
    </w:p>
    <w:p w14:paraId="40F19EAB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Data collection was terminated when no new themes or information emerged, indicating that data saturation had been achieved.</w:t>
      </w:r>
    </w:p>
    <w:p w14:paraId="1226EE9E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23. Transcripts returned</w:t>
      </w:r>
    </w:p>
    <w:p w14:paraId="603FDD1F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Transcripts were not returned to participants for comment to reduce participant burden, but key summaries were verified with patients during the interview process.</w:t>
      </w:r>
    </w:p>
    <w:p w14:paraId="28CF0ECA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Domain 3: Analysis and Findings</w:t>
      </w:r>
    </w:p>
    <w:p w14:paraId="3DEA6D5B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Data Analysis</w:t>
      </w:r>
    </w:p>
    <w:p w14:paraId="0B1D7EB4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24. Number of data coders</w:t>
      </w:r>
    </w:p>
    <w:p w14:paraId="03327744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Two researchers independently analyzed and coded the transcript data to ensure inter-rater reliability.</w:t>
      </w:r>
    </w:p>
    <w:p w14:paraId="7ABA8114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25. Description of the coding tree</w:t>
      </w:r>
    </w:p>
    <w:p w14:paraId="141B8B75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A multi-dimensional coding framework was developed based on the diagnostic and treatment timeline, categorizing patient needs into tasks, emotions, and pain points.</w:t>
      </w:r>
    </w:p>
    <w:p w14:paraId="2B414099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26. Derivation of themes</w:t>
      </w:r>
    </w:p>
    <w:p w14:paraId="6DDDAB9A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Themes were derived inductively from the raw text data using content analysis, leading to the formulation of 19 distinct themes.</w:t>
      </w:r>
    </w:p>
    <w:p w14:paraId="218CEBA9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27. Software</w:t>
      </w:r>
    </w:p>
    <w:p w14:paraId="5FA87893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NVivo qualitative analysis software was used to manage, store, and structurally code the interview transcripts.</w:t>
      </w:r>
    </w:p>
    <w:p w14:paraId="21A5B648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28. Participant checking</w:t>
      </w:r>
    </w:p>
    <w:p w14:paraId="4302D745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Participants did not provide feedback on the final findings, but a multidisciplinary expert group reviewed the generated patient journey map to ensure clinical appropriateness.</w:t>
      </w:r>
    </w:p>
    <w:p w14:paraId="0E027B69">
      <w:pPr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Reporting</w:t>
      </w:r>
      <w:bookmarkStart w:id="0" w:name="_GoBack"/>
      <w:bookmarkEnd w:id="0"/>
    </w:p>
    <w:p w14:paraId="39224175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29. Quotations presented</w:t>
      </w:r>
    </w:p>
    <w:p w14:paraId="417A7B2E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Illustrative, verbatim quotes from the participants (labeled N1 to N14) are integrated into the results section to substantiate each identified theme.</w:t>
      </w:r>
    </w:p>
    <w:p w14:paraId="04A6508F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30. Data and findings consistent</w:t>
      </w:r>
    </w:p>
    <w:p w14:paraId="36978F9F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There is clear alignment between the presented data (verbatim quotes) and the subthemes/main themes described in the text.</w:t>
      </w:r>
    </w:p>
    <w:p w14:paraId="0157A4A6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31. Clarity of major themes</w:t>
      </w:r>
    </w:p>
    <w:p w14:paraId="76CD71E7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The major findings are clearly structured chronologically (Screening &amp; Diagnosis, Perioperative Period, Extended Treatment, and Recovery &amp; Return to Work) and visualized comprehensively via a Health Management Journey Map.</w:t>
      </w:r>
    </w:p>
    <w:p w14:paraId="5CF73300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>32. Clarity of minor themes/diverse cases</w:t>
      </w:r>
    </w:p>
    <w:p w14:paraId="1B9FF61B">
      <w:pPr>
        <w:jc w:val="both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    Minor themes and unique psychological concerns, such as the specific fertility anxieties and scar-related distress among young female patients, are thoroughly described and explored.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F6B03"/>
    <w:rsid w:val="076F6B03"/>
    <w:rsid w:val="640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</Words>
  <Characters>67</Characters>
  <Lines>0</Lines>
  <Paragraphs>0</Paragraphs>
  <TotalTime>76</TotalTime>
  <ScaleCrop>false</ScaleCrop>
  <LinksUpToDate>false</LinksUpToDate>
  <CharactersWithSpaces>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2026-06-05T03:20:00Z</dcterms:created>
  <dc:creator>草莓味的苹果</dc:creator>
  <cp:lastModifiedBy>草莓味的苹果</cp:lastModifiedBy>
  <dcterms:modified xsi:type="dcterms:W3CDTF">2026-06-10T07:34:21Z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1121A933B4FA470DAF4710A13D65A79A_11</vt:lpwstr>
  </property>
  <property fmtid="{D5CDD505-2E9C-101B-9397-08002B2CF9AE}" pid="4" name="KSOTemplateDocerSaveRecord">
    <vt:lpwstr>eyJoZGlkIjoiMDkxZTNkYTE4MzcwZjBiNTE3ZTU5YTYxZWM3NjgzODMiLCJ1c2VySWQiOiI2Mzc5OTc5NjcifQ==</vt:lpwstr>
  </property>
</Properties>
</file>