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8C056" w14:textId="77777777" w:rsidR="008C072F" w:rsidRDefault="008C072F" w:rsidP="008C072F">
      <w:pPr>
        <w:rPr>
          <w:b/>
          <w:sz w:val="24"/>
          <w:szCs w:val="24"/>
        </w:rPr>
      </w:pPr>
    </w:p>
    <w:p w14:paraId="2EA793A3" w14:textId="77777777" w:rsidR="008C072F" w:rsidRPr="00064809" w:rsidRDefault="008C072F" w:rsidP="008C072F">
      <w:pPr>
        <w:rPr>
          <w:sz w:val="24"/>
          <w:szCs w:val="24"/>
        </w:rPr>
      </w:pPr>
      <w:r w:rsidRPr="00064809">
        <w:rPr>
          <w:b/>
          <w:sz w:val="24"/>
          <w:szCs w:val="24"/>
        </w:rPr>
        <w:t>Supplementary Table 1. IPTW-adjusted subgroup analysis according to stent dwell time (&lt;30 vs ≥30 days)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2304"/>
        <w:gridCol w:w="2304"/>
        <w:gridCol w:w="1152"/>
      </w:tblGrid>
      <w:tr w:rsidR="008C072F" w:rsidRPr="00064809" w14:paraId="6455C311" w14:textId="77777777" w:rsidTr="00C726CF">
        <w:trPr>
          <w:jc w:val="center"/>
        </w:trPr>
        <w:tc>
          <w:tcPr>
            <w:tcW w:w="3312" w:type="dxa"/>
            <w:vAlign w:val="center"/>
          </w:tcPr>
          <w:p w14:paraId="6DD7995F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2304" w:type="dxa"/>
            <w:vAlign w:val="center"/>
          </w:tcPr>
          <w:p w14:paraId="0323C475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b/>
                <w:sz w:val="24"/>
                <w:szCs w:val="24"/>
              </w:rPr>
              <w:t>Within 30 days</w:t>
            </w:r>
            <w:r w:rsidRPr="00064809">
              <w:rPr>
                <w:b/>
                <w:sz w:val="24"/>
                <w:szCs w:val="24"/>
              </w:rPr>
              <w:br/>
              <w:t>N = 114</w:t>
            </w:r>
          </w:p>
        </w:tc>
        <w:tc>
          <w:tcPr>
            <w:tcW w:w="2304" w:type="dxa"/>
            <w:vAlign w:val="center"/>
          </w:tcPr>
          <w:p w14:paraId="0E346232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b/>
                <w:sz w:val="24"/>
                <w:szCs w:val="24"/>
              </w:rPr>
              <w:t>More than 30 days</w:t>
            </w:r>
            <w:r w:rsidRPr="00064809">
              <w:rPr>
                <w:b/>
                <w:sz w:val="24"/>
                <w:szCs w:val="24"/>
              </w:rPr>
              <w:br/>
              <w:t>N = 115</w:t>
            </w:r>
          </w:p>
        </w:tc>
        <w:tc>
          <w:tcPr>
            <w:tcW w:w="1152" w:type="dxa"/>
            <w:vAlign w:val="center"/>
          </w:tcPr>
          <w:p w14:paraId="0AA7D9A8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b/>
                <w:sz w:val="24"/>
                <w:szCs w:val="24"/>
              </w:rPr>
              <w:t>p-value</w:t>
            </w:r>
          </w:p>
        </w:tc>
      </w:tr>
      <w:tr w:rsidR="008C072F" w:rsidRPr="00064809" w14:paraId="42A9C46C" w14:textId="77777777" w:rsidTr="00C726CF">
        <w:trPr>
          <w:jc w:val="center"/>
        </w:trPr>
        <w:tc>
          <w:tcPr>
            <w:tcW w:w="3312" w:type="dxa"/>
            <w:vAlign w:val="center"/>
          </w:tcPr>
          <w:p w14:paraId="4929567D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Operation time, median, min</w:t>
            </w:r>
          </w:p>
        </w:tc>
        <w:tc>
          <w:tcPr>
            <w:tcW w:w="2304" w:type="dxa"/>
            <w:vAlign w:val="center"/>
          </w:tcPr>
          <w:p w14:paraId="51E7E827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60.0</w:t>
            </w:r>
          </w:p>
        </w:tc>
        <w:tc>
          <w:tcPr>
            <w:tcW w:w="2304" w:type="dxa"/>
            <w:vAlign w:val="center"/>
          </w:tcPr>
          <w:p w14:paraId="48C20BD7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66.6</w:t>
            </w:r>
          </w:p>
        </w:tc>
        <w:tc>
          <w:tcPr>
            <w:tcW w:w="1152" w:type="dxa"/>
            <w:vAlign w:val="center"/>
          </w:tcPr>
          <w:p w14:paraId="574D119E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0.39</w:t>
            </w:r>
          </w:p>
        </w:tc>
      </w:tr>
      <w:tr w:rsidR="008C072F" w:rsidRPr="00064809" w14:paraId="49931158" w14:textId="77777777" w:rsidTr="00C726CF">
        <w:trPr>
          <w:jc w:val="center"/>
        </w:trPr>
        <w:tc>
          <w:tcPr>
            <w:tcW w:w="3312" w:type="dxa"/>
            <w:vAlign w:val="center"/>
          </w:tcPr>
          <w:p w14:paraId="05E13DE7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SFR</w:t>
            </w:r>
          </w:p>
        </w:tc>
        <w:tc>
          <w:tcPr>
            <w:tcW w:w="2304" w:type="dxa"/>
            <w:vAlign w:val="center"/>
          </w:tcPr>
          <w:p w14:paraId="2D107227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88.3%</w:t>
            </w:r>
          </w:p>
        </w:tc>
        <w:tc>
          <w:tcPr>
            <w:tcW w:w="2304" w:type="dxa"/>
            <w:vAlign w:val="center"/>
          </w:tcPr>
          <w:p w14:paraId="6AF81496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88.2%</w:t>
            </w:r>
          </w:p>
        </w:tc>
        <w:tc>
          <w:tcPr>
            <w:tcW w:w="1152" w:type="dxa"/>
            <w:vAlign w:val="center"/>
          </w:tcPr>
          <w:p w14:paraId="4A3AB734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0.22</w:t>
            </w:r>
          </w:p>
        </w:tc>
      </w:tr>
      <w:tr w:rsidR="008C072F" w:rsidRPr="00064809" w14:paraId="45457B17" w14:textId="77777777" w:rsidTr="00C726CF">
        <w:trPr>
          <w:jc w:val="center"/>
        </w:trPr>
        <w:tc>
          <w:tcPr>
            <w:tcW w:w="3312" w:type="dxa"/>
            <w:vAlign w:val="center"/>
          </w:tcPr>
          <w:p w14:paraId="2A0D3370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Postoperative fever</w:t>
            </w:r>
          </w:p>
        </w:tc>
        <w:tc>
          <w:tcPr>
            <w:tcW w:w="2304" w:type="dxa"/>
            <w:vAlign w:val="center"/>
          </w:tcPr>
          <w:p w14:paraId="577B1AB1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3.4%</w:t>
            </w:r>
          </w:p>
        </w:tc>
        <w:tc>
          <w:tcPr>
            <w:tcW w:w="2304" w:type="dxa"/>
            <w:vAlign w:val="center"/>
          </w:tcPr>
          <w:p w14:paraId="28BBCB53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6.7%</w:t>
            </w:r>
          </w:p>
        </w:tc>
        <w:tc>
          <w:tcPr>
            <w:tcW w:w="1152" w:type="dxa"/>
            <w:vAlign w:val="center"/>
          </w:tcPr>
          <w:p w14:paraId="4773EC85" w14:textId="77777777" w:rsidR="008C072F" w:rsidRPr="00064809" w:rsidRDefault="008C072F" w:rsidP="00C726CF">
            <w:pPr>
              <w:jc w:val="center"/>
              <w:rPr>
                <w:sz w:val="24"/>
                <w:szCs w:val="24"/>
              </w:rPr>
            </w:pPr>
            <w:r w:rsidRPr="00064809">
              <w:rPr>
                <w:sz w:val="24"/>
                <w:szCs w:val="24"/>
              </w:rPr>
              <w:t>0.26</w:t>
            </w:r>
          </w:p>
        </w:tc>
      </w:tr>
    </w:tbl>
    <w:p w14:paraId="158FF3DB" w14:textId="77777777" w:rsidR="008C072F" w:rsidRPr="00064809" w:rsidRDefault="008C072F" w:rsidP="008C072F">
      <w:pPr>
        <w:rPr>
          <w:sz w:val="24"/>
          <w:szCs w:val="24"/>
        </w:rPr>
      </w:pPr>
    </w:p>
    <w:p w14:paraId="4FF13311" w14:textId="77777777" w:rsidR="008B07A6" w:rsidRDefault="008B07A6"/>
    <w:sectPr w:rsidR="008B07A6" w:rsidSect="008C072F">
      <w:pgSz w:w="16834" w:h="11909" w:orient="landscape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2F"/>
    <w:rsid w:val="00066677"/>
    <w:rsid w:val="00153A17"/>
    <w:rsid w:val="001A37F3"/>
    <w:rsid w:val="003A4E89"/>
    <w:rsid w:val="00556784"/>
    <w:rsid w:val="008B07A6"/>
    <w:rsid w:val="008C072F"/>
    <w:rsid w:val="0097029A"/>
    <w:rsid w:val="00987B63"/>
    <w:rsid w:val="00A234E6"/>
    <w:rsid w:val="00B62C8D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21B89"/>
  <w15:chartTrackingRefBased/>
  <w15:docId w15:val="{E1818ED2-0B3E-43DE-9359-77836F78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72F"/>
    <w:pPr>
      <w:spacing w:after="200" w:line="276" w:lineRule="auto"/>
    </w:pPr>
    <w:rPr>
      <w:rFonts w:ascii="Times New Roman" w:eastAsiaTheme="minorEastAsia" w:hAnsi="Times New Roman"/>
      <w:kern w:val="0"/>
      <w:sz w:val="1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7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7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7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7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7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72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72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72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72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72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72F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0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72F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0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7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C072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2026-08-07T02:04:00Z</dcterms:created>
  <dcterms:modified xsi:type="dcterms:W3CDTF">2026-08-07T02:04:00Z</dcterms:modified>
</cp:coreProperties>
</file>