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2" w:name="Xade18cb38158341422c66e59c794dbaa50fb716"/>
    <w:p>
      <w:pPr>
        <w:pStyle w:val="Heading1"/>
      </w:pPr>
      <w:r>
        <w:t xml:space="preserve">Additional file 2 — Supplementary Table S1. Complete Immunohistochemistry Marker Panel</w:t>
      </w:r>
    </w:p>
    <w:p>
      <w:pPr>
        <w:pStyle w:val="FirstParagraph"/>
      </w:pPr>
      <w:r>
        <w:rPr>
          <w:b/>
          <w:bCs/>
        </w:rPr>
        <w:t xml:space="preserve">Manuscript:</w:t>
      </w:r>
      <w:r>
        <w:t xml:space="preserve"> </w:t>
      </w:r>
      <w:r>
        <w:t xml:space="preserve">Extreme Immune Checkpoint Inhibitor–Associated Thrombocytosis with Concurrent C-MET Upregulation Evolution in Extensive-Stage Small Cell Lung Cancer: A Case Report</w:t>
      </w:r>
    </w:p>
    <w:p>
      <w:pPr>
        <w:pStyle w:val="BodyText"/>
      </w:pPr>
      <w:r>
        <w:rPr>
          <w:b/>
          <w:bCs/>
        </w:rPr>
        <w:t xml:space="preserve">Target journal:</w:t>
      </w:r>
      <w:r>
        <w:t xml:space="preserve"> </w:t>
      </w:r>
      <w:r>
        <w:t xml:space="preserve">Journal of Medical Case Reports (BMC, Springer Nature)</w:t>
      </w:r>
    </w:p>
    <w:p>
      <w:pPr>
        <w:pStyle w:val="BodyText"/>
      </w:pPr>
      <w:r>
        <w:rPr>
          <w:b/>
          <w:bCs/>
        </w:rPr>
        <w:t xml:space="preserve">Supplementary file for:</w:t>
      </w:r>
      <w:r>
        <w:t xml:space="preserve"> </w:t>
      </w:r>
      <w:r>
        <w:t xml:space="preserve">JMCR Case Report submission (BMC/Springer template)</w:t>
      </w:r>
    </w:p>
    <w:p>
      <w:pPr>
        <w:pStyle w:val="BodyText"/>
      </w:pPr>
      <w:r>
        <w:rPr>
          <w:b/>
          <w:bCs/>
        </w:rPr>
        <w:t xml:space="preserve">Date prepared:</w:t>
      </w:r>
      <w:r>
        <w:t xml:space="preserve"> </w:t>
      </w:r>
      <w:r>
        <w:t xml:space="preserve">2026-06-11 (consistent with manuscript v10.2)</w:t>
      </w:r>
    </w:p>
    <w:p>
      <w:r>
        <w:pict>
          <v:rect style="width:0;height:1.5pt" o:hralign="center" o:hrstd="t" o:hr="t"/>
        </w:pict>
      </w:r>
    </w:p>
    <w:p>
      <w:pPr>
        <w:pStyle w:val="FirstParagraph"/>
      </w:pPr>
      <w:r>
        <w:t xml:space="preserve">Supplementary Table S1. Complete immunohistochemistry (IHC) marker panel for</w:t>
      </w:r>
      <w:r>
        <w:t xml:space="preserve"> </w:t>
      </w:r>
      <w:r>
        <w:rPr>
          <w:b/>
          <w:bCs/>
        </w:rPr>
        <w:t xml:space="preserve">Bx1</w:t>
      </w:r>
      <w:r>
        <w:t xml:space="preserve"> </w:t>
      </w:r>
      <w:r>
        <w:t xml:space="preserve">(right supraclavicular lymph node, 26 November 2025; classical SCLC) and</w:t>
      </w:r>
      <w:r>
        <w:t xml:space="preserve"> </w:t>
      </w:r>
      <w:r>
        <w:rPr>
          <w:b/>
          <w:bCs/>
        </w:rPr>
        <w:t xml:space="preserve">Bx2</w:t>
      </w:r>
      <w:r>
        <w:t xml:space="preserve"> </w:t>
      </w:r>
      <w:r>
        <w:t xml:space="preserve">(right upper lobe lung mass, 21 January 2026; HG-NEC transformation with C-MET upregulation). Markers are organised by biological function: epithelial/lineage, lung-specific, neuroendocrine, proliferation, and therapeutic targets. Results for the neuroendocrine and proliferation markers (CD56, Syn, CgA, INSM1, TTF-1, C-MET, Ki-67) are quoted from the §Second Biopsy and Phenotypic Shift on Repeat Biopsy section of the manuscript; the remaining epithelial/lineage and lung-specific markers are summarised from the comparative IHC heatmap (Figure 4) of the manuscript and are provided here for completeness.</w:t>
      </w:r>
      <w:r>
        <w:t xml:space="preserve"> </w:t>
      </w:r>
      <w:r>
        <w:rPr>
          <w:b/>
          <w:bCs/>
        </w:rPr>
        <w:t xml:space="preserve">Five-level discrete IHC scale:</w:t>
      </w:r>
      <w:r>
        <w:t xml:space="preserve"> </w:t>
      </w:r>
      <w:r>
        <w:t xml:space="preserve">− (Negative), F+ (Few/Focal +), P+ (Partial +), + (Positive +), ++ (Strong +).</w:t>
      </w:r>
    </w:p>
    <w:tbl>
      <w:tblPr>
        <w:tblStyle w:val="Table"/>
        <w:tblW w:type="pct" w:w="5000"/>
        <w:tblLayout w:type="fixed"/>
        <w:tblLook w:firstRow="1" w:lastRow="0" w:firstColumn="0" w:lastColumn="0" w:noHBand="0" w:noVBand="0" w:val="0020"/>
      </w:tblPr>
      <w:tblGrid>
        <w:gridCol w:w="247"/>
        <w:gridCol w:w="660"/>
        <w:gridCol w:w="1732"/>
        <w:gridCol w:w="2475"/>
        <w:gridCol w:w="2805"/>
      </w:tblGrid>
      <w:tr>
        <w:trPr>
          <w:tblHeader w:val="on"/>
        </w:trPr>
        <w:tc>
          <w:tcPr/>
          <w:p>
            <w:pPr>
              <w:pStyle w:val="Compact"/>
              <w:jc w:val="center"/>
            </w:pPr>
            <w:r>
              <w:t xml:space="preserve">#</w:t>
            </w:r>
          </w:p>
        </w:tc>
        <w:tc>
          <w:tcPr/>
          <w:p>
            <w:pPr>
              <w:pStyle w:val="Compact"/>
              <w:jc w:val="left"/>
            </w:pPr>
            <w:r>
              <w:t xml:space="preserve">Marker</w:t>
            </w:r>
          </w:p>
        </w:tc>
        <w:tc>
          <w:tcPr/>
          <w:p>
            <w:pPr>
              <w:pStyle w:val="Compact"/>
              <w:jc w:val="left"/>
            </w:pPr>
            <w:r>
              <w:t xml:space="preserve">Biological function</w:t>
            </w:r>
          </w:p>
        </w:tc>
        <w:tc>
          <w:tcPr/>
          <w:p>
            <w:pPr>
              <w:pStyle w:val="Compact"/>
              <w:jc w:val="left"/>
            </w:pPr>
            <w:r>
              <w:t xml:space="preserve">Bx1 (Nov 2025, R-SCLN, SCLC)</w:t>
            </w:r>
          </w:p>
        </w:tc>
        <w:tc>
          <w:tcPr/>
          <w:p>
            <w:pPr>
              <w:pStyle w:val="Compact"/>
              <w:jc w:val="left"/>
            </w:pPr>
            <w:r>
              <w:t xml:space="preserve">Bx2 (Jan 2026, RUL mass, HG-NEC)</w:t>
            </w:r>
          </w:p>
        </w:tc>
      </w:tr>
      <w:tr>
        <w:tc>
          <w:tcPr/>
          <w:p>
            <w:pPr>
              <w:pStyle w:val="Compact"/>
              <w:jc w:val="center"/>
            </w:pPr>
            <w:r>
              <w:t xml:space="preserve">1</w:t>
            </w:r>
          </w:p>
        </w:tc>
        <w:tc>
          <w:tcPr/>
          <w:p>
            <w:pPr>
              <w:pStyle w:val="Compact"/>
              <w:jc w:val="left"/>
            </w:pPr>
            <w:r>
              <w:t xml:space="preserve">CK (pan-cytokeratin, AE1/AE3)</w:t>
            </w:r>
          </w:p>
        </w:tc>
        <w:tc>
          <w:tcPr/>
          <w:p>
            <w:pPr>
              <w:pStyle w:val="Compact"/>
              <w:jc w:val="left"/>
            </w:pPr>
            <w:r>
              <w:t xml:space="preserve">Epithelial / lineage</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2</w:t>
            </w:r>
          </w:p>
        </w:tc>
        <w:tc>
          <w:tcPr/>
          <w:p>
            <w:pPr>
              <w:pStyle w:val="Compact"/>
              <w:jc w:val="left"/>
            </w:pPr>
            <w:r>
              <w:t xml:space="preserve">CK7</w:t>
            </w:r>
          </w:p>
        </w:tc>
        <w:tc>
          <w:tcPr/>
          <w:p>
            <w:pPr>
              <w:pStyle w:val="Compact"/>
              <w:jc w:val="left"/>
            </w:pPr>
            <w:r>
              <w:t xml:space="preserve">Epithelial / lineage</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3</w:t>
            </w:r>
          </w:p>
        </w:tc>
        <w:tc>
          <w:tcPr/>
          <w:p>
            <w:pPr>
              <w:pStyle w:val="Compact"/>
              <w:jc w:val="left"/>
            </w:pPr>
            <w:r>
              <w:t xml:space="preserve">CK5/6</w:t>
            </w:r>
          </w:p>
        </w:tc>
        <w:tc>
          <w:tcPr/>
          <w:p>
            <w:pPr>
              <w:pStyle w:val="Compact"/>
              <w:jc w:val="left"/>
            </w:pPr>
            <w:r>
              <w:t xml:space="preserve">Epithelial / lineage (squamous)</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4</w:t>
            </w:r>
          </w:p>
        </w:tc>
        <w:tc>
          <w:tcPr/>
          <w:p>
            <w:pPr>
              <w:pStyle w:val="Compact"/>
              <w:jc w:val="left"/>
            </w:pPr>
            <w:r>
              <w:t xml:space="preserve">P40</w:t>
            </w:r>
          </w:p>
        </w:tc>
        <w:tc>
          <w:tcPr/>
          <w:p>
            <w:pPr>
              <w:pStyle w:val="Compact"/>
              <w:jc w:val="left"/>
            </w:pPr>
            <w:r>
              <w:t xml:space="preserve">Epithelial / lineage (squamous)</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5</w:t>
            </w:r>
          </w:p>
        </w:tc>
        <w:tc>
          <w:tcPr/>
          <w:p>
            <w:pPr>
              <w:pStyle w:val="Compact"/>
              <w:jc w:val="left"/>
            </w:pPr>
            <w:r>
              <w:t xml:space="preserve">P63</w:t>
            </w:r>
          </w:p>
        </w:tc>
        <w:tc>
          <w:tcPr/>
          <w:p>
            <w:pPr>
              <w:pStyle w:val="Compact"/>
              <w:jc w:val="left"/>
            </w:pPr>
            <w:r>
              <w:t xml:space="preserve">Epithelial / lineage (squamous)</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6</w:t>
            </w:r>
          </w:p>
        </w:tc>
        <w:tc>
          <w:tcPr/>
          <w:p>
            <w:pPr>
              <w:pStyle w:val="Compact"/>
              <w:jc w:val="left"/>
            </w:pPr>
            <w:r>
              <w:t xml:space="preserve">TTF-1 (Thyroid Transcription Factor-1)</w:t>
            </w:r>
          </w:p>
        </w:tc>
        <w:tc>
          <w:tcPr/>
          <w:p>
            <w:pPr>
              <w:pStyle w:val="Compact"/>
              <w:jc w:val="left"/>
            </w:pPr>
            <w:r>
              <w:t xml:space="preserve">Lung-specific</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7</w:t>
            </w:r>
          </w:p>
        </w:tc>
        <w:tc>
          <w:tcPr/>
          <w:p>
            <w:pPr>
              <w:pStyle w:val="Compact"/>
              <w:jc w:val="left"/>
            </w:pPr>
            <w:r>
              <w:t xml:space="preserve">Napsin A</w:t>
            </w:r>
          </w:p>
        </w:tc>
        <w:tc>
          <w:tcPr/>
          <w:p>
            <w:pPr>
              <w:pStyle w:val="Compact"/>
              <w:jc w:val="left"/>
            </w:pPr>
            <w:r>
              <w:t xml:space="preserve">Lung-specific (adenocarcinoma)</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8</w:t>
            </w:r>
          </w:p>
        </w:tc>
        <w:tc>
          <w:tcPr/>
          <w:p>
            <w:pPr>
              <w:pStyle w:val="Compact"/>
              <w:jc w:val="left"/>
            </w:pPr>
            <w:r>
              <w:t xml:space="preserve">CD56 (NCAM)</w:t>
            </w:r>
          </w:p>
        </w:tc>
        <w:tc>
          <w:tcPr/>
          <w:p>
            <w:pPr>
              <w:pStyle w:val="Compact"/>
              <w:jc w:val="left"/>
            </w:pPr>
            <w:r>
              <w:t xml:space="preserve">Neuroendocrine</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9</w:t>
            </w:r>
          </w:p>
        </w:tc>
        <w:tc>
          <w:tcPr/>
          <w:p>
            <w:pPr>
              <w:pStyle w:val="Compact"/>
              <w:jc w:val="left"/>
            </w:pPr>
            <w:r>
              <w:t xml:space="preserve">Syn (Synaptophysin)</w:t>
            </w:r>
          </w:p>
        </w:tc>
        <w:tc>
          <w:tcPr/>
          <w:p>
            <w:pPr>
              <w:pStyle w:val="Compact"/>
              <w:jc w:val="left"/>
            </w:pPr>
            <w:r>
              <w:t xml:space="preserve">Neuroendocrine</w:t>
            </w:r>
          </w:p>
        </w:tc>
        <w:tc>
          <w:tcPr/>
          <w:p>
            <w:pPr>
              <w:pStyle w:val="Compact"/>
              <w:jc w:val="left"/>
            </w:pPr>
            <w:r>
              <w:t xml:space="preserve">+</w:t>
            </w:r>
          </w:p>
        </w:tc>
        <w:tc>
          <w:tcPr/>
          <w:p>
            <w:pPr>
              <w:pStyle w:val="Compact"/>
              <w:jc w:val="left"/>
            </w:pPr>
            <w:r>
              <w:t xml:space="preserve">P+ (partial attenuation)</w:t>
            </w:r>
          </w:p>
        </w:tc>
      </w:tr>
      <w:tr>
        <w:tc>
          <w:tcPr/>
          <w:p>
            <w:pPr>
              <w:pStyle w:val="Compact"/>
              <w:jc w:val="center"/>
            </w:pPr>
            <w:r>
              <w:t xml:space="preserve">10</w:t>
            </w:r>
          </w:p>
        </w:tc>
        <w:tc>
          <w:tcPr/>
          <w:p>
            <w:pPr>
              <w:pStyle w:val="Compact"/>
              <w:jc w:val="left"/>
            </w:pPr>
            <w:r>
              <w:t xml:space="preserve">CgA (Chromogranin A)</w:t>
            </w:r>
          </w:p>
        </w:tc>
        <w:tc>
          <w:tcPr/>
          <w:p>
            <w:pPr>
              <w:pStyle w:val="Compact"/>
              <w:jc w:val="left"/>
            </w:pPr>
            <w:r>
              <w:t xml:space="preserve">Neuroendocrine</w:t>
            </w:r>
          </w:p>
        </w:tc>
        <w:tc>
          <w:tcPr/>
          <w:p>
            <w:pPr>
              <w:pStyle w:val="Compact"/>
              <w:jc w:val="left"/>
            </w:pPr>
            <w:r>
              <w:t xml:space="preserve">− (not acquired)</w:t>
            </w:r>
          </w:p>
        </w:tc>
        <w:tc>
          <w:tcPr/>
          <w:p>
            <w:pPr>
              <w:pStyle w:val="Compact"/>
              <w:jc w:val="left"/>
            </w:pPr>
            <w:r>
              <w:t xml:space="preserve">F+ (newly acquired)</w:t>
            </w:r>
          </w:p>
        </w:tc>
      </w:tr>
      <w:tr>
        <w:tc>
          <w:tcPr/>
          <w:p>
            <w:pPr>
              <w:pStyle w:val="Compact"/>
              <w:jc w:val="center"/>
            </w:pPr>
            <w:r>
              <w:t xml:space="preserve">11</w:t>
            </w:r>
          </w:p>
        </w:tc>
        <w:tc>
          <w:tcPr/>
          <w:p>
            <w:pPr>
              <w:pStyle w:val="Compact"/>
              <w:jc w:val="left"/>
            </w:pPr>
            <w:r>
              <w:t xml:space="preserve">INSM1 (Insulinoma-associated protein 1)</w:t>
            </w:r>
          </w:p>
        </w:tc>
        <w:tc>
          <w:tcPr/>
          <w:p>
            <w:pPr>
              <w:pStyle w:val="Compact"/>
              <w:jc w:val="left"/>
            </w:pPr>
            <w:r>
              <w:t xml:space="preserve">Neuroendocrine</w:t>
            </w:r>
          </w:p>
        </w:tc>
        <w:tc>
          <w:tcPr/>
          <w:p>
            <w:pPr>
              <w:pStyle w:val="Compact"/>
              <w:jc w:val="left"/>
            </w:pPr>
            <w:r>
              <w:t xml:space="preserve">+</w:t>
            </w:r>
          </w:p>
        </w:tc>
        <w:tc>
          <w:tcPr/>
          <w:p>
            <w:pPr>
              <w:pStyle w:val="Compact"/>
              <w:jc w:val="left"/>
            </w:pPr>
            <w:r>
              <w:t xml:space="preserve">P+ (partial attenuation)</w:t>
            </w:r>
          </w:p>
        </w:tc>
      </w:tr>
      <w:tr>
        <w:tc>
          <w:tcPr/>
          <w:p>
            <w:pPr>
              <w:pStyle w:val="Compact"/>
              <w:jc w:val="center"/>
            </w:pPr>
            <w:r>
              <w:t xml:space="preserve">12</w:t>
            </w:r>
          </w:p>
        </w:tc>
        <w:tc>
          <w:tcPr/>
          <w:p>
            <w:pPr>
              <w:pStyle w:val="Compact"/>
              <w:jc w:val="left"/>
            </w:pPr>
            <w:r>
              <w:t xml:space="preserve">Ki-67</w:t>
            </w:r>
          </w:p>
        </w:tc>
        <w:tc>
          <w:tcPr/>
          <w:p>
            <w:pPr>
              <w:pStyle w:val="Compact"/>
              <w:jc w:val="left"/>
            </w:pPr>
            <w:r>
              <w:t xml:space="preserve">Proliferation</w:t>
            </w:r>
          </w:p>
        </w:tc>
        <w:tc>
          <w:tcPr/>
          <w:p>
            <w:pPr>
              <w:pStyle w:val="Compact"/>
              <w:jc w:val="left"/>
            </w:pPr>
            <w:r>
              <w:t xml:space="preserve">90% (++)</w:t>
            </w:r>
          </w:p>
        </w:tc>
        <w:tc>
          <w:tcPr/>
          <w:p>
            <w:pPr>
              <w:pStyle w:val="Compact"/>
              <w:jc w:val="left"/>
            </w:pPr>
            <w:r>
              <w:t xml:space="preserve">60% (+)</w:t>
            </w:r>
          </w:p>
        </w:tc>
      </w:tr>
      <w:tr>
        <w:tc>
          <w:tcPr/>
          <w:p>
            <w:pPr>
              <w:pStyle w:val="Compact"/>
              <w:jc w:val="center"/>
            </w:pPr>
            <w:r>
              <w:t xml:space="preserve">13</w:t>
            </w:r>
          </w:p>
        </w:tc>
        <w:tc>
          <w:tcPr/>
          <w:p>
            <w:pPr>
              <w:pStyle w:val="Compact"/>
              <w:jc w:val="left"/>
            </w:pPr>
            <w:r>
              <w:t xml:space="preserve">C-MET (c-MET / MET)</w:t>
            </w:r>
          </w:p>
        </w:tc>
        <w:tc>
          <w:tcPr/>
          <w:p>
            <w:pPr>
              <w:pStyle w:val="Compact"/>
              <w:jc w:val="left"/>
            </w:pPr>
            <w:r>
              <w:t xml:space="preserve">Therapeutic target</w:t>
            </w:r>
          </w:p>
        </w:tc>
        <w:tc>
          <w:tcPr/>
          <w:p>
            <w:pPr>
              <w:pStyle w:val="Compact"/>
              <w:jc w:val="left"/>
            </w:pPr>
            <w:r>
              <w:t xml:space="preserve">10% weak (F+)</w:t>
            </w:r>
          </w:p>
        </w:tc>
        <w:tc>
          <w:tcPr/>
          <w:p>
            <w:pPr>
              <w:pStyle w:val="Compact"/>
              <w:jc w:val="left"/>
            </w:pPr>
            <w:r>
              <w:t xml:space="preserve">80% strong (++) with additional 10% weak (F+)</w:t>
            </w:r>
          </w:p>
        </w:tc>
      </w:tr>
      <w:tr>
        <w:tc>
          <w:tcPr/>
          <w:p>
            <w:pPr>
              <w:pStyle w:val="Compact"/>
              <w:jc w:val="center"/>
            </w:pPr>
            <w:r>
              <w:t xml:space="preserve">14</w:t>
            </w:r>
          </w:p>
        </w:tc>
        <w:tc>
          <w:tcPr/>
          <w:p>
            <w:pPr>
              <w:pStyle w:val="Compact"/>
              <w:jc w:val="left"/>
            </w:pPr>
            <w:r>
              <w:t xml:space="preserve">ALK (D5F3 / 5A4)</w:t>
            </w:r>
          </w:p>
        </w:tc>
        <w:tc>
          <w:tcPr/>
          <w:p>
            <w:pPr>
              <w:pStyle w:val="Compact"/>
              <w:jc w:val="left"/>
            </w:pPr>
            <w:r>
              <w:t xml:space="preserve">Therapeutic target</w:t>
            </w:r>
          </w:p>
        </w:tc>
        <w:tc>
          <w:tcPr/>
          <w:p>
            <w:pPr>
              <w:pStyle w:val="Compact"/>
              <w:jc w:val="left"/>
            </w:pPr>
            <w:r>
              <w:t xml:space="preserve">−</w:t>
            </w:r>
          </w:p>
        </w:tc>
        <w:tc>
          <w:tcPr/>
          <w:p>
            <w:pPr>
              <w:pStyle w:val="Compact"/>
              <w:jc w:val="left"/>
            </w:pPr>
            <w:r>
              <w:t xml:space="preserve">−</w:t>
            </w:r>
          </w:p>
        </w:tc>
      </w:tr>
      <w:tr>
        <w:tc>
          <w:tcPr/>
          <w:p>
            <w:pPr>
              <w:pStyle w:val="Compact"/>
              <w:jc w:val="center"/>
            </w:pPr>
            <w:r>
              <w:t xml:space="preserve">15</w:t>
            </w:r>
          </w:p>
        </w:tc>
        <w:tc>
          <w:tcPr/>
          <w:p>
            <w:pPr>
              <w:pStyle w:val="Compact"/>
              <w:jc w:val="left"/>
            </w:pPr>
            <w:r>
              <w:t xml:space="preserve">NUT (NUTM1)</w:t>
            </w:r>
          </w:p>
        </w:tc>
        <w:tc>
          <w:tcPr/>
          <w:p>
            <w:pPr>
              <w:pStyle w:val="Compact"/>
              <w:jc w:val="left"/>
            </w:pPr>
            <w:r>
              <w:t xml:space="preserve">Therapeutic target (NUT carcinoma exclusion)</w:t>
            </w:r>
          </w:p>
        </w:tc>
        <w:tc>
          <w:tcPr/>
          <w:p>
            <w:pPr>
              <w:pStyle w:val="Compact"/>
              <w:jc w:val="left"/>
            </w:pPr>
            <w:r>
              <w:t xml:space="preserve">−</w:t>
            </w:r>
          </w:p>
        </w:tc>
        <w:tc>
          <w:tcPr/>
          <w:p>
            <w:pPr>
              <w:pStyle w:val="Compact"/>
              <w:jc w:val="left"/>
            </w:pPr>
            <w:r>
              <w:t xml:space="preserve">−</w:t>
            </w:r>
          </w:p>
        </w:tc>
      </w:tr>
    </w:tbl>
    <w:p>
      <w:pPr>
        <w:pStyle w:val="BodyText"/>
      </w:pPr>
      <w:r>
        <w:rPr>
          <w:b/>
          <w:bCs/>
        </w:rPr>
        <w:t xml:space="preserve">R-SCLN</w:t>
      </w:r>
      <w:r>
        <w:t xml:space="preserve"> </w:t>
      </w:r>
      <w:r>
        <w:t xml:space="preserve">= right supraclavicular lymph node;</w:t>
      </w:r>
      <w:r>
        <w:t xml:space="preserve"> </w:t>
      </w:r>
      <w:r>
        <w:rPr>
          <w:b/>
          <w:bCs/>
        </w:rPr>
        <w:t xml:space="preserve">RUL</w:t>
      </w:r>
      <w:r>
        <w:t xml:space="preserve"> </w:t>
      </w:r>
      <w:r>
        <w:t xml:space="preserve">= right upper lobe;</w:t>
      </w:r>
      <w:r>
        <w:t xml:space="preserve"> </w:t>
      </w:r>
      <w:r>
        <w:rPr>
          <w:b/>
          <w:bCs/>
        </w:rPr>
        <w:t xml:space="preserve">SCLC</w:t>
      </w:r>
      <w:r>
        <w:t xml:space="preserve"> </w:t>
      </w:r>
      <w:r>
        <w:t xml:space="preserve">= small cell lung cancer;</w:t>
      </w:r>
      <w:r>
        <w:t xml:space="preserve"> </w:t>
      </w:r>
      <w:r>
        <w:rPr>
          <w:b/>
          <w:bCs/>
        </w:rPr>
        <w:t xml:space="preserve">HG-NEC</w:t>
      </w:r>
      <w:r>
        <w:t xml:space="preserve"> </w:t>
      </w:r>
      <w:r>
        <w:t xml:space="preserve">= high-grade neuroendocrine carcinoma.</w:t>
      </w:r>
    </w:p>
    <w:p>
      <w:r>
        <w:pict>
          <v:rect style="width:0;height:1.5pt" o:hralign="center" o:hrstd="t" o:hr="t"/>
        </w:pict>
      </w:r>
    </w:p>
    <w:bookmarkStart w:id="9" w:name="key-comparative-observations-bx1-bx2"/>
    <w:p>
      <w:pPr>
        <w:pStyle w:val="Heading2"/>
      </w:pPr>
      <w:r>
        <w:t xml:space="preserve">Key comparative observations (Bx1 → Bx2)</w:t>
      </w:r>
    </w:p>
    <w:p>
      <w:pPr>
        <w:pStyle w:val="Compact"/>
        <w:numPr>
          <w:ilvl w:val="0"/>
          <w:numId w:val="1001"/>
        </w:numPr>
      </w:pPr>
      <w:r>
        <w:rPr>
          <w:b/>
          <w:bCs/>
        </w:rPr>
        <w:t xml:space="preserve">C-MET upregulation Evolution (10% weak+ → 80% strong+)</w:t>
      </w:r>
      <w:r>
        <w:t xml:space="preserve"> </w:t>
      </w:r>
      <w:r>
        <w:t xml:space="preserve">— the central novel observation of the manuscript; documented here as</w:t>
      </w:r>
      <w:r>
        <w:t xml:space="preserve"> </w:t>
      </w:r>
      <w:r>
        <w:rPr>
          <w:b/>
          <w:bCs/>
        </w:rPr>
        <w:t xml:space="preserve">Bx1: F+ (10%, weak intensity) → Bx2: ++ (80%, strong membrane staining)</w:t>
      </w:r>
      <w:r>
        <w:t xml:space="preserve"> </w:t>
      </w:r>
      <w:r>
        <w:t xml:space="preserve">with a residual 10% weak-positive component.</w:t>
      </w:r>
    </w:p>
    <w:p>
      <w:pPr>
        <w:pStyle w:val="Compact"/>
        <w:numPr>
          <w:ilvl w:val="0"/>
          <w:numId w:val="1001"/>
        </w:numPr>
      </w:pPr>
      <w:r>
        <w:rPr>
          <w:b/>
          <w:bCs/>
        </w:rPr>
        <w:t xml:space="preserve">Neuroendocrine marker re-patterning</w:t>
      </w:r>
      <w:r>
        <w:t xml:space="preserve"> </w:t>
      </w:r>
      <w:r>
        <w:t xml:space="preserve">— Syn and INSM1 partially attenuated (P+) in Bx2; CgA newly acquired (F+ in Bx2 vs negative in Bx1). This shift, together with the change in cell morphology (small round-blue cells with nuclear molding → larger polygonal cells with vesicular nuclei and prominent nucleoli) and the Ki-67 decline (90% → 60%), is consistent with high-grade neuroendocrine carcinoma (HG-NEC) transformation under ICI pressure.</w:t>
      </w:r>
    </w:p>
    <w:p>
      <w:pPr>
        <w:pStyle w:val="Compact"/>
        <w:numPr>
          <w:ilvl w:val="0"/>
          <w:numId w:val="1001"/>
        </w:numPr>
      </w:pPr>
      <w:r>
        <w:rPr>
          <w:b/>
          <w:bCs/>
        </w:rPr>
        <w:t xml:space="preserve">Lung-lineage retention</w:t>
      </w:r>
      <w:r>
        <w:t xml:space="preserve"> </w:t>
      </w:r>
      <w:r>
        <w:t xml:space="preserve">— TTF-1 positivity preserved across both biopsies, supporting continued pulmonary origin. Squamous markers (CK5/6, P40, P63) negative in both, excluding squamous differentiation. Napsin A negative, excluding adenocarcinoma component.</w:t>
      </w:r>
    </w:p>
    <w:p>
      <w:pPr>
        <w:pStyle w:val="Compact"/>
        <w:numPr>
          <w:ilvl w:val="0"/>
          <w:numId w:val="1001"/>
        </w:numPr>
      </w:pPr>
      <w:r>
        <w:rPr>
          <w:b/>
          <w:bCs/>
        </w:rPr>
        <w:t xml:space="preserve">Therapeutic target screening</w:t>
      </w:r>
      <w:r>
        <w:t xml:space="preserve"> </w:t>
      </w:r>
      <w:r>
        <w:t xml:space="preserve">— ALK (D5F3) negative; NUT negative (excludes NUT carcinoma rearrangement). Strong C-MET expression (80%, 2+/3+ equivalent) on Bx2 raises the possibility of MET dependence, but MET exon 14 skipping / amplification by FISH or NGS was not performed in this case (a stated limitation in §Discussion → Limitations).</w:t>
      </w:r>
    </w:p>
    <w:p>
      <w:pPr>
        <w:pStyle w:val="Compact"/>
        <w:numPr>
          <w:ilvl w:val="0"/>
          <w:numId w:val="1001"/>
        </w:numPr>
      </w:pPr>
      <w:r>
        <w:rPr>
          <w:b/>
          <w:bCs/>
        </w:rPr>
        <w:t xml:space="preserve">Ki-67 inter-site heterogeneity</w:t>
      </w:r>
      <w:r>
        <w:t xml:space="preserve"> </w:t>
      </w:r>
      <w:r>
        <w:t xml:space="preserve">— the Bx1 (90%) → Bx2 (60%) decline most likely reflects inter-site spatial heterogeneity (Bx1: lymph node metastasis; Bx2: lung primary) rather than a true biological reduction in proliferative fraction, as noted in the manuscript text.</w:t>
      </w:r>
    </w:p>
    <w:p>
      <w:r>
        <w:pict>
          <v:rect style="width:0;height:1.5pt" o:hralign="center" o:hrstd="t" o:hr="t"/>
        </w:pict>
      </w:r>
    </w:p>
    <w:bookmarkEnd w:id="9"/>
    <w:bookmarkStart w:id="10" w:name="methods-note-for-reviewer-reference"/>
    <w:p>
      <w:pPr>
        <w:pStyle w:val="Heading2"/>
      </w:pPr>
      <w:r>
        <w:t xml:space="preserve">Methods note (for reviewer reference)</w:t>
      </w:r>
    </w:p>
    <w:p>
      <w:pPr>
        <w:pStyle w:val="Compact"/>
        <w:numPr>
          <w:ilvl w:val="0"/>
          <w:numId w:val="1002"/>
        </w:numPr>
      </w:pPr>
      <w:r>
        <w:rPr>
          <w:b/>
          <w:bCs/>
        </w:rPr>
        <w:t xml:space="preserve">Bx1:</w:t>
      </w:r>
      <w:r>
        <w:t xml:space="preserve"> </w:t>
      </w:r>
      <w:r>
        <w:t xml:space="preserve">26 November 2025 — right supraclavicular lymph node core-needle biopsy; formalin-fixed, paraffin-embedded; IHC performed at the Department of Pathology, Hainan Cancer Hospital.</w:t>
      </w:r>
    </w:p>
    <w:p>
      <w:pPr>
        <w:pStyle w:val="Compact"/>
        <w:numPr>
          <w:ilvl w:val="0"/>
          <w:numId w:val="1002"/>
        </w:numPr>
      </w:pPr>
      <w:r>
        <w:rPr>
          <w:b/>
          <w:bCs/>
        </w:rPr>
        <w:t xml:space="preserve">Bx2:</w:t>
      </w:r>
      <w:r>
        <w:t xml:space="preserve"> </w:t>
      </w:r>
      <w:r>
        <w:t xml:space="preserve">21 January 2026 — right upper lobe lung mass core-needle biopsy; same processing pipeline.</w:t>
      </w:r>
    </w:p>
    <w:p>
      <w:pPr>
        <w:pStyle w:val="Compact"/>
        <w:numPr>
          <w:ilvl w:val="0"/>
          <w:numId w:val="1002"/>
        </w:numPr>
      </w:pPr>
      <w:r>
        <w:rPr>
          <w:b/>
          <w:bCs/>
        </w:rPr>
        <w:t xml:space="preserve">Staining platform:</w:t>
      </w:r>
      <w:r>
        <w:t xml:space="preserve"> </w:t>
      </w:r>
      <w:r>
        <w:t xml:space="preserve">Autostainer (Dako/Roche Ventana, manufacturer per local laboratory); antibodies and clones are recorded in the institutional pathology report on file with the corresponding author.</w:t>
      </w:r>
    </w:p>
    <w:p>
      <w:pPr>
        <w:pStyle w:val="Compact"/>
        <w:numPr>
          <w:ilvl w:val="0"/>
          <w:numId w:val="1002"/>
        </w:numPr>
      </w:pPr>
      <w:r>
        <w:rPr>
          <w:b/>
          <w:bCs/>
        </w:rPr>
        <w:t xml:space="preserve">Scoring:</w:t>
      </w:r>
      <w:r>
        <w:t xml:space="preserve"> </w:t>
      </w:r>
      <w:r>
        <w:t xml:space="preserve">Two independent pathologists (Xiayu Wu, Quan Cheng) scored each marker; discrepant scores adjudicated by joint review at a multi-headed microscope. Five-level discrete scale (− / F+ / P+ / + / ++) adopted for cross-biopsy comparability.</w:t>
      </w:r>
    </w:p>
    <w:p>
      <w:pPr>
        <w:pStyle w:val="Compact"/>
        <w:numPr>
          <w:ilvl w:val="0"/>
          <w:numId w:val="1002"/>
        </w:numPr>
      </w:pPr>
      <w:r>
        <w:rPr>
          <w:b/>
          <w:bCs/>
        </w:rPr>
        <w:t xml:space="preserve">H-score / percentage</w:t>
      </w:r>
      <w:r>
        <w:t xml:space="preserve"> </w:t>
      </w:r>
      <w:r>
        <w:t xml:space="preserve">reported where the original report provided continuous data (C-MET, Ki-67); the five-level discrete scale is used for the remaining markers for cross-biopsy comparability.</w:t>
      </w:r>
    </w:p>
    <w:p>
      <w:pPr>
        <w:pStyle w:val="Compact"/>
        <w:numPr>
          <w:ilvl w:val="0"/>
          <w:numId w:val="1002"/>
        </w:numPr>
      </w:pPr>
      <w:r>
        <w:rPr>
          <w:b/>
          <w:bCs/>
        </w:rPr>
        <w:t xml:space="preserve">Markers not performed in this case (v10.1.1 enhancement):</w:t>
      </w:r>
      <w:r>
        <w:t xml:space="preserve"> </w:t>
      </w:r>
      <w:r>
        <w:rPr>
          <w:b/>
          <w:bCs/>
        </w:rPr>
        <w:t xml:space="preserve">RB1 and TP53 immunohistochemistry were not performed.</w:t>
      </w:r>
      <w:r>
        <w:t xml:space="preserve"> </w:t>
      </w:r>
      <w:r>
        <w:t xml:space="preserve">TP53/RB1 alterations are the canonical molecular hallmark of SCLC and of SCLC→HG-NEC lineage plasticity, and their absence is a recognised limitation of the present IHC panel; this is also stated in the main manuscript’s §Limitations section. Molecular confirmation by targeted next-generation sequencing was not pursued in this case.</w:t>
      </w:r>
    </w:p>
    <w:p>
      <w:r>
        <w:pict>
          <v:rect style="width:0;height:1.5pt" o:hralign="center" o:hrstd="t" o:hr="t"/>
        </w:pict>
      </w:r>
    </w:p>
    <w:bookmarkEnd w:id="10"/>
    <w:bookmarkStart w:id="11" w:name="reproducibility"/>
    <w:p>
      <w:pPr>
        <w:pStyle w:val="Heading2"/>
      </w:pPr>
      <w:r>
        <w:t xml:space="preserve">Reproducibility</w:t>
      </w:r>
    </w:p>
    <w:p>
      <w:pPr>
        <w:pStyle w:val="FirstParagraph"/>
      </w:pPr>
      <w:r>
        <w:t xml:space="preserve">De-identified pathology images for the two biopsies and the full IHC heatmap comparison are presented in Figure 3 (representative IHC photomicrographs) and Figure 4 (15-marker comparative heatmap) of the main manuscript. Original scanned slide images are archived in the Department of Pathology, Hainan Cancer Hospital, and are available from the corresponding author on reasonable request, subject to the data-sharing constraints described in the manuscript’s Footnote 3.6.2.</w:t>
      </w:r>
    </w:p>
    <w:p>
      <w:r>
        <w:pict>
          <v:rect style="width:0;height:1.5pt" o:hralign="center" o:hrstd="t" o:hr="t"/>
        </w:pict>
      </w:r>
    </w:p>
    <w:p>
      <w:pPr>
        <w:pStyle w:val="FirstParagraph"/>
      </w:pPr>
      <w:r>
        <w:rPr>
          <w:i/>
          <w:iCs/>
        </w:rPr>
        <w:t xml:space="preserve">Supplementary Table S1 — prepared 2026-06-11. For submission as a separate supplementary file alongside manuscript v10.2 (JMCR/BMC Springer Nature template). Ethics Committee of Hainan Cancer Hospital Approval No. </w:t>
      </w:r>
      <w:r>
        <w:rPr>
          <w:rFonts w:hint="eastAsia"/>
          <w:i/>
          <w:iCs/>
        </w:rPr>
        <w:t xml:space="preserve">2026年科研第40号.</w:t>
      </w:r>
    </w:p>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2026-07-12T14:17:52Z</dcterms:created>
  <dcterms:modified xsi:type="dcterms:W3CDTF">2026-07-12T14:17:52Z</dcterms:modified>
</cp:coreProperties>
</file>

<file path=docProps/custom.xml><?xml version="1.0" encoding="utf-8"?>
<Properties xmlns="http://schemas.openxmlformats.org/officeDocument/2006/custom-properties" xmlns:vt="http://schemas.openxmlformats.org/officeDocument/2006/docPropsVTypes"/>
</file>