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1" w:name="supplementary-information"/>
    <w:p>
      <w:pPr>
        <w:pStyle w:val="Heading1"/>
        <w:spacing w:line="360" w:lineRule="auto"/>
      </w:pPr>
      <w:r>
        <w:t xml:space="preserve">Supplementary Information</w:t>
      </w:r>
    </w:p>
    <w:p>
      <w:pPr>
        <w:pStyle w:val="FirstParagraph"/>
        <w:spacing w:line="480" w:lineRule="auto"/>
      </w:pPr>
      <w:r>
        <w:rPr>
          <w:i/>
          <w:iCs/>
        </w:rPr>
        <w:t xml:space="preserve">Carried but Conditionally Used: A Frozen Held-Out Audit of Whether Chirality-Aware Molecular Fingerprints Predict Measured Same-Assay Enantioselectivity</w:t>
      </w:r>
    </w:p>
    <w:p>
      <w:pPr>
        <w:pStyle w:val="BodyText"/>
        <w:spacing w:line="480" w:lineRule="auto"/>
      </w:pPr>
      <w:r>
        <w:t xml:space="preserve">All supplementary tables and figures are generated directly from the hashed frozen artifacts by</w:t>
      </w:r>
      <w:r>
        <w:t xml:space="preserve"> </w:t>
      </w:r>
      <w:r>
        <w:rPr>
          <w:rStyle w:val="VerbatimChar"/>
        </w:rPr>
        <w:t xml:space="preserve">gen_supp.py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make_figs.py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null_regen.py</w:t>
      </w:r>
      <w:r>
        <w:t xml:space="preserve">; no values are transcribed. Hashes are listed in §S12.</w:t>
      </w:r>
    </w:p>
    <w:bookmarkStart w:id="9" w:name="Xcb2090a1042cd9c7ed5105dc075a7c34a9e8eaf"/>
    <w:p>
      <w:pPr>
        <w:pStyle w:val="Heading2"/>
        <w:spacing w:line="360" w:lineRule="auto"/>
      </w:pPr>
      <w:r>
        <w:t xml:space="preserve">S1. Cohort-filtering flow and target eligibility</w:t>
      </w:r>
    </w:p>
    <w:p>
      <w:pPr>
        <w:pStyle w:val="FirstParagraph"/>
        <w:spacing w:line="480" w:lineRule="auto"/>
      </w:pPr>
      <w:r>
        <w:t xml:space="preserve">Filtering funnel (Table S1,</w:t>
      </w:r>
      <w:r>
        <w:t xml:space="preserve"> </w:t>
      </w:r>
      <w:r>
        <w:rPr>
          <w:rStyle w:val="VerbatimChar"/>
        </w:rPr>
        <w:t xml:space="preserve">STable_funnel.csv</w:t>
      </w:r>
      <w:r>
        <w:t xml:space="preserve">): 827,880 tightened IC50 activities (IC50/=/nM/binding/confidence-9/single-protein, valid, non-duplicate) → 511,596 distinct compounds →</w:t>
      </w:r>
      <w:r>
        <w:t xml:space="preserve"> </w:t>
      </w:r>
      <w:r>
        <w:rPr>
          <w:b/>
          <w:bCs/>
        </w:rPr>
        <w:t xml:space="preserve">134,564 fully-defined chiral compounds</w:t>
      </w:r>
      <w:r>
        <w:t xml:space="preserve"> </w:t>
      </w:r>
      <w:r>
        <w:t xml:space="preserve">→ 1,967 structural enantiomer pairs →</w:t>
      </w:r>
      <w:r>
        <w:t xml:space="preserve"> </w:t>
      </w:r>
      <w:r>
        <w:rPr>
          <w:b/>
          <w:bCs/>
        </w:rPr>
        <w:t xml:space="preserve">14 qualifying targets</w:t>
      </w:r>
      <w:r>
        <w:t xml:space="preserve">. Target eligibility (frozen, data-only): ≥80 unique structural pairs; ≥40 Bemis–Murcko scaffold groups; ≥5 source documents; ≥50 scaffold groups for 5-fold support. No criterion referenced |Δy| or performance. Target nomenclature: figures and tables use compact gene-symbol labels; the four targets with common synonyms are ERK2 (MAPK1), ROR-γ (RORC), KCNH2 (hERG/Kv11.1), and PI3Kδ (PIK3CD). Immutable identities for all fourteen targets (ChEMBL target ID, official ChEMBL preferred name, gene symbol, UniProt accession, organism, target type) are tabulated in</w:t>
      </w:r>
      <w:r>
        <w:t xml:space="preserve"> </w:t>
      </w:r>
      <w:r>
        <w:rPr>
          <w:rStyle w:val="VerbatimChar"/>
        </w:rPr>
        <w:t xml:space="preserve">target_metadata_14.csv</w:t>
      </w:r>
      <w:r>
        <w:t xml:space="preserve">/</w:t>
      </w:r>
      <w:r>
        <w:rPr>
          <w:rStyle w:val="VerbatimChar"/>
        </w:rPr>
        <w:t xml:space="preserve">.json</w:t>
      </w:r>
      <w:r>
        <w:t xml:space="preserve">. For clarity, KCNH2/hERG (tid 165, CHEMBL240, UniProt Q12809) is a</w:t>
      </w:r>
      <w:r>
        <w:t xml:space="preserve"> </w:t>
      </w:r>
      <w:r>
        <w:rPr>
          <w:i/>
          <w:iCs/>
        </w:rPr>
        <w:t xml:space="preserve">Homo sapiens</w:t>
      </w:r>
      <w:r>
        <w:t xml:space="preserve"> </w:t>
      </w:r>
      <w:r>
        <w:t xml:space="preserve">voltage-gated potassium channel (Kv11.1); it is not a Kir/KCNJ inwardly-rectifying channel — the "inwardly rectifying" wording in ChEMBL's preferred-name string is a database-label artifact, and the authoritative identity is fixed by the ChEMBL ID, gene, and UniProt accession. KCNH2/hERG carries slightly negative held-out predictive skill (S_Δ = −0.007) and is not a positive target.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</w:tcPr>
          <w:p>
            <w:pPr>
              <w:spacing w:line="240" w:lineRule="auto"/>
            </w:pPr>
            <w:r/>
            <w:r>
              <w:rPr>
                <w:b/>
              </w:rPr>
              <w:t>stage</w:t>
            </w:r>
          </w:p>
        </w:tc>
        <w:tc>
          <w:tcPr>
            <w:tcW w:type="dxa" w:w="4680"/>
          </w:tcPr>
          <w:p>
            <w:pPr>
              <w:spacing w:line="240" w:lineRule="auto"/>
            </w:pPr>
            <w:r/>
            <w:r>
              <w:rPr>
                <w:b/>
              </w:rPr>
              <w:t>count</w:t>
            </w:r>
          </w:p>
        </w:tc>
      </w:tr>
      <w:tr>
        <w:tc>
          <w:tcPr>
            <w:tcW w:type="dxa" w:w="4680"/>
          </w:tcPr>
          <w:p>
            <w:pPr>
              <w:spacing w:line="240" w:lineRule="auto"/>
            </w:pPr>
            <w:r>
              <w:t>tightened IC50 activities (single-protein)</w:t>
            </w:r>
          </w:p>
        </w:tc>
        <w:tc>
          <w:tcPr>
            <w:tcW w:type="dxa" w:w="4680"/>
          </w:tcPr>
          <w:p>
            <w:pPr>
              <w:spacing w:line="240" w:lineRule="auto"/>
            </w:pPr>
            <w:r>
              <w:t>827880</w:t>
            </w:r>
          </w:p>
        </w:tc>
      </w:tr>
      <w:tr>
        <w:tc>
          <w:tcPr>
            <w:tcW w:type="dxa" w:w="4680"/>
          </w:tcPr>
          <w:p>
            <w:pPr>
              <w:spacing w:line="240" w:lineRule="auto"/>
            </w:pPr>
            <w:r>
              <w:t>distinct molregnos</w:t>
            </w:r>
          </w:p>
        </w:tc>
        <w:tc>
          <w:tcPr>
            <w:tcW w:type="dxa" w:w="4680"/>
          </w:tcPr>
          <w:p>
            <w:pPr>
              <w:spacing w:line="240" w:lineRule="auto"/>
            </w:pPr>
            <w:r>
              <w:t>511596</w:t>
            </w:r>
          </w:p>
        </w:tc>
      </w:tr>
      <w:tr>
        <w:tc>
          <w:tcPr>
            <w:tcW w:type="dxa" w:w="4680"/>
          </w:tcPr>
          <w:p>
            <w:pPr>
              <w:spacing w:line="240" w:lineRule="auto"/>
            </w:pPr>
            <w:r>
              <w:t>eligible fully-defined chiral molregnos</w:t>
            </w:r>
          </w:p>
        </w:tc>
        <w:tc>
          <w:tcPr>
            <w:tcW w:type="dxa" w:w="4680"/>
          </w:tcPr>
          <w:p>
            <w:pPr>
              <w:spacing w:line="240" w:lineRule="auto"/>
            </w:pPr>
            <w:r>
              <w:t>134564</w:t>
            </w:r>
          </w:p>
        </w:tc>
      </w:tr>
      <w:tr>
        <w:tc>
          <w:tcPr>
            <w:tcW w:type="dxa" w:w="4680"/>
          </w:tcPr>
          <w:p>
            <w:pPr>
              <w:spacing w:line="240" w:lineRule="auto"/>
            </w:pPr>
            <w:r>
              <w:t>structural enantiomer pairs (14 targets)</w:t>
            </w:r>
          </w:p>
        </w:tc>
        <w:tc>
          <w:tcPr>
            <w:tcW w:type="dxa" w:w="4680"/>
          </w:tcPr>
          <w:p>
            <w:pPr>
              <w:spacing w:line="240" w:lineRule="auto"/>
            </w:pPr>
            <w:r>
              <w:t>1967</w:t>
            </w:r>
          </w:p>
        </w:tc>
      </w:tr>
      <w:tr>
        <w:tc>
          <w:tcPr>
            <w:tcW w:type="dxa" w:w="4680"/>
          </w:tcPr>
          <w:p>
            <w:pPr>
              <w:spacing w:line="240" w:lineRule="auto"/>
            </w:pPr>
            <w:r>
              <w:t>qualifying targets</w:t>
            </w:r>
          </w:p>
        </w:tc>
        <w:tc>
          <w:tcPr>
            <w:tcW w:type="dxa" w:w="4680"/>
          </w:tcPr>
          <w:p>
            <w:pPr>
              <w:spacing w:line="240" w:lineRule="auto"/>
            </w:pPr>
            <w:r>
              <w:t>14</w:t>
            </w:r>
          </w:p>
        </w:tc>
      </w:tr>
    </w:tbl>
    <w:bookmarkEnd w:id="9"/>
    <w:bookmarkStart w:id="10" w:name="Xb4f437f2bffb19d458208ff5bbffe2803c9cd81"/>
    <w:p>
      <w:pPr>
        <w:pStyle w:val="Heading2"/>
        <w:spacing w:line="360" w:lineRule="auto"/>
      </w:pPr>
      <w:r>
        <w:t xml:space="preserve">S2. Enantiomer-pair definition and validation</w:t>
      </w:r>
    </w:p>
    <w:p>
      <w:pPr>
        <w:pStyle w:val="FirstParagraph"/>
        <w:spacing w:line="480" w:lineRule="auto"/>
      </w:pPr>
      <w:r>
        <w:t xml:space="preserve">A retained pair has identical non-stereochemical connectivity and complete inversion of every genuine stereogenic centre (InChI /m-flag construction, /t retained → diastereomers and E/Z excluded; isotopes excluded), with both members fully-specified single stereoisomers.</w:t>
      </w:r>
      <w:r>
        <w:t xml:space="preserve"> </w:t>
      </w:r>
      <w:r>
        <w:rPr>
          <w:b/>
          <w:bCs/>
        </w:rPr>
        <w:t xml:space="preserve">Stratified manual audit of 200 pairs</w:t>
      </w:r>
      <w:r>
        <w:t xml:space="preserve"> </w:t>
      </w:r>
      <w:r>
        <w:t xml:space="preserve">(oversampling multi-stereocentre, macrocyclic, salt-stripped, and extreme/near-zero-Δy cases):</w:t>
      </w:r>
      <w:r>
        <w:t xml:space="preserve"> </w:t>
      </w:r>
      <w:r>
        <w:rPr>
          <w:b/>
          <w:bCs/>
        </w:rPr>
        <w:t xml:space="preserve">0 pairing errors, 95% Wilson CI [0.0%, 1.9%]</w:t>
      </w:r>
      <w:r>
        <w:t xml:space="preserve">.</w:t>
      </w:r>
    </w:p>
    <w:bookmarkEnd w:id="10"/>
    <w:bookmarkStart w:id="11" w:name="s3.-four-stage-label-construction"/>
    <w:p>
      <w:pPr>
        <w:pStyle w:val="Heading2"/>
        <w:spacing w:line="360" w:lineRule="auto"/>
      </w:pPr>
      <w:r>
        <w:t xml:space="preserve">S3. Four-stage label construction</w:t>
      </w:r>
    </w:p>
    <w:p>
      <w:pPr>
        <w:pStyle w:val="Compact"/>
        <w:numPr>
          <w:ilvl w:val="0"/>
          <w:numId w:val="1001"/>
        </w:numPr>
        <w:spacing w:line="480" w:lineRule="auto"/>
      </w:pPr>
      <w:r>
        <w:t xml:space="preserve">collapse repeated measurements of a compound within one assay to their median pChEMBL; (2) within each shared assay compute Δy = pChEMBL(A) − pChEMBL(B); (3) aggregate assay-level Δy for the same target–pair by median; (4) retain one Δy per target–pair. Result: 1,967 labels (</w:t>
      </w:r>
      <w:r>
        <w:rPr>
          <w:rStyle w:val="VerbatimChar"/>
        </w:rPr>
        <w:t xml:space="preserve">cohort_pairs.csv</w:t>
      </w:r>
      <w:r>
        <w:t xml:space="preserve">).</w:t>
      </w:r>
    </w:p>
    <w:bookmarkEnd w:id="11"/>
    <w:bookmarkStart w:id="12" w:name="Xbc7904a3594ced8313cedbf9e6c939054164498"/>
    <w:p>
      <w:pPr>
        <w:pStyle w:val="Heading2"/>
        <w:spacing w:line="360" w:lineRule="auto"/>
      </w:pPr>
      <w:r>
        <w:t xml:space="preserve">S4. Repeat-provenance and measurement variability</w:t>
      </w:r>
    </w:p>
    <w:p>
      <w:pPr>
        <w:pStyle w:val="FirstParagraph"/>
        <w:spacing w:line="480" w:lineRule="auto"/>
      </w:pPr>
      <w:r>
        <w:t xml:space="preserve">Provenance classes among 17,676 repeated (compound, assay) groups (Table S2,</w:t>
      </w:r>
      <w:r>
        <w:t xml:space="preserve"> </w:t>
      </w:r>
      <w:r>
        <w:rPr>
          <w:rStyle w:val="VerbatimChar"/>
        </w:rPr>
        <w:t xml:space="preserve">STable_provenance.csv</w:t>
      </w:r>
      <w:r>
        <w:t xml:space="preserve">):</w:t>
      </w:r>
      <w:r>
        <w:t xml:space="preserve"> </w:t>
      </w:r>
      <w:r>
        <w:rPr>
          <w:b/>
          <w:bCs/>
        </w:rPr>
        <w:t xml:space="preserve">72.2% non-identical but sharing a source record (not independent)</w:t>
      </w:r>
      <w:r>
        <w:t xml:space="preserve">;</w:t>
      </w:r>
      <w:r>
        <w:t xml:space="preserve"> </w:t>
      </w:r>
      <w:r>
        <w:rPr>
          <w:b/>
          <w:bCs/>
        </w:rPr>
        <w:t xml:space="preserve">15.2% (2,688) provenance-distinct, non-identical repeated-measurement groups</w:t>
      </w:r>
      <w:r>
        <w:t xml:space="preserve"> </w:t>
      </w:r>
      <w:r>
        <w:t xml:space="preserve">(distinct records and values); 10.8% identical/same-record; 1.7% identical/distinct-record. From the provenance-distinct groups the robust global single-measurement SD was 0.318 log (median), giving</w:t>
      </w:r>
      <w:r>
        <w:t xml:space="preserve"> </w:t>
      </w:r>
      <w:r>
        <w:rPr>
          <w:b/>
          <w:bCs/>
        </w:rPr>
        <w:t xml:space="preserve">σ(Δy) ≈ 0.45 as an approximate secondary reference</w:t>
      </w:r>
      <w:r>
        <w:t xml:space="preserve"> </w:t>
      </w:r>
      <w:r>
        <w:t xml:space="preserve">(assumes independence and a paired-error correlation; secondary use only, never for filtering). Per-target replication was too sparse for stratified error models (median 2 provenance-distinct groups per target).</w:t>
      </w:r>
    </w:p>
    <w:bookmarkEnd w:id="12"/>
    <w:bookmarkStart w:id="13" w:name="s5.-controls"/>
    <w:p>
      <w:pPr>
        <w:pStyle w:val="Heading2"/>
        <w:spacing w:line="360" w:lineRule="auto"/>
      </w:pPr>
      <w:r>
        <w:t xml:space="preserve">S5. Controls</w:t>
      </w:r>
    </w:p>
    <w:p>
      <w:pPr>
        <w:pStyle w:val="Compact"/>
        <w:numPr>
          <w:ilvl w:val="0"/>
          <w:numId w:val="1002"/>
        </w:numPr>
        <w:spacing w:line="480" w:lineRule="auto"/>
      </w:pPr>
      <w:r>
        <w:rPr>
          <w:b/>
          <w:bCs/>
        </w:rPr>
        <w:t xml:space="preserve">Antisymmetry:</w:t>
      </w:r>
      <w:r>
        <w:t xml:space="preserve"> </w:t>
      </w:r>
      <w:r>
        <w:t xml:space="preserve">the symmetrized estimator satisfies max |f(A,B)+f(B,A)| = 4×10⁻¹⁶ (exact).</w:t>
      </w:r>
    </w:p>
    <w:p>
      <w:pPr>
        <w:pStyle w:val="Compact"/>
        <w:numPr>
          <w:ilvl w:val="0"/>
          <w:numId w:val="1002"/>
        </w:numPr>
        <w:spacing w:line="480" w:lineRule="auto"/>
      </w:pPr>
      <w:r>
        <w:rPr>
          <w:b/>
          <w:bCs/>
        </w:rPr>
        <w:t xml:space="preserve">Chirality-strip (collision floor):</w:t>
      </w:r>
      <w:r>
        <w:t xml:space="preserve"> </w:t>
      </w:r>
      <w:r>
        <w:t xml:space="preserve">the achiral fingerprint gives δ ≡ 0 for every enantiomer pair → Δ̂ ≡ 0 → S_Δ exactly equals the zero-Δ baseline.</w:t>
      </w:r>
    </w:p>
    <w:p>
      <w:pPr>
        <w:pStyle w:val="Compact"/>
        <w:numPr>
          <w:ilvl w:val="0"/>
          <w:numId w:val="1002"/>
        </w:numPr>
        <w:spacing w:line="480" w:lineRule="auto"/>
      </w:pPr>
      <w:r>
        <w:rPr>
          <w:b/>
          <w:bCs/>
        </w:rPr>
        <w:t xml:space="preserve">Orientation:</w:t>
      </w:r>
      <w:r>
        <w:t xml:space="preserve"> </w:t>
      </w:r>
      <w:r>
        <w:t xml:space="preserve">per-pair orientation randomization (seed 7); real metrics invariant (antisymmetry + symmetric augmentation), nulls correctly centred.</w:t>
      </w:r>
    </w:p>
    <w:p>
      <w:pPr>
        <w:pStyle w:val="Compact"/>
        <w:numPr>
          <w:ilvl w:val="0"/>
          <w:numId w:val="1002"/>
        </w:numPr>
        <w:spacing w:line="480" w:lineRule="auto"/>
      </w:pPr>
      <w:r>
        <w:rPr>
          <w:b/>
          <w:bCs/>
        </w:rPr>
        <w:t xml:space="preserve">Sign-flip null centring:</w:t>
      </w:r>
      <w:r>
        <w:t xml:space="preserve"> </w:t>
      </w:r>
      <w:r>
        <w:t xml:space="preserve">mean −0.041 (range −0.077…−0.017), expected for a normalized skill score under scrambled labels; uncorrelated with cluster imbalance (ρ=−0.07) and target size (ρ=−0.26).</w:t>
      </w:r>
    </w:p>
    <w:p>
      <w:pPr>
        <w:pStyle w:val="Compact"/>
        <w:numPr>
          <w:ilvl w:val="0"/>
          <w:numId w:val="1002"/>
        </w:numPr>
        <w:spacing w:line="480" w:lineRule="auto"/>
      </w:pPr>
      <w:r>
        <w:rPr>
          <w:b/>
          <w:bCs/>
        </w:rPr>
        <w:t xml:space="preserve">Ties:</w:t>
      </w:r>
      <w:r>
        <w:t xml:space="preserve"> </w:t>
      </w:r>
      <w:r>
        <w:t xml:space="preserve">exact ties |Δy| ≤ 10⁻⁹ excluded from balanced directional accuracy only; retained in S_Δ and Spearman.</w:t>
      </w:r>
    </w:p>
    <w:bookmarkEnd w:id="13"/>
    <w:bookmarkStart w:id="14" w:name="Xe461fb3b61aa28557b41e18d527dfbdb38ed00f"/>
    <w:p>
      <w:pPr>
        <w:pStyle w:val="Heading2"/>
        <w:spacing w:line="360" w:lineRule="auto"/>
      </w:pPr>
      <w:r>
        <w:t xml:space="preserve">S6. Empirical null-distribution panels (all 14 targets)</w:t>
      </w:r>
    </w:p>
    <w:p>
      <w:pPr>
        <w:pStyle w:val="FirstParagraph"/>
        <w:spacing w:line="480" w:lineRule="auto"/>
      </w:pPr>
      <w:r>
        <w:t xml:space="preserve">Figure S-nulls (</w:t>
      </w:r>
      <w:r>
        <w:rPr>
          <w:rStyle w:val="VerbatimChar"/>
        </w:rPr>
        <w:t xml:space="preserve">SFig_nulls.png</w:t>
      </w:r>
      <w:r>
        <w:t xml:space="preserve">): per-target histogram of the scaffold-cluster sign-flip null S_Δ with the observed S_Δ marked. Regenerated by</w:t>
      </w:r>
      <w:r>
        <w:t xml:space="preserve"> </w:t>
      </w:r>
      <w:r>
        <w:rPr>
          <w:rStyle w:val="VerbatimChar"/>
        </w:rPr>
        <w:t xml:space="preserve">null_regen.py</w:t>
      </w:r>
      <w:r>
        <w:t xml:space="preserve"> </w:t>
      </w:r>
      <w:r>
        <w:t xml:space="preserve">(300 reps, primary RF) as a faithful realization of the frozen null procedure; regenerated mean/upper-quantile validated against the stored 2,000-rep summary in</w:t>
      </w:r>
      <w:r>
        <w:t xml:space="preserve"> </w:t>
      </w:r>
      <w:r>
        <w:rPr>
          <w:rStyle w:val="VerbatimChar"/>
        </w:rPr>
        <w:t xml:space="preserve">cohort_results.json</w:t>
      </w:r>
      <w:r>
        <w:t xml:space="preserve"> </w:t>
      </w:r>
      <w:r>
        <w:t xml:space="preserve">(see</w:t>
      </w:r>
      <w:r>
        <w:t xml:space="preserve"> </w:t>
      </w:r>
      <w:r>
        <w:rPr>
          <w:rStyle w:val="VerbatimChar"/>
        </w:rPr>
        <w:t xml:space="preserve">null_arrays.json</w:t>
      </w:r>
      <w:r>
        <w:t xml:space="preserve">).</w:t>
      </w:r>
    </w:p>
    <w:p>
      <w:pPr>
        <w:spacing w:line="240" w:lineRule="auto"/>
        <w:jc w:val="center"/>
      </w:pPr>
      <w:r>
        <w:drawing>
          <wp:inline>
            <wp:extent cx="5669280" cy="2996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Fig_nulls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2996000"/>
                    </a:xfrm>
                    <a:prstGeom prst="rect"/>
                  </pic:spPr>
                </pic:pic>
              </a:graphicData>
            </a:graphic>
          </wp:inline>
        </w:drawing>
      </w:r>
    </w:p>
    <w:bookmarkEnd w:id="14"/>
    <w:bookmarkStart w:id="15" w:name="Xfd1252e8e9008abae12952d875d209f79ea420b"/>
    <w:p>
      <w:pPr>
        <w:pStyle w:val="Heading2"/>
        <w:spacing w:line="360" w:lineRule="auto"/>
      </w:pPr>
      <w:r>
        <w:t xml:space="preserve">S7. Scaffold-bootstrap confidence intervals</w:t>
      </w:r>
    </w:p>
    <w:p>
      <w:pPr>
        <w:pStyle w:val="FirstParagraph"/>
        <w:spacing w:line="480" w:lineRule="auto"/>
      </w:pPr>
      <w:r>
        <w:t xml:space="preserve">Per-target S_Δ 95% CIs (Fig 3): scaffold clusters resampled with replacement (matched count), member pairs pooled, S_Δ recomputed on the fixed out-of-fold predictions, 2.5/97.5 percentiles over 2,000 resamples.</w:t>
      </w:r>
    </w:p>
    <w:bookmarkEnd w:id="15"/>
    <w:bookmarkStart w:id="16" w:name="s8.-interpolation-vs-extrapolation"/>
    <w:p>
      <w:pPr>
        <w:pStyle w:val="Heading2"/>
        <w:spacing w:line="360" w:lineRule="auto"/>
      </w:pPr>
      <w:r>
        <w:t xml:space="preserve">S8. Interpolation vs extrapolation</w:t>
      </w:r>
    </w:p>
    <w:p>
      <w:pPr>
        <w:pStyle w:val="FirstParagraph"/>
        <w:spacing w:line="480" w:lineRule="auto"/>
      </w:pPr>
      <w:r>
        <w:t xml:space="preserve">Table/Fig S-split (</w:t>
      </w:r>
      <w:r>
        <w:rPr>
          <w:rStyle w:val="VerbatimChar"/>
        </w:rPr>
        <w:t xml:space="preserve">S_interp_vs_extrap.json</w:t>
      </w:r>
      <w:r>
        <w:t xml:space="preserve">,</w:t>
      </w:r>
      <w:r>
        <w:t xml:space="preserve"> </w:t>
      </w:r>
      <w:r>
        <w:rPr>
          <w:rStyle w:val="VerbatimChar"/>
        </w:rPr>
        <w:t xml:space="preserve">SFig_interp_extrap.png</w:t>
      </w:r>
      <w:r>
        <w:t xml:space="preserve">): connectivity-grouped interpolation vs scaffold-grouped extrapolation, per-target real S_Δ. Interpolation was marginally easier (median gap</w:t>
      </w:r>
      <w:r>
        <w:t xml:space="preserve"> </w:t>
      </w:r>
      <w:r>
        <w:rPr>
          <w:b/>
          <w:bCs/>
        </w:rPr>
        <w:t xml:space="preserve">+0.017</w:t>
      </w:r>
      <w:r>
        <w:t xml:space="preserve">); the positive targets remained positive under the harder scaffold-extrapolation split used for all primary inference.</w:t>
      </w:r>
    </w:p>
    <w:p>
      <w:pPr>
        <w:spacing w:line="240" w:lineRule="auto"/>
        <w:jc w:val="center"/>
      </w:pPr>
      <w:r>
        <w:drawing>
          <wp:inline>
            <wp:extent cx="5669280" cy="5504324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Fig_interp_extrap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5504324"/>
                    </a:xfrm>
                    <a:prstGeom prst="rect"/>
                  </pic:spPr>
                </pic:pic>
              </a:graphicData>
            </a:graphic>
          </wp:inline>
        </w:drawing>
      </w:r>
    </w:p>
    <w:bookmarkEnd w:id="16"/>
    <w:bookmarkStart w:id="17" w:name="s9.-full-fingerprint-collision-audit"/>
    <w:p>
      <w:pPr>
        <w:pStyle w:val="Heading2"/>
        <w:spacing w:line="360" w:lineRule="auto"/>
      </w:pPr>
      <w:r>
        <w:t xml:space="preserve">S9. Full fingerprint collision audit</w:t>
      </w:r>
    </w:p>
    <w:p>
      <w:pPr>
        <w:pStyle w:val="FirstParagraph"/>
        <w:spacing w:line="480" w:lineRule="auto"/>
      </w:pPr>
      <w:r>
        <w:t xml:space="preserve">Table S-collision (</w:t>
      </w:r>
      <w:r>
        <w:rPr>
          <w:rStyle w:val="VerbatimChar"/>
        </w:rPr>
        <w:t xml:space="preserve">STable_collision.csv</w:t>
      </w:r>
      <w:r>
        <w:t xml:space="preserve">,</w:t>
      </w:r>
      <w:r>
        <w:t xml:space="preserve"> </w:t>
      </w:r>
      <w:r>
        <w:rPr>
          <w:rStyle w:val="VerbatimChar"/>
        </w:rPr>
        <w:t xml:space="preserve">SFig_collision.png</w:t>
      </w:r>
      <w:r>
        <w:t xml:space="preserve">): per-target collision rate at radius 2 and 3.</w:t>
      </w:r>
      <w:r>
        <w:t xml:space="preserve"> </w:t>
      </w:r>
      <w:r>
        <w:rPr>
          <w:b/>
          <w:bCs/>
        </w:rPr>
        <w:t xml:space="preserve">For all 14 targets the collision rate was identical across 1,024/2,048/4,096/8,192 bits, count fingerprints, and unhashed identifiers</w:t>
      </w:r>
      <w:r>
        <w:t xml:space="preserve"> </w:t>
      </w:r>
      <w:r>
        <w:t xml:space="preserve">(config-invariant = True), excluding finite hashing; collisions fell substantially from radius 2 to 3 (e.g., BACE1 17.8→5.1%, BTK 3.5→0%). Manual classification of BACE1's radius-2 collisions: 15/21 radius-limited (resolved at r3), 6/21 genuine encoding (~5%), 0 hashing.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</w:tcPr>
          <w:p>
            <w:pPr>
              <w:spacing w:line="240" w:lineRule="auto"/>
            </w:pPr>
            <w:r/>
            <w:r>
              <w:rPr>
                <w:b/>
              </w:rPr>
              <w:t>target</w:t>
            </w:r>
          </w:p>
        </w:tc>
        <w:tc>
          <w:tcPr>
            <w:tcW w:type="dxa" w:w="2340"/>
          </w:tcPr>
          <w:p>
            <w:pPr>
              <w:spacing w:line="240" w:lineRule="auto"/>
            </w:pPr>
            <w:r/>
            <w:r>
              <w:rPr>
                <w:b/>
              </w:rPr>
              <w:t>coll_r2_pct</w:t>
            </w:r>
          </w:p>
        </w:tc>
        <w:tc>
          <w:tcPr>
            <w:tcW w:type="dxa" w:w="2340"/>
          </w:tcPr>
          <w:p>
            <w:pPr>
              <w:spacing w:line="240" w:lineRule="auto"/>
            </w:pPr>
            <w:r/>
            <w:r>
              <w:rPr>
                <w:b/>
              </w:rPr>
              <w:t>coll_r3_pct</w:t>
            </w:r>
          </w:p>
        </w:tc>
        <w:tc>
          <w:tcPr>
            <w:tcW w:type="dxa" w:w="2340"/>
          </w:tcPr>
          <w:p>
            <w:pPr>
              <w:spacing w:line="240" w:lineRule="auto"/>
            </w:pPr>
            <w:r/>
            <w:r>
              <w:rPr>
                <w:b/>
              </w:rPr>
              <w:t>config_invariant(bits/count/unhashed identical)</w:t>
            </w:r>
          </w:p>
        </w:tc>
      </w:tr>
      <w:tr>
        <w:tc>
          <w:tcPr>
            <w:tcW w:type="dxa" w:w="2340"/>
          </w:tcPr>
          <w:p>
            <w:pPr>
              <w:spacing w:line="240" w:lineRule="auto"/>
            </w:pPr>
            <w:r>
              <w:t>BTK</w:t>
            </w:r>
          </w:p>
        </w:tc>
        <w:tc>
          <w:tcPr>
            <w:tcW w:type="dxa" w:w="2340"/>
          </w:tcPr>
          <w:p>
            <w:pPr>
              <w:spacing w:line="240" w:lineRule="auto"/>
            </w:pPr>
            <w:r>
              <w:t>3.4</w:t>
            </w:r>
          </w:p>
        </w:tc>
        <w:tc>
          <w:tcPr>
            <w:tcW w:type="dxa" w:w="2340"/>
          </w:tcPr>
          <w:p>
            <w:pPr>
              <w:spacing w:line="240" w:lineRule="auto"/>
            </w:pPr>
            <w:r>
              <w:t>0.0</w:t>
            </w:r>
          </w:p>
        </w:tc>
        <w:tc>
          <w:tcPr>
            <w:tcW w:type="dxa" w:w="2340"/>
          </w:tcPr>
          <w:p>
            <w:pPr>
              <w:spacing w:line="240" w:lineRule="auto"/>
            </w:pPr>
            <w:r>
              <w:t>True</w:t>
            </w:r>
          </w:p>
        </w:tc>
      </w:tr>
      <w:tr>
        <w:tc>
          <w:tcPr>
            <w:tcW w:type="dxa" w:w="2340"/>
          </w:tcPr>
          <w:p>
            <w:pPr>
              <w:spacing w:line="240" w:lineRule="auto"/>
            </w:pPr>
            <w:r>
              <w:t>JAK1</w:t>
            </w:r>
          </w:p>
        </w:tc>
        <w:tc>
          <w:tcPr>
            <w:tcW w:type="dxa" w:w="2340"/>
          </w:tcPr>
          <w:p>
            <w:pPr>
              <w:spacing w:line="240" w:lineRule="auto"/>
            </w:pPr>
            <w:r>
              <w:t>1.0</w:t>
            </w:r>
          </w:p>
        </w:tc>
        <w:tc>
          <w:tcPr>
            <w:tcW w:type="dxa" w:w="2340"/>
          </w:tcPr>
          <w:p>
            <w:pPr>
              <w:spacing w:line="240" w:lineRule="auto"/>
            </w:pPr>
            <w:r>
              <w:t>0.0</w:t>
            </w:r>
          </w:p>
        </w:tc>
        <w:tc>
          <w:tcPr>
            <w:tcW w:type="dxa" w:w="2340"/>
          </w:tcPr>
          <w:p>
            <w:pPr>
              <w:spacing w:line="240" w:lineRule="auto"/>
            </w:pPr>
            <w:r>
              <w:t>True</w:t>
            </w:r>
          </w:p>
        </w:tc>
      </w:tr>
      <w:tr>
        <w:tc>
          <w:tcPr>
            <w:tcW w:type="dxa" w:w="2340"/>
          </w:tcPr>
          <w:p>
            <w:pPr>
              <w:spacing w:line="240" w:lineRule="auto"/>
            </w:pPr>
            <w:r>
              <w:t>ROR-γ</w:t>
            </w:r>
          </w:p>
        </w:tc>
        <w:tc>
          <w:tcPr>
            <w:tcW w:type="dxa" w:w="2340"/>
          </w:tcPr>
          <w:p>
            <w:pPr>
              <w:spacing w:line="240" w:lineRule="auto"/>
            </w:pPr>
            <w:r>
              <w:t>27.9</w:t>
            </w:r>
          </w:p>
        </w:tc>
        <w:tc>
          <w:tcPr>
            <w:tcW w:type="dxa" w:w="2340"/>
          </w:tcPr>
          <w:p>
            <w:pPr>
              <w:spacing w:line="240" w:lineRule="auto"/>
            </w:pPr>
            <w:r>
              <w:t>9.0</w:t>
            </w:r>
          </w:p>
        </w:tc>
        <w:tc>
          <w:tcPr>
            <w:tcW w:type="dxa" w:w="2340"/>
          </w:tcPr>
          <w:p>
            <w:pPr>
              <w:spacing w:line="240" w:lineRule="auto"/>
            </w:pPr>
            <w:r>
              <w:t>True</w:t>
            </w:r>
          </w:p>
        </w:tc>
      </w:tr>
      <w:tr>
        <w:tc>
          <w:tcPr>
            <w:tcW w:type="dxa" w:w="2340"/>
          </w:tcPr>
          <w:p>
            <w:pPr>
              <w:spacing w:line="240" w:lineRule="auto"/>
            </w:pPr>
            <w:r>
              <w:t>JAK2</w:t>
            </w:r>
          </w:p>
        </w:tc>
        <w:tc>
          <w:tcPr>
            <w:tcW w:type="dxa" w:w="2340"/>
          </w:tcPr>
          <w:p>
            <w:pPr>
              <w:spacing w:line="240" w:lineRule="auto"/>
            </w:pPr>
            <w:r>
              <w:t>1.0</w:t>
            </w:r>
          </w:p>
        </w:tc>
        <w:tc>
          <w:tcPr>
            <w:tcW w:type="dxa" w:w="2340"/>
          </w:tcPr>
          <w:p>
            <w:pPr>
              <w:spacing w:line="240" w:lineRule="auto"/>
            </w:pPr>
            <w:r>
              <w:t>0.0</w:t>
            </w:r>
          </w:p>
        </w:tc>
        <w:tc>
          <w:tcPr>
            <w:tcW w:type="dxa" w:w="2340"/>
          </w:tcPr>
          <w:p>
            <w:pPr>
              <w:spacing w:line="240" w:lineRule="auto"/>
            </w:pPr>
            <w:r>
              <w:t>True</w:t>
            </w:r>
          </w:p>
        </w:tc>
      </w:tr>
      <w:tr>
        <w:tc>
          <w:tcPr>
            <w:tcW w:type="dxa" w:w="2340"/>
          </w:tcPr>
          <w:p>
            <w:pPr>
              <w:spacing w:line="240" w:lineRule="auto"/>
            </w:pPr>
            <w:r>
              <w:t>IRAK4</w:t>
            </w:r>
          </w:p>
        </w:tc>
        <w:tc>
          <w:tcPr>
            <w:tcW w:type="dxa" w:w="2340"/>
          </w:tcPr>
          <w:p>
            <w:pPr>
              <w:spacing w:line="240" w:lineRule="auto"/>
            </w:pPr>
            <w:r>
              <w:t>0.0</w:t>
            </w:r>
          </w:p>
        </w:tc>
        <w:tc>
          <w:tcPr>
            <w:tcW w:type="dxa" w:w="2340"/>
          </w:tcPr>
          <w:p>
            <w:pPr>
              <w:spacing w:line="240" w:lineRule="auto"/>
            </w:pPr>
            <w:r>
              <w:t>0.0</w:t>
            </w:r>
          </w:p>
        </w:tc>
        <w:tc>
          <w:tcPr>
            <w:tcW w:type="dxa" w:w="2340"/>
          </w:tcPr>
          <w:p>
            <w:pPr>
              <w:spacing w:line="240" w:lineRule="auto"/>
            </w:pPr>
            <w:r>
              <w:t>True</w:t>
            </w:r>
          </w:p>
        </w:tc>
      </w:tr>
      <w:tr>
        <w:tc>
          <w:tcPr>
            <w:tcW w:type="dxa" w:w="2340"/>
          </w:tcPr>
          <w:p>
            <w:pPr>
              <w:spacing w:line="240" w:lineRule="auto"/>
            </w:pPr>
            <w:r>
              <w:t>JAK3</w:t>
            </w:r>
          </w:p>
        </w:tc>
        <w:tc>
          <w:tcPr>
            <w:tcW w:type="dxa" w:w="2340"/>
          </w:tcPr>
          <w:p>
            <w:pPr>
              <w:spacing w:line="240" w:lineRule="auto"/>
            </w:pPr>
            <w:r>
              <w:t>1.4</w:t>
            </w:r>
          </w:p>
        </w:tc>
        <w:tc>
          <w:tcPr>
            <w:tcW w:type="dxa" w:w="2340"/>
          </w:tcPr>
          <w:p>
            <w:pPr>
              <w:spacing w:line="240" w:lineRule="auto"/>
            </w:pPr>
            <w:r>
              <w:t>0.0</w:t>
            </w:r>
          </w:p>
        </w:tc>
        <w:tc>
          <w:tcPr>
            <w:tcW w:type="dxa" w:w="2340"/>
          </w:tcPr>
          <w:p>
            <w:pPr>
              <w:spacing w:line="240" w:lineRule="auto"/>
            </w:pPr>
            <w:r>
              <w:t>True</w:t>
            </w:r>
          </w:p>
        </w:tc>
      </w:tr>
      <w:tr>
        <w:tc>
          <w:tcPr>
            <w:tcW w:type="dxa" w:w="2340"/>
          </w:tcPr>
          <w:p>
            <w:pPr>
              <w:spacing w:line="240" w:lineRule="auto"/>
            </w:pPr>
            <w:r>
              <w:t>hERG</w:t>
            </w:r>
          </w:p>
        </w:tc>
        <w:tc>
          <w:tcPr>
            <w:tcW w:type="dxa" w:w="2340"/>
          </w:tcPr>
          <w:p>
            <w:pPr>
              <w:spacing w:line="240" w:lineRule="auto"/>
            </w:pPr>
            <w:r>
              <w:t>0.0</w:t>
            </w:r>
          </w:p>
        </w:tc>
        <w:tc>
          <w:tcPr>
            <w:tcW w:type="dxa" w:w="2340"/>
          </w:tcPr>
          <w:p>
            <w:pPr>
              <w:spacing w:line="240" w:lineRule="auto"/>
            </w:pPr>
            <w:r>
              <w:t>0.0</w:t>
            </w:r>
          </w:p>
        </w:tc>
        <w:tc>
          <w:tcPr>
            <w:tcW w:type="dxa" w:w="2340"/>
          </w:tcPr>
          <w:p>
            <w:pPr>
              <w:spacing w:line="240" w:lineRule="auto"/>
            </w:pPr>
            <w:r>
              <w:t>True</w:t>
            </w:r>
          </w:p>
        </w:tc>
      </w:tr>
      <w:tr>
        <w:tc>
          <w:tcPr>
            <w:tcW w:type="dxa" w:w="2340"/>
          </w:tcPr>
          <w:p>
            <w:pPr>
              <w:spacing w:line="240" w:lineRule="auto"/>
            </w:pPr>
            <w:r>
              <w:t>BACE1</w:t>
            </w:r>
          </w:p>
        </w:tc>
        <w:tc>
          <w:tcPr>
            <w:tcW w:type="dxa" w:w="2340"/>
          </w:tcPr>
          <w:p>
            <w:pPr>
              <w:spacing w:line="240" w:lineRule="auto"/>
            </w:pPr>
            <w:r>
              <w:t>17.9</w:t>
            </w:r>
          </w:p>
        </w:tc>
        <w:tc>
          <w:tcPr>
            <w:tcW w:type="dxa" w:w="2340"/>
          </w:tcPr>
          <w:p>
            <w:pPr>
              <w:spacing w:line="240" w:lineRule="auto"/>
            </w:pPr>
            <w:r>
              <w:t>5.4</w:t>
            </w:r>
          </w:p>
        </w:tc>
        <w:tc>
          <w:tcPr>
            <w:tcW w:type="dxa" w:w="2340"/>
          </w:tcPr>
          <w:p>
            <w:pPr>
              <w:spacing w:line="240" w:lineRule="auto"/>
            </w:pPr>
            <w:r>
              <w:t>True</w:t>
            </w:r>
          </w:p>
        </w:tc>
      </w:tr>
      <w:tr>
        <w:tc>
          <w:tcPr>
            <w:tcW w:type="dxa" w:w="2340"/>
          </w:tcPr>
          <w:p>
            <w:pPr>
              <w:spacing w:line="240" w:lineRule="auto"/>
            </w:pPr>
            <w:r>
              <w:t>ERK2</w:t>
            </w:r>
          </w:p>
        </w:tc>
        <w:tc>
          <w:tcPr>
            <w:tcW w:type="dxa" w:w="2340"/>
          </w:tcPr>
          <w:p>
            <w:pPr>
              <w:spacing w:line="240" w:lineRule="auto"/>
            </w:pPr>
            <w:r>
              <w:t>0.0</w:t>
            </w:r>
          </w:p>
        </w:tc>
        <w:tc>
          <w:tcPr>
            <w:tcW w:type="dxa" w:w="2340"/>
          </w:tcPr>
          <w:p>
            <w:pPr>
              <w:spacing w:line="240" w:lineRule="auto"/>
            </w:pPr>
            <w:r>
              <w:t>0.0</w:t>
            </w:r>
          </w:p>
        </w:tc>
        <w:tc>
          <w:tcPr>
            <w:tcW w:type="dxa" w:w="2340"/>
          </w:tcPr>
          <w:p>
            <w:pPr>
              <w:spacing w:line="240" w:lineRule="auto"/>
            </w:pPr>
            <w:r>
              <w:t>True</w:t>
            </w:r>
          </w:p>
        </w:tc>
      </w:tr>
      <w:tr>
        <w:tc>
          <w:tcPr>
            <w:tcW w:type="dxa" w:w="2340"/>
          </w:tcPr>
          <w:p>
            <w:pPr>
              <w:spacing w:line="240" w:lineRule="auto"/>
            </w:pPr>
            <w:r>
              <w:t>PI3Kδ</w:t>
            </w:r>
          </w:p>
        </w:tc>
        <w:tc>
          <w:tcPr>
            <w:tcW w:type="dxa" w:w="2340"/>
          </w:tcPr>
          <w:p>
            <w:pPr>
              <w:spacing w:line="240" w:lineRule="auto"/>
            </w:pPr>
            <w:r>
              <w:t>0.0</w:t>
            </w:r>
          </w:p>
        </w:tc>
        <w:tc>
          <w:tcPr>
            <w:tcW w:type="dxa" w:w="2340"/>
          </w:tcPr>
          <w:p>
            <w:pPr>
              <w:spacing w:line="240" w:lineRule="auto"/>
            </w:pPr>
            <w:r>
              <w:t>0.0</w:t>
            </w:r>
          </w:p>
        </w:tc>
        <w:tc>
          <w:tcPr>
            <w:tcW w:type="dxa" w:w="2340"/>
          </w:tcPr>
          <w:p>
            <w:pPr>
              <w:spacing w:line="240" w:lineRule="auto"/>
            </w:pPr>
            <w:r>
              <w:t>True</w:t>
            </w:r>
          </w:p>
        </w:tc>
      </w:tr>
      <w:tr>
        <w:tc>
          <w:tcPr>
            <w:tcW w:type="dxa" w:w="2340"/>
          </w:tcPr>
          <w:p>
            <w:pPr>
              <w:spacing w:line="240" w:lineRule="auto"/>
            </w:pPr>
            <w:r>
              <w:t>TYK2</w:t>
            </w:r>
          </w:p>
        </w:tc>
        <w:tc>
          <w:tcPr>
            <w:tcW w:type="dxa" w:w="2340"/>
          </w:tcPr>
          <w:p>
            <w:pPr>
              <w:spacing w:line="240" w:lineRule="auto"/>
            </w:pPr>
            <w:r>
              <w:t>2.1</w:t>
            </w:r>
          </w:p>
        </w:tc>
        <w:tc>
          <w:tcPr>
            <w:tcW w:type="dxa" w:w="2340"/>
          </w:tcPr>
          <w:p>
            <w:pPr>
              <w:spacing w:line="240" w:lineRule="auto"/>
            </w:pPr>
            <w:r>
              <w:t>0.0</w:t>
            </w:r>
          </w:p>
        </w:tc>
        <w:tc>
          <w:tcPr>
            <w:tcW w:type="dxa" w:w="2340"/>
          </w:tcPr>
          <w:p>
            <w:pPr>
              <w:spacing w:line="240" w:lineRule="auto"/>
            </w:pPr>
            <w:r>
              <w:t>True</w:t>
            </w:r>
          </w:p>
        </w:tc>
      </w:tr>
      <w:tr>
        <w:tc>
          <w:tcPr>
            <w:tcW w:type="dxa" w:w="2340"/>
          </w:tcPr>
          <w:p>
            <w:pPr>
              <w:spacing w:line="240" w:lineRule="auto"/>
            </w:pPr>
            <w:r>
              <w:t>HDAC6</w:t>
            </w:r>
          </w:p>
        </w:tc>
        <w:tc>
          <w:tcPr>
            <w:tcW w:type="dxa" w:w="2340"/>
          </w:tcPr>
          <w:p>
            <w:pPr>
              <w:spacing w:line="240" w:lineRule="auto"/>
            </w:pPr>
            <w:r>
              <w:t>2.4</w:t>
            </w:r>
          </w:p>
        </w:tc>
        <w:tc>
          <w:tcPr>
            <w:tcW w:type="dxa" w:w="2340"/>
          </w:tcPr>
          <w:p>
            <w:pPr>
              <w:spacing w:line="240" w:lineRule="auto"/>
            </w:pPr>
            <w:r>
              <w:t>1.2</w:t>
            </w:r>
          </w:p>
        </w:tc>
        <w:tc>
          <w:tcPr>
            <w:tcW w:type="dxa" w:w="2340"/>
          </w:tcPr>
          <w:p>
            <w:pPr>
              <w:spacing w:line="240" w:lineRule="auto"/>
            </w:pPr>
            <w:r>
              <w:t>True</w:t>
            </w:r>
          </w:p>
        </w:tc>
      </w:tr>
      <w:tr>
        <w:tc>
          <w:tcPr>
            <w:tcW w:type="dxa" w:w="2340"/>
          </w:tcPr>
          <w:p>
            <w:pPr>
              <w:spacing w:line="240" w:lineRule="auto"/>
            </w:pPr>
            <w:r>
              <w:t>EGFR</w:t>
            </w:r>
          </w:p>
        </w:tc>
        <w:tc>
          <w:tcPr>
            <w:tcW w:type="dxa" w:w="2340"/>
          </w:tcPr>
          <w:p>
            <w:pPr>
              <w:spacing w:line="240" w:lineRule="auto"/>
            </w:pPr>
            <w:r>
              <w:t>0.0</w:t>
            </w:r>
          </w:p>
        </w:tc>
        <w:tc>
          <w:tcPr>
            <w:tcW w:type="dxa" w:w="2340"/>
          </w:tcPr>
          <w:p>
            <w:pPr>
              <w:spacing w:line="240" w:lineRule="auto"/>
            </w:pPr>
            <w:r>
              <w:t>0.0</w:t>
            </w:r>
          </w:p>
        </w:tc>
        <w:tc>
          <w:tcPr>
            <w:tcW w:type="dxa" w:w="2340"/>
          </w:tcPr>
          <w:p>
            <w:pPr>
              <w:spacing w:line="240" w:lineRule="auto"/>
            </w:pPr>
            <w:r>
              <w:t>True</w:t>
            </w:r>
          </w:p>
        </w:tc>
      </w:tr>
      <w:tr>
        <w:tc>
          <w:tcPr>
            <w:tcW w:type="dxa" w:w="2340"/>
          </w:tcPr>
          <w:p>
            <w:pPr>
              <w:spacing w:line="240" w:lineRule="auto"/>
            </w:pPr>
            <w:r>
              <w:t>SYK</w:t>
            </w:r>
          </w:p>
        </w:tc>
        <w:tc>
          <w:tcPr>
            <w:tcW w:type="dxa" w:w="2340"/>
          </w:tcPr>
          <w:p>
            <w:pPr>
              <w:spacing w:line="240" w:lineRule="auto"/>
            </w:pPr>
            <w:r>
              <w:t>0.0</w:t>
            </w:r>
          </w:p>
        </w:tc>
        <w:tc>
          <w:tcPr>
            <w:tcW w:type="dxa" w:w="2340"/>
          </w:tcPr>
          <w:p>
            <w:pPr>
              <w:spacing w:line="240" w:lineRule="auto"/>
            </w:pPr>
            <w:r>
              <w:t>0.0</w:t>
            </w:r>
          </w:p>
        </w:tc>
        <w:tc>
          <w:tcPr>
            <w:tcW w:type="dxa" w:w="2340"/>
          </w:tcPr>
          <w:p>
            <w:pPr>
              <w:spacing w:line="240" w:lineRule="auto"/>
            </w:pPr>
            <w:r>
              <w:t>True</w:t>
            </w:r>
          </w:p>
        </w:tc>
      </w:tr>
    </w:tbl>
    <w:p>
      <w:pPr>
        <w:spacing w:line="240" w:lineRule="auto"/>
        <w:jc w:val="center"/>
      </w:pPr>
      <w:r>
        <w:drawing>
          <wp:inline>
            <wp:extent cx="5669280" cy="3373509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Fig_collision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373509"/>
                    </a:xfrm>
                    <a:prstGeom prst="rect"/>
                  </pic:spPr>
                </pic:pic>
              </a:graphicData>
            </a:graphic>
          </wp:inline>
        </w:drawing>
      </w:r>
    </w:p>
    <w:bookmarkEnd w:id="17"/>
    <w:bookmarkStart w:id="18" w:name="X91f9102c6eb082c87d53a956147a9b3e7331f29"/>
    <w:p>
      <w:pPr>
        <w:pStyle w:val="Heading2"/>
        <w:spacing w:line="360" w:lineRule="auto"/>
      </w:pPr>
      <w:r>
        <w:t xml:space="preserve">S10. Complete target-level results and ridge-vs-RF</w:t>
      </w:r>
    </w:p>
    <w:p>
      <w:pPr>
        <w:pStyle w:val="FirstParagraph"/>
        <w:spacing w:line="480" w:lineRule="auto"/>
      </w:pPr>
      <w:r>
        <w:t xml:space="preserve">Table S-full (</w:t>
      </w:r>
      <w:r>
        <w:rPr>
          <w:rStyle w:val="VerbatimChar"/>
        </w:rPr>
        <w:t xml:space="preserve">STable_target_full.csv</w:t>
      </w:r>
      <w:r>
        <w:t xml:space="preserve">): per target — held-out flag, n, scaffolds, tie fraction, r3 collision, S_Δ (RF and ridge), Spearman, primary and secondary empirical p, q(14-family), q(11-held-out-family), R_t. Paired ridge−RF difference: median +0.005, 95% CI [−0.032,+0.019], Wilcoxon p=0.76 (Fig 4).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</w:tblGrid>
      <w:tr>
        <w:tc>
          <w:tcPr>
            <w:tcW w:type="dxa" w:w="669"/>
          </w:tcPr>
          <w:p>
            <w:pPr>
              <w:spacing w:line="240" w:lineRule="auto"/>
            </w:pPr>
            <w:r/>
            <w:r>
              <w:rPr>
                <w:b/>
              </w:rPr>
              <w:t>target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/>
            <w:r>
              <w:rPr>
                <w:b/>
              </w:rPr>
              <w:t>held_out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/>
            <w:r>
              <w:rPr>
                <w:b/>
              </w:rPr>
              <w:t>n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/>
            <w:r>
              <w:rPr>
                <w:b/>
              </w:rPr>
              <w:t>scaffolds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/>
            <w:r>
              <w:rPr>
                <w:b/>
              </w:rPr>
              <w:t>tie_frac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/>
            <w:r>
              <w:rPr>
                <w:b/>
              </w:rPr>
              <w:t>coll_r3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/>
            <w:r>
              <w:rPr>
                <w:b/>
              </w:rPr>
              <w:t>S_rf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/>
            <w:r>
              <w:rPr>
                <w:b/>
              </w:rPr>
              <w:t>S_ridge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/>
            <w:r>
              <w:rPr>
                <w:b/>
              </w:rPr>
              <w:t>spearman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/>
            <w:r>
              <w:rPr>
                <w:b/>
              </w:rPr>
              <w:t>p_primary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/>
            <w:r>
              <w:rPr>
                <w:b/>
              </w:rPr>
              <w:t>p_secondary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/>
            <w:r>
              <w:rPr>
                <w:b/>
              </w:rPr>
              <w:t>q14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/>
            <w:r>
              <w:rPr>
                <w:b/>
              </w:rPr>
              <w:t>q11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/>
            <w:r>
              <w:rPr>
                <w:b/>
              </w:rPr>
              <w:t>Rt</w:t>
            </w:r>
          </w:p>
        </w:tc>
      </w:tr>
      <w:tr>
        <w:tc>
          <w:tcPr>
            <w:tcW w:type="dxa" w:w="669"/>
          </w:tcPr>
          <w:p>
            <w:pPr>
              <w:spacing w:line="240" w:lineRule="auto"/>
            </w:pPr>
            <w:r>
              <w:t>BACE1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False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112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59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0.009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0.054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0.241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0.298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0.53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0.011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0.001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0.022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/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4.0</w:t>
            </w:r>
          </w:p>
        </w:tc>
      </w:tr>
      <w:tr>
        <w:tc>
          <w:tcPr>
            <w:tcW w:type="dxa" w:w="669"/>
          </w:tcPr>
          <w:p>
            <w:pPr>
              <w:spacing w:line="240" w:lineRule="auto"/>
            </w:pPr>
            <w:r>
              <w:t>HDAC6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True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83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53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0.048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0.012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0.237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0.216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0.32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0.0015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0.001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0.0035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0.0033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0.67</w:t>
            </w:r>
          </w:p>
        </w:tc>
      </w:tr>
      <w:tr>
        <w:tc>
          <w:tcPr>
            <w:tcW w:type="dxa" w:w="669"/>
          </w:tcPr>
          <w:p>
            <w:pPr>
              <w:spacing w:line="240" w:lineRule="auto"/>
            </w:pPr>
            <w:r>
              <w:t>JAK1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True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207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119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0.126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0.172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0.14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0.43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0.0005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0.001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0.0017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0.0014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1.33</w:t>
            </w:r>
          </w:p>
        </w:tc>
      </w:tr>
      <w:tr>
        <w:tc>
          <w:tcPr>
            <w:tcW w:type="dxa" w:w="669"/>
          </w:tcPr>
          <w:p>
            <w:pPr>
              <w:spacing w:line="240" w:lineRule="auto"/>
            </w:pPr>
            <w:r>
              <w:t>JAK2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True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199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117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0.161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0.16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0.178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0.4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0.0005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0.001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0.0017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0.0014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1.07</w:t>
            </w:r>
          </w:p>
        </w:tc>
      </w:tr>
      <w:tr>
        <w:tc>
          <w:tcPr>
            <w:tcW w:type="dxa" w:w="669"/>
          </w:tcPr>
          <w:p>
            <w:pPr>
              <w:spacing w:line="240" w:lineRule="auto"/>
            </w:pPr>
            <w:r>
              <w:t>ERK2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True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102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64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0.02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0.149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0.215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0.38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0.0005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0.001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0.0017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0.0014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3.18</w:t>
            </w:r>
          </w:p>
        </w:tc>
      </w:tr>
      <w:tr>
        <w:tc>
          <w:tcPr>
            <w:tcW w:type="dxa" w:w="669"/>
          </w:tcPr>
          <w:p>
            <w:pPr>
              <w:spacing w:line="240" w:lineRule="auto"/>
            </w:pPr>
            <w:r>
              <w:t>BTK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False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266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114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0.056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0.142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0.124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0.48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0.001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0.001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0.0028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/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1.34</w:t>
            </w:r>
          </w:p>
        </w:tc>
      </w:tr>
      <w:tr>
        <w:tc>
          <w:tcPr>
            <w:tcW w:type="dxa" w:w="669"/>
          </w:tcPr>
          <w:p>
            <w:pPr>
              <w:spacing w:line="240" w:lineRule="auto"/>
            </w:pPr>
            <w:r>
              <w:t>ROR-γ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True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201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119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0.01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0.09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0.087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0.085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0.28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0.0005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0.001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0.0017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0.0014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1.67</w:t>
            </w:r>
          </w:p>
        </w:tc>
      </w:tr>
      <w:tr>
        <w:tc>
          <w:tcPr>
            <w:tcW w:type="dxa" w:w="669"/>
          </w:tcPr>
          <w:p>
            <w:pPr>
              <w:spacing w:line="240" w:lineRule="auto"/>
            </w:pPr>
            <w:r>
              <w:t>EGFR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True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82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64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0.122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0.038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-0.008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0.17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0.032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0.015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0.0498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0.0503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0.82</w:t>
            </w:r>
          </w:p>
        </w:tc>
      </w:tr>
      <w:tr>
        <w:tc>
          <w:tcPr>
            <w:tcW w:type="dxa" w:w="669"/>
          </w:tcPr>
          <w:p>
            <w:pPr>
              <w:spacing w:line="240" w:lineRule="auto"/>
            </w:pPr>
            <w:r>
              <w:t>TYK2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True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95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51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0.295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0.021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0.037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0.22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0.063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0.1009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0.0801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0.077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1.07</w:t>
            </w:r>
          </w:p>
        </w:tc>
      </w:tr>
      <w:tr>
        <w:tc>
          <w:tcPr>
            <w:tcW w:type="dxa" w:w="669"/>
          </w:tcPr>
          <w:p>
            <w:pPr>
              <w:spacing w:line="240" w:lineRule="auto"/>
            </w:pPr>
            <w:r>
              <w:t>IRAK4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True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172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82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0.076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0.015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0.026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0.22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0.063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0.0609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0.0801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0.077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1.02</w:t>
            </w:r>
          </w:p>
        </w:tc>
      </w:tr>
      <w:tr>
        <w:tc>
          <w:tcPr>
            <w:tcW w:type="dxa" w:w="669"/>
          </w:tcPr>
          <w:p>
            <w:pPr>
              <w:spacing w:line="240" w:lineRule="auto"/>
            </w:pPr>
            <w:r>
              <w:t>hERG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True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129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95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0.054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-0.007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-0.116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0.09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0.0305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0.034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0.0498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0.0503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0.47</w:t>
            </w:r>
          </w:p>
        </w:tc>
      </w:tr>
      <w:tr>
        <w:tc>
          <w:tcPr>
            <w:tcW w:type="dxa" w:w="669"/>
          </w:tcPr>
          <w:p>
            <w:pPr>
              <w:spacing w:line="240" w:lineRule="auto"/>
            </w:pPr>
            <w:r>
              <w:t>PI3Kδ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True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98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57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0.102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-0.026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-0.007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0.32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0.3198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0.2338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0.3444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0.3518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0.71</w:t>
            </w:r>
          </w:p>
        </w:tc>
      </w:tr>
      <w:tr>
        <w:tc>
          <w:tcPr>
            <w:tcW w:type="dxa" w:w="669"/>
          </w:tcPr>
          <w:p>
            <w:pPr>
              <w:spacing w:line="240" w:lineRule="auto"/>
            </w:pPr>
            <w:r>
              <w:t>JAK3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False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139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78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0.345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-0.039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-0.013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0.09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0.1194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0.3706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0.1393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/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0.42</w:t>
            </w:r>
          </w:p>
        </w:tc>
      </w:tr>
      <w:tr>
        <w:tc>
          <w:tcPr>
            <w:tcW w:type="dxa" w:w="669"/>
          </w:tcPr>
          <w:p>
            <w:pPr>
              <w:spacing w:line="240" w:lineRule="auto"/>
            </w:pPr>
            <w:r>
              <w:t>SYK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True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82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52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0.098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0.0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-0.041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-0.108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0.13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0.4698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0.5904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0.4698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0.4698</w:t>
            </w:r>
          </w:p>
        </w:tc>
        <w:tc>
          <w:tcPr>
            <w:tcW w:type="dxa" w:w="669"/>
          </w:tcPr>
          <w:p>
            <w:pPr>
              <w:spacing w:line="240" w:lineRule="auto"/>
            </w:pPr>
            <w:r>
              <w:t>0.73</w:t>
            </w:r>
          </w:p>
        </w:tc>
      </w:tr>
    </w:tbl>
    <w:bookmarkEnd w:id="18"/>
    <w:bookmarkStart w:id="19" w:name="X4c91cc60a8d7d19ba809996c05936f0e9088604"/>
    <w:p>
      <w:pPr>
        <w:pStyle w:val="Heading2"/>
        <w:spacing w:line="360" w:lineRule="auto"/>
      </w:pPr>
      <w:r>
        <w:t xml:space="preserve">S11. Signal-to-variability: frozen vs exploratory (clearly distinguished)</w:t>
      </w:r>
    </w:p>
    <w:p>
      <w:pPr>
        <w:pStyle w:val="Compact"/>
        <w:numPr>
          <w:ilvl w:val="0"/>
          <w:numId w:val="1003"/>
        </w:numPr>
        <w:spacing w:line="480" w:lineRule="auto"/>
      </w:pPr>
      <w:r>
        <w:rPr>
          <w:b/>
          <w:bCs/>
        </w:rPr>
        <w:t xml:space="preserve">Frozen (protocol):</w:t>
      </w:r>
      <w:r>
        <w:t xml:space="preserve"> </w:t>
      </w:r>
      <w:r>
        <w:t xml:space="preserve">R_t = median|Δy|/0.45. Association with S_Δ: all-14 ρ=0.62 (p=0.018);</w:t>
      </w:r>
      <w:r>
        <w:t xml:space="preserve"> </w:t>
      </w:r>
      <w:r>
        <w:rPr>
          <w:b/>
          <w:bCs/>
        </w:rPr>
        <w:t xml:space="preserve">held-out ρ=0.42 (p=0.20, not significant)</w:t>
      </w:r>
      <w:r>
        <w:t xml:space="preserve">. Reported in the main text as a suggestive, unconfirmed trend.</w:t>
      </w:r>
    </w:p>
    <w:p>
      <w:pPr>
        <w:pStyle w:val="Compact"/>
        <w:numPr>
          <w:ilvl w:val="0"/>
          <w:numId w:val="1003"/>
        </w:numPr>
        <w:spacing w:line="480" w:lineRule="auto"/>
      </w:pPr>
      <w:r>
        <w:rPr>
          <w:b/>
          <w:bCs/>
        </w:rPr>
        <w:t xml:space="preserve">Exploratory (post hoc, not frozen):</w:t>
      </w:r>
      <w:r>
        <w:t xml:space="preserve"> </w:t>
      </w:r>
      <w:r>
        <w:t xml:space="preserve">a tail-aware statistic (upper-quartile|Δy|/0.45) correlates far more strongly — all-14 ρ=0.81;</w:t>
      </w:r>
      <w:r>
        <w:t xml:space="preserve"> </w:t>
      </w:r>
      <w:r>
        <w:rPr>
          <w:b/>
          <w:bCs/>
        </w:rPr>
        <w:t xml:space="preserve">held-out ρ=0.77</w:t>
      </w:r>
      <w:r>
        <w:t xml:space="preserve">. This was chosen</w:t>
      </w:r>
      <w:r>
        <w:t xml:space="preserve"> </w:t>
      </w:r>
      <w:r>
        <w:rPr>
          <w:i/>
          <w:iCs/>
        </w:rPr>
        <w:t xml:space="preserve">after</w:t>
      </w:r>
      <w:r>
        <w:t xml:space="preserve"> </w:t>
      </w:r>
      <w:r>
        <w:t xml:space="preserve">observing the HDAC6 counterexample and is</w:t>
      </w:r>
      <w:r>
        <w:t xml:space="preserve"> </w:t>
      </w:r>
      <w:r>
        <w:rPr>
          <w:b/>
          <w:bCs/>
        </w:rPr>
        <w:t xml:space="preserve">not confirmatory evidence</w:t>
      </w:r>
      <w:r>
        <w:t xml:space="preserve">; it is a concrete hypothesis, specifiable in advance, for future confirmatory work (Table S-Rt</w:t>
      </w:r>
      <w:r>
        <w:t xml:space="preserve"> </w:t>
      </w:r>
      <w:r>
        <w:rPr>
          <w:rStyle w:val="VerbatimChar"/>
        </w:rPr>
        <w:t xml:space="preserve">STable_Rt.csv</w:t>
      </w:r>
      <w:r>
        <w:t xml:space="preserve">,</w:t>
      </w:r>
      <w:r>
        <w:t xml:space="preserve"> </w:t>
      </w:r>
      <w:r>
        <w:rPr>
          <w:rStyle w:val="VerbatimChar"/>
        </w:rPr>
        <w:t xml:space="preserve">SFig_Rt.png</w:t>
      </w:r>
      <w:r>
        <w:t xml:space="preserve">).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b/>
              </w:rPr>
              <w:t>target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b/>
              </w:rPr>
              <w:t>held_out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b/>
              </w:rPr>
              <w:t>S_delta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b/>
              </w:rPr>
              <w:t>Rt_frozen(median/0.45)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b/>
              </w:rPr>
              <w:t>Rt_exploratory(UQ/0.45)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b/>
              </w:rPr>
              <w:t>frac|dy|&gt;0.45</w:t>
            </w:r>
          </w:p>
        </w:tc>
      </w:tr>
      <w:tr>
        <w:tc>
          <w:tcPr>
            <w:tcW w:type="dxa" w:w="1560"/>
          </w:tcPr>
          <w:p>
            <w:pPr>
              <w:spacing w:line="240" w:lineRule="auto"/>
            </w:pPr>
            <w:r>
              <w:t>BTK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False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0.142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1.34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2.27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0.6</w:t>
            </w:r>
          </w:p>
        </w:tc>
      </w:tr>
      <w:tr>
        <w:tc>
          <w:tcPr>
            <w:tcW w:type="dxa" w:w="1560"/>
          </w:tcPr>
          <w:p>
            <w:pPr>
              <w:spacing w:line="240" w:lineRule="auto"/>
            </w:pPr>
            <w:r>
              <w:t>JAK1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True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0.172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1.33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2.49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0.61</w:t>
            </w:r>
          </w:p>
        </w:tc>
      </w:tr>
      <w:tr>
        <w:tc>
          <w:tcPr>
            <w:tcW w:type="dxa" w:w="1560"/>
          </w:tcPr>
          <w:p>
            <w:pPr>
              <w:spacing w:line="240" w:lineRule="auto"/>
            </w:pPr>
            <w:r>
              <w:t>ROR-γ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True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0.087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1.67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3.18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0.7</w:t>
            </w:r>
          </w:p>
        </w:tc>
      </w:tr>
      <w:tr>
        <w:tc>
          <w:tcPr>
            <w:tcW w:type="dxa" w:w="1560"/>
          </w:tcPr>
          <w:p>
            <w:pPr>
              <w:spacing w:line="240" w:lineRule="auto"/>
            </w:pPr>
            <w:r>
              <w:t>JAK2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True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0.16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1.07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2.23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0.51</w:t>
            </w:r>
          </w:p>
        </w:tc>
      </w:tr>
      <w:tr>
        <w:tc>
          <w:tcPr>
            <w:tcW w:type="dxa" w:w="1560"/>
          </w:tcPr>
          <w:p>
            <w:pPr>
              <w:spacing w:line="240" w:lineRule="auto"/>
            </w:pPr>
            <w:r>
              <w:t>IRAK4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True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0.015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1.02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1.86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0.5</w:t>
            </w:r>
          </w:p>
        </w:tc>
      </w:tr>
      <w:tr>
        <w:tc>
          <w:tcPr>
            <w:tcW w:type="dxa" w:w="1560"/>
          </w:tcPr>
          <w:p>
            <w:pPr>
              <w:spacing w:line="240" w:lineRule="auto"/>
            </w:pPr>
            <w:r>
              <w:t>JAK3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False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-0.039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0.42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2.01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0.39</w:t>
            </w:r>
          </w:p>
        </w:tc>
      </w:tr>
      <w:tr>
        <w:tc>
          <w:tcPr>
            <w:tcW w:type="dxa" w:w="1560"/>
          </w:tcPr>
          <w:p>
            <w:pPr>
              <w:spacing w:line="240" w:lineRule="auto"/>
            </w:pPr>
            <w:r>
              <w:t>hERG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True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-0.007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0.47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0.89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0.19</w:t>
            </w:r>
          </w:p>
        </w:tc>
      </w:tr>
      <w:tr>
        <w:tc>
          <w:tcPr>
            <w:tcW w:type="dxa" w:w="1560"/>
          </w:tcPr>
          <w:p>
            <w:pPr>
              <w:spacing w:line="240" w:lineRule="auto"/>
            </w:pPr>
            <w:r>
              <w:t>BACE1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False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0.241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4.0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5.17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0.85</w:t>
            </w:r>
          </w:p>
        </w:tc>
      </w:tr>
      <w:tr>
        <w:tc>
          <w:tcPr>
            <w:tcW w:type="dxa" w:w="1560"/>
          </w:tcPr>
          <w:p>
            <w:pPr>
              <w:spacing w:line="240" w:lineRule="auto"/>
            </w:pPr>
            <w:r>
              <w:t>ERK2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True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0.149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3.18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4.46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0.82</w:t>
            </w:r>
          </w:p>
        </w:tc>
      </w:tr>
      <w:tr>
        <w:tc>
          <w:tcPr>
            <w:tcW w:type="dxa" w:w="1560"/>
          </w:tcPr>
          <w:p>
            <w:pPr>
              <w:spacing w:line="240" w:lineRule="auto"/>
            </w:pPr>
            <w:r>
              <w:t>PI3Kδ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True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-0.026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0.71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1.99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0.39</w:t>
            </w:r>
          </w:p>
        </w:tc>
      </w:tr>
      <w:tr>
        <w:tc>
          <w:tcPr>
            <w:tcW w:type="dxa" w:w="1560"/>
          </w:tcPr>
          <w:p>
            <w:pPr>
              <w:spacing w:line="240" w:lineRule="auto"/>
            </w:pPr>
            <w:r>
              <w:t>TYK2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True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0.021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1.07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2.22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0.51</w:t>
            </w:r>
          </w:p>
        </w:tc>
      </w:tr>
      <w:tr>
        <w:tc>
          <w:tcPr>
            <w:tcW w:type="dxa" w:w="1560"/>
          </w:tcPr>
          <w:p>
            <w:pPr>
              <w:spacing w:line="240" w:lineRule="auto"/>
            </w:pPr>
            <w:r>
              <w:t>HDAC6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True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0.237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0.67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2.62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0.43</w:t>
            </w:r>
          </w:p>
        </w:tc>
      </w:tr>
      <w:tr>
        <w:tc>
          <w:tcPr>
            <w:tcW w:type="dxa" w:w="1560"/>
          </w:tcPr>
          <w:p>
            <w:pPr>
              <w:spacing w:line="240" w:lineRule="auto"/>
            </w:pPr>
            <w:r>
              <w:t>EGFR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True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0.038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0.82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1.97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0.48</w:t>
            </w:r>
          </w:p>
        </w:tc>
      </w:tr>
      <w:tr>
        <w:tc>
          <w:tcPr>
            <w:tcW w:type="dxa" w:w="1560"/>
          </w:tcPr>
          <w:p>
            <w:pPr>
              <w:spacing w:line="240" w:lineRule="auto"/>
            </w:pPr>
            <w:r>
              <w:t>SYK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True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-0.041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0.73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1.56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t>0.41</w:t>
            </w:r>
          </w:p>
        </w:tc>
      </w:tr>
    </w:tbl>
    <w:p>
      <w:pPr>
        <w:spacing w:line="240" w:lineRule="auto"/>
        <w:jc w:val="center"/>
      </w:pPr>
      <w:r>
        <w:drawing>
          <wp:inline>
            <wp:extent cx="5669280" cy="2565242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Fig_Rt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2565242"/>
                    </a:xfrm>
                    <a:prstGeom prst="rect"/>
                  </pic:spPr>
                </pic:pic>
              </a:graphicData>
            </a:graphic>
          </wp:inline>
        </w:drawing>
      </w:r>
    </w:p>
    <w:bookmarkEnd w:id="19"/>
    <w:bookmarkStart w:id="20" w:name="X88674210865efbf77d28d6d0f3ce753ce99d37d"/>
    <w:p>
      <w:pPr>
        <w:pStyle w:val="Heading2"/>
        <w:spacing w:line="360" w:lineRule="auto"/>
      </w:pPr>
      <w:r>
        <w:t xml:space="preserve">S12. Artifact, seed, software, and command manifest</w:t>
      </w:r>
    </w:p>
    <w:p>
      <w:pPr>
        <w:pStyle w:val="Compact"/>
        <w:numPr>
          <w:ilvl w:val="0"/>
          <w:numId w:val="1004"/>
        </w:numPr>
        <w:spacing w:line="480" w:lineRule="auto"/>
      </w:pPr>
      <w:r>
        <w:rPr>
          <w:b/>
          <w:bCs/>
        </w:rPr>
        <w:t xml:space="preserve">Software:</w:t>
      </w:r>
      <w:r>
        <w:t xml:space="preserve"> </w:t>
      </w:r>
      <w:r>
        <w:t xml:space="preserve">Python 3.12, RDKit 2026.03.3 (version-specific archive Zenodo doi:10.5281/zenodo.20446949; concept doi:10.5281/zenodo.591637), InChI software 1.07.3 (RDKit</w:t>
      </w:r>
      <w:r>
        <w:t xml:space="preserve"> </w:t>
      </w:r>
      <w:r>
        <w:rPr>
          <w:rStyle w:val="VerbatimChar"/>
        </w:rPr>
        <w:t xml:space="preserve">inchi.GetInchiVersion</w:t>
      </w:r>
      <w:r>
        <w:t xml:space="preserve">), scikit-learn 1.7.2, NumPy/SciPy, matplotlib; data from ChEMBL 37 (SQLite; dataset doi:10.6019/CHEMBL.database.37).</w:t>
      </w:r>
    </w:p>
    <w:p>
      <w:pPr>
        <w:pStyle w:val="Compact"/>
        <w:numPr>
          <w:ilvl w:val="0"/>
          <w:numId w:val="1004"/>
        </w:numPr>
        <w:spacing w:line="480" w:lineRule="auto"/>
      </w:pPr>
      <w:r>
        <w:rPr>
          <w:b/>
          <w:bCs/>
        </w:rPr>
        <w:t xml:space="preserve">Seeds:</w:t>
      </w:r>
      <w:r>
        <w:t xml:space="preserve"> </w:t>
      </w:r>
      <w:r>
        <w:t xml:space="preserve">orientation-symmetrization 7; cohort nulls 202; supplement null regeneration 303; stereo-audit sample 20260711.</w:t>
      </w:r>
    </w:p>
    <w:p>
      <w:pPr>
        <w:pStyle w:val="Compact"/>
        <w:numPr>
          <w:ilvl w:val="0"/>
          <w:numId w:val="1004"/>
        </w:numPr>
        <w:spacing w:line="480" w:lineRule="auto"/>
      </w:pPr>
      <w:r>
        <w:rPr>
          <w:b/>
          <w:bCs/>
        </w:rPr>
        <w:t xml:space="preserve">Frozen models:</w:t>
      </w:r>
      <w:r>
        <w:t xml:space="preserve"> </w:t>
      </w:r>
      <w:r>
        <w:t xml:space="preserve">RF (80 trees, min_leaf 3), ridge (α=10); r3/4096 binary chiral Morgan.</w:t>
      </w:r>
    </w:p>
    <w:p>
      <w:pPr>
        <w:pStyle w:val="Compact"/>
        <w:numPr>
          <w:ilvl w:val="0"/>
          <w:numId w:val="1004"/>
        </w:numPr>
        <w:spacing w:line="480" w:lineRule="auto"/>
      </w:pPr>
      <w:r>
        <w:rPr>
          <w:b/>
          <w:bCs/>
        </w:rPr>
        <w:t xml:space="preserve">Commands:</w:t>
      </w:r>
      <w:r>
        <w:t xml:space="preserve"> </w:t>
      </w:r>
      <w:r>
        <w:rPr>
          <w:rStyle w:val="VerbatimChar"/>
        </w:rPr>
        <w:t xml:space="preserve">manifest_enumerate.py</w:t>
      </w:r>
      <w:r>
        <w:t xml:space="preserve"> </w:t>
      </w:r>
      <w:r>
        <w:t xml:space="preserve">→ manifest;</w:t>
      </w:r>
      <w:r>
        <w:t xml:space="preserve"> </w:t>
      </w:r>
      <w:r>
        <w:rPr>
          <w:rStyle w:val="VerbatimChar"/>
        </w:rPr>
        <w:t xml:space="preserve">build_cohort.py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cohort_pairs.csv</w:t>
      </w:r>
      <w:r>
        <w:t xml:space="preserve">;</w:t>
      </w:r>
      <w:r>
        <w:t xml:space="preserve"> </w:t>
      </w:r>
      <w:r>
        <w:rPr>
          <w:rStyle w:val="VerbatimChar"/>
        </w:rPr>
        <w:t xml:space="preserve">cohort_run.py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cohort_results.json</w:t>
      </w:r>
      <w:r>
        <w:t xml:space="preserve"> </w:t>
      </w:r>
      <w:r>
        <w:t xml:space="preserve">+ checkpoints; BH recompute →</w:t>
      </w:r>
      <w:r>
        <w:t xml:space="preserve"> </w:t>
      </w:r>
      <w:r>
        <w:rPr>
          <w:rStyle w:val="VerbatimChar"/>
        </w:rPr>
        <w:t xml:space="preserve">FINAL_RESULTS.json</w:t>
      </w:r>
      <w:r>
        <w:t xml:space="preserve">;</w:t>
      </w:r>
      <w:r>
        <w:t xml:space="preserve"> </w:t>
      </w:r>
      <w:r>
        <w:rPr>
          <w:rStyle w:val="VerbatimChar"/>
        </w:rPr>
        <w:t xml:space="preserve">make_figs.py</w:t>
      </w:r>
      <w:r>
        <w:t xml:space="preserve"> </w:t>
      </w:r>
      <w:r>
        <w:t xml:space="preserve">→ Fig 1–5 + Tables 1–2;</w:t>
      </w:r>
      <w:r>
        <w:t xml:space="preserve"> </w:t>
      </w:r>
      <w:r>
        <w:rPr>
          <w:rStyle w:val="VerbatimChar"/>
        </w:rPr>
        <w:t xml:space="preserve">gen_supp.py</w:t>
      </w:r>
      <w:r>
        <w:t xml:space="preserve"> </w:t>
      </w:r>
      <w:r>
        <w:t xml:space="preserve">→ supplement tables/figures;</w:t>
      </w:r>
      <w:r>
        <w:t xml:space="preserve"> </w:t>
      </w:r>
      <w:r>
        <w:rPr>
          <w:rStyle w:val="VerbatimChar"/>
        </w:rPr>
        <w:t xml:space="preserve">null_regen.py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null_arrays.json</w:t>
      </w:r>
      <w:r>
        <w:t xml:space="preserve"> </w:t>
      </w:r>
      <w:r>
        <w:t xml:space="preserve">→ Fig S-nulls.</w:t>
      </w:r>
    </w:p>
    <w:p>
      <w:pPr>
        <w:pStyle w:val="Compact"/>
        <w:numPr>
          <w:ilvl w:val="0"/>
          <w:numId w:val="1004"/>
        </w:numPr>
        <w:spacing w:line="480" w:lineRule="auto"/>
      </w:pPr>
      <w:r>
        <w:rPr>
          <w:b/>
          <w:bCs/>
        </w:rPr>
        <w:t xml:space="preserve">Target identifiers:</w:t>
      </w:r>
      <w:r>
        <w:t xml:space="preserve"> </w:t>
      </w:r>
      <w:r>
        <w:rPr>
          <w:rStyle w:val="VerbatimChar"/>
        </w:rPr>
        <w:t xml:space="preserve">target_metadata_14.csv</w:t>
      </w:r>
      <w:r>
        <w:t xml:space="preserve">/</w:t>
      </w:r>
      <w:r>
        <w:rPr>
          <w:rStyle w:val="VerbatimChar"/>
        </w:rPr>
        <w:t xml:space="preserve">.json</w:t>
      </w:r>
      <w:r>
        <w:t xml:space="preserve"> </w:t>
      </w:r>
      <w:r>
        <w:t xml:space="preserve">(tid, ChEMBL target ID, official preferred name, gene symbol, UniProt accession, organism, target type, manuscript display name, development/held-out flag, and counts) and</w:t>
      </w:r>
      <w:r>
        <w:t xml:space="preserve"> </w:t>
      </w:r>
      <w:r>
        <w:rPr>
          <w:rStyle w:val="VerbatimChar"/>
        </w:rPr>
        <w:t xml:space="preserve">confirmatory_manifest.json</w:t>
      </w:r>
      <w:r>
        <w:t xml:space="preserve"> </w:t>
      </w:r>
      <w:r>
        <w:t xml:space="preserve">(immutable identifiers + eligibility counts). The manifest's exact bytes are covered by the detached checksum</w:t>
      </w:r>
      <w:r>
        <w:t xml:space="preserve"> </w:t>
      </w:r>
      <w:r>
        <w:rPr>
          <w:rStyle w:val="VerbatimChar"/>
        </w:rPr>
        <w:t xml:space="preserve">confirmatory_manifest.json.sha256</w:t>
      </w:r>
      <w:r>
        <w:t xml:space="preserve"> </w:t>
      </w:r>
      <w:r>
        <w:t xml:space="preserve">(regenerate/verify with</w:t>
      </w:r>
      <w:r>
        <w:t xml:space="preserve"> </w:t>
      </w:r>
      <w:r>
        <w:rPr>
          <w:rStyle w:val="VerbatimChar"/>
        </w:rPr>
        <w:t xml:space="preserve">shasum -a 256 -c confirmatory_manifest.json.sha256</w:t>
      </w:r>
      <w:r>
        <w:t xml:space="preserve">).</w:t>
      </w:r>
    </w:p>
    <w:p>
      <w:pPr>
        <w:pStyle w:val="Compact"/>
        <w:numPr>
          <w:ilvl w:val="0"/>
          <w:numId w:val="1004"/>
        </w:numPr>
        <w:spacing w:line="480" w:lineRule="auto"/>
      </w:pPr>
      <w:r>
        <w:rPr>
          <w:b/>
          <w:bCs/>
        </w:rPr>
        <w:t xml:space="preserve">Hashes:</w:t>
      </w:r>
      <w:r>
        <w:t xml:space="preserve"> </w:t>
      </w:r>
      <w:r>
        <w:t xml:space="preserve">all in</w:t>
      </w:r>
      <w:r>
        <w:t xml:space="preserve"> </w:t>
      </w:r>
      <w:r>
        <w:rPr>
          <w:rStyle w:val="VerbatimChar"/>
        </w:rPr>
        <w:t xml:space="preserve">FROZEN_ARTIFACTS.json</w:t>
      </w:r>
      <w:r>
        <w:t xml:space="preserve"> </w:t>
      </w:r>
      <w:r>
        <w:t xml:space="preserve">(main) plus the supplement-artifact hashes appended after the consistency audit (§ below).</w:t>
      </w:r>
    </w:p>
    <w:bookmarkEnd w:id="20"/>
    <w:bookmarkEnd w:id="21"/>
    <w:sectPr>
      <w:footerReference w:type="default" r:id="rId9"/>
      <w:footnotePr>
        <w:numRestart w:val="eachSect"/>
      </w:footnotePr>
      <w:pgMar w:top="1440" w:bottom="1440" w:left="1440" w:right="1440"/>
      <w:lnNumType w:countBy="1" w:restart="continuous" w:distance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 xml:space="preserve">Page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31">
    <w:nsid w:val="00A99431"/>
    <w:multiLevelType w:val="multilevel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decimal"/>
      <w:lvlText w:val="(%2)"/>
      <w:lvlJc w:val="left"/>
      <w:pPr>
        <w:ind w:left="1440" w:hanging="360"/>
      </w:pPr>
    </w:lvl>
    <w:lvl w:ilvl="2">
      <w:start w:val="1"/>
      <w:numFmt w:val="decimal"/>
      <w:lvlText w:val="(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decimal"/>
      <w:lvlText w:val="(%5)"/>
      <w:lvlJc w:val="left"/>
      <w:pPr>
        <w:ind w:left="3600" w:hanging="360"/>
      </w:pPr>
    </w:lvl>
    <w:lvl w:ilvl="5">
      <w:start w:val="1"/>
      <w:numFmt w:val="decimal"/>
      <w:lvlText w:val="(%6)"/>
      <w:lvlJc w:val="left"/>
      <w:pPr>
        <w:ind w:left="4320" w:hanging="360"/>
      </w:pPr>
    </w:lvl>
    <w:lvl w:ilvl="6">
      <w:start w:val="1"/>
      <w:numFmt w:val="decimal"/>
      <w:lvlText w:val="(%7)"/>
      <w:lvlJc w:val="left"/>
      <w:pPr>
        <w:ind w:left="5040" w:hanging="360"/>
      </w:pPr>
    </w:lvl>
    <w:lvl w:ilvl="7">
      <w:start w:val="1"/>
      <w:numFmt w:val="decimal"/>
      <w:lvlText w:val="(%8)"/>
      <w:lvlJc w:val="left"/>
      <w:pPr>
        <w:ind w:left="5760" w:hanging="360"/>
      </w:pPr>
    </w:lvl>
    <w:lvl w:ilvl="8">
      <w:start w:val="1"/>
      <w:numFmt w:val="decimal"/>
      <w:lvlText w:val="(%9)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line="480" w:lineRule="auto" w:after="0"/>
    </w:p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numbering" Target="numbering.xml"/><Relationship Id="rId7" Type="http://schemas.openxmlformats.org/officeDocument/2006/relationships/styles" Target="styles.xml"/><Relationship Id="rId6" Type="http://schemas.openxmlformats.org/officeDocument/2006/relationships/settings" Target="settings.xml"/><Relationship Id="rId5" Type="http://schemas.openxmlformats.org/officeDocument/2006/relationships/webSettings" Target="webSettings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footnotes" Target="footnotes.xml"/><Relationship Id="rId1" Type="http://schemas.openxmlformats.org/officeDocument/2006/relationships/comments" Target="comments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2026-07-30T01:12:00Z</dcterms:created>
  <dcterms:modified xsi:type="dcterms:W3CDTF">2026-07-30T01:12:00Z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