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94C9" w14:textId="77777777" w:rsidR="0005634C" w:rsidRDefault="00000000">
      <w:pPr>
        <w:spacing w:after="100"/>
        <w:jc w:val="center"/>
      </w:pPr>
      <w:r>
        <w:rPr>
          <w:rFonts w:eastAsia="Times New Roman"/>
          <w:b/>
          <w:bCs/>
          <w:sz w:val="30"/>
          <w:szCs w:val="30"/>
        </w:rPr>
        <w:t>Highlights</w:t>
      </w:r>
    </w:p>
    <w:p w14:paraId="6BBA7F59" w14:textId="77777777" w:rsidR="0005634C" w:rsidRDefault="00000000">
      <w:pPr>
        <w:spacing w:after="160"/>
      </w:pPr>
      <w:r>
        <w:rPr>
          <w:rFonts w:eastAsia="Times New Roman"/>
          <w:sz w:val="24"/>
          <w:szCs w:val="24"/>
        </w:rPr>
        <w:t>• Geopolitical risk significantly raises stock price synchronicity in China.</w:t>
      </w:r>
    </w:p>
    <w:p w14:paraId="5FD8AED9" w14:textId="77777777" w:rsidR="0005634C" w:rsidRDefault="00000000">
      <w:pPr>
        <w:spacing w:after="160"/>
      </w:pPr>
      <w:r>
        <w:rPr>
          <w:rFonts w:eastAsia="Times New Roman"/>
          <w:sz w:val="24"/>
          <w:szCs w:val="24"/>
        </w:rPr>
        <w:t>• Digital finance buffers this effect, primarily through coverage breadth.</w:t>
      </w:r>
    </w:p>
    <w:p w14:paraId="42549A59" w14:textId="77777777" w:rsidR="0005634C" w:rsidRDefault="00000000">
      <w:pPr>
        <w:spacing w:after="160"/>
      </w:pPr>
      <w:r>
        <w:rPr>
          <w:rFonts w:eastAsia="Times New Roman"/>
          <w:sz w:val="24"/>
          <w:szCs w:val="24"/>
        </w:rPr>
        <w:t>• A Hansen threshold model shows the buffer erodes above GPR = 0.754.</w:t>
      </w:r>
    </w:p>
    <w:p w14:paraId="43DEE5CC" w14:textId="77777777" w:rsidR="0005634C" w:rsidRDefault="00000000">
      <w:pPr>
        <w:spacing w:after="160"/>
      </w:pPr>
      <w:r>
        <w:rPr>
          <w:rFonts w:eastAsia="Times New Roman"/>
          <w:sz w:val="24"/>
          <w:szCs w:val="24"/>
        </w:rPr>
        <w:t>• Firm-level absorptive capacity significantly attenuates this erosion.</w:t>
      </w:r>
    </w:p>
    <w:p w14:paraId="21EB90EE" w14:textId="77777777" w:rsidR="0005634C" w:rsidRDefault="00000000">
      <w:pPr>
        <w:spacing w:after="16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• Regional infrastructure and firm capacity are complements, not substitutes.</w:t>
      </w:r>
    </w:p>
    <w:p w14:paraId="6A535DC2" w14:textId="20A605FE" w:rsidR="0064401C" w:rsidRDefault="0064401C" w:rsidP="0064401C">
      <w:pPr>
        <w:spacing w:after="160"/>
        <w:jc w:val="center"/>
        <w:rPr>
          <w:rFonts w:eastAsia="PMingLiU"/>
          <w:sz w:val="24"/>
          <w:szCs w:val="24"/>
          <w:lang w:eastAsia="zh-TW"/>
        </w:rPr>
      </w:pPr>
    </w:p>
    <w:p w14:paraId="74BF999C" w14:textId="41C96760" w:rsidR="0064401C" w:rsidRPr="0064401C" w:rsidRDefault="0064401C" w:rsidP="0064401C">
      <w:pPr>
        <w:spacing w:after="100"/>
        <w:jc w:val="center"/>
        <w:rPr>
          <w:rFonts w:eastAsia="Times New Roman" w:hint="eastAsia"/>
          <w:b/>
          <w:bCs/>
          <w:sz w:val="30"/>
          <w:szCs w:val="30"/>
        </w:rPr>
      </w:pPr>
      <w:r w:rsidRPr="0064401C">
        <w:rPr>
          <w:rFonts w:eastAsia="Times New Roman" w:hint="eastAsia"/>
          <w:b/>
          <w:bCs/>
          <w:sz w:val="30"/>
          <w:szCs w:val="30"/>
        </w:rPr>
        <w:t>Graphical Abstract</w:t>
      </w:r>
    </w:p>
    <w:p w14:paraId="3B445432" w14:textId="1EB1D273" w:rsidR="0064401C" w:rsidRPr="0064401C" w:rsidRDefault="0064401C">
      <w:pPr>
        <w:spacing w:after="16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6E347CB" wp14:editId="46701558">
            <wp:extent cx="5731510" cy="3820795"/>
            <wp:effectExtent l="0" t="0" r="2540" b="8255"/>
            <wp:docPr id="15655350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35000" name="图片 156553500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01C" w:rsidRPr="0064401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218F"/>
    <w:multiLevelType w:val="hybridMultilevel"/>
    <w:tmpl w:val="36DE3E2A"/>
    <w:lvl w:ilvl="0" w:tplc="2EBC4CFC">
      <w:start w:val="1"/>
      <w:numFmt w:val="bullet"/>
      <w:lvlText w:val="●"/>
      <w:lvlJc w:val="left"/>
      <w:pPr>
        <w:ind w:left="720" w:hanging="360"/>
      </w:pPr>
    </w:lvl>
    <w:lvl w:ilvl="1" w:tplc="D222EB20">
      <w:start w:val="1"/>
      <w:numFmt w:val="bullet"/>
      <w:lvlText w:val="○"/>
      <w:lvlJc w:val="left"/>
      <w:pPr>
        <w:ind w:left="1440" w:hanging="360"/>
      </w:pPr>
    </w:lvl>
    <w:lvl w:ilvl="2" w:tplc="BE7E7F62">
      <w:start w:val="1"/>
      <w:numFmt w:val="bullet"/>
      <w:lvlText w:val="■"/>
      <w:lvlJc w:val="left"/>
      <w:pPr>
        <w:ind w:left="2160" w:hanging="360"/>
      </w:pPr>
    </w:lvl>
    <w:lvl w:ilvl="3" w:tplc="4DA2BC1E">
      <w:start w:val="1"/>
      <w:numFmt w:val="bullet"/>
      <w:lvlText w:val="●"/>
      <w:lvlJc w:val="left"/>
      <w:pPr>
        <w:ind w:left="2880" w:hanging="360"/>
      </w:pPr>
    </w:lvl>
    <w:lvl w:ilvl="4" w:tplc="5D4485FA">
      <w:start w:val="1"/>
      <w:numFmt w:val="bullet"/>
      <w:lvlText w:val="○"/>
      <w:lvlJc w:val="left"/>
      <w:pPr>
        <w:ind w:left="3600" w:hanging="360"/>
      </w:pPr>
    </w:lvl>
    <w:lvl w:ilvl="5" w:tplc="4E101E8A">
      <w:start w:val="1"/>
      <w:numFmt w:val="bullet"/>
      <w:lvlText w:val="■"/>
      <w:lvlJc w:val="left"/>
      <w:pPr>
        <w:ind w:left="4320" w:hanging="360"/>
      </w:pPr>
    </w:lvl>
    <w:lvl w:ilvl="6" w:tplc="EE98CC46">
      <w:start w:val="1"/>
      <w:numFmt w:val="bullet"/>
      <w:lvlText w:val="●"/>
      <w:lvlJc w:val="left"/>
      <w:pPr>
        <w:ind w:left="5040" w:hanging="360"/>
      </w:pPr>
    </w:lvl>
    <w:lvl w:ilvl="7" w:tplc="524C8936">
      <w:start w:val="1"/>
      <w:numFmt w:val="bullet"/>
      <w:lvlText w:val="●"/>
      <w:lvlJc w:val="left"/>
      <w:pPr>
        <w:ind w:left="5760" w:hanging="360"/>
      </w:pPr>
    </w:lvl>
    <w:lvl w:ilvl="8" w:tplc="3DA68BB4">
      <w:start w:val="1"/>
      <w:numFmt w:val="bullet"/>
      <w:lvlText w:val="●"/>
      <w:lvlJc w:val="left"/>
      <w:pPr>
        <w:ind w:left="6480" w:hanging="360"/>
      </w:pPr>
    </w:lvl>
  </w:abstractNum>
  <w:num w:numId="1" w16cid:durableId="1913924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4C"/>
    <w:rsid w:val="0005634C"/>
    <w:rsid w:val="00442E2E"/>
    <w:rsid w:val="0064401C"/>
    <w:rsid w:val="007230B6"/>
    <w:rsid w:val="00A9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66778"/>
  <w15:docId w15:val="{207AAC77-01AD-401F-9B77-29204820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Huang wei-Lung</cp:lastModifiedBy>
  <cp:revision>3</cp:revision>
  <dcterms:created xsi:type="dcterms:W3CDTF">2026-07-28T14:47:00Z</dcterms:created>
  <dcterms:modified xsi:type="dcterms:W3CDTF">2026-07-30T01:26:00Z</dcterms:modified>
</cp:coreProperties>
</file>