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740D2C" w14:textId="156B500E" w:rsidR="007E764F" w:rsidRPr="007F6645" w:rsidRDefault="007E764F" w:rsidP="007F6645">
      <w:pPr>
        <w:pStyle w:val="ListParagraph"/>
        <w:numPr>
          <w:ilvl w:val="0"/>
          <w:numId w:val="13"/>
        </w:numPr>
        <w:bidi w:val="0"/>
        <w:spacing w:before="120" w:after="120" w:line="360" w:lineRule="auto"/>
        <w:ind w:left="180"/>
        <w:rPr>
          <w:rFonts w:asciiTheme="majorBidi" w:hAnsiTheme="majorBidi" w:cstheme="majorBidi"/>
        </w:rPr>
      </w:pPr>
      <w:r w:rsidRPr="007F6645">
        <w:rPr>
          <w:rFonts w:asciiTheme="majorBidi" w:hAnsiTheme="majorBidi" w:cstheme="majorBidi"/>
          <w:b/>
          <w:bCs/>
        </w:rPr>
        <w:t>METHODOLOGY</w:t>
      </w:r>
    </w:p>
    <w:p w14:paraId="2745031A" w14:textId="08716F09" w:rsidR="00483C84" w:rsidRPr="007F6645" w:rsidRDefault="00483C84" w:rsidP="007F6645">
      <w:pPr>
        <w:pStyle w:val="ListParagraph"/>
        <w:numPr>
          <w:ilvl w:val="1"/>
          <w:numId w:val="13"/>
        </w:numPr>
        <w:bidi w:val="0"/>
        <w:spacing w:before="120" w:after="120" w:line="360" w:lineRule="auto"/>
        <w:ind w:left="540"/>
        <w:rPr>
          <w:rFonts w:ascii="Times New Roman" w:eastAsia="Times New Roman" w:hAnsi="Times New Roman" w:cs="Times New Roman"/>
          <w:b/>
          <w:bCs/>
        </w:rPr>
      </w:pPr>
      <w:r w:rsidRPr="007F6645">
        <w:rPr>
          <w:rFonts w:ascii="Times New Roman" w:eastAsia="Times New Roman" w:hAnsi="Times New Roman" w:cs="Times New Roman"/>
          <w:b/>
          <w:bCs/>
        </w:rPr>
        <w:t>Materials, reagents, suppliers, and lot/batch documentation</w:t>
      </w:r>
    </w:p>
    <w:p w14:paraId="1D94B5EB" w14:textId="6D13B80F" w:rsidR="00483C84" w:rsidRPr="007C2DFC" w:rsidRDefault="00483C84" w:rsidP="00AB46A5">
      <w:pPr>
        <w:spacing w:before="120" w:after="120" w:line="360" w:lineRule="auto"/>
        <w:ind w:left="-180" w:right="-334"/>
        <w:jc w:val="both"/>
        <w:rPr>
          <w:rFonts w:ascii="Times New Roman" w:eastAsia="Times New Roman" w:hAnsi="Times New Roman" w:cs="Times New Roman"/>
        </w:rPr>
      </w:pPr>
      <w:r w:rsidRPr="007C2DFC">
        <w:rPr>
          <w:rFonts w:ascii="Times New Roman" w:eastAsia="Times New Roman" w:hAnsi="Times New Roman" w:cs="Times New Roman"/>
        </w:rPr>
        <w:t xml:space="preserve">All the consumables and reagents were ordered through traceable suppliers and utilized within the mentioned shelf-life and storage conditions. The culture mediums of TM3 were recorded at the bottle level, such as supplier, catalog number, receipt date, temperature of storage, date of opening, and expiration. Media and buffers included DMEM/F-12 (Gibco, 11320033) and phosphate-buffered saline without calcium, magnesium, or phenol red (Gibco, 10010023). Serum supplements were documented under each lot and consisted of horse serum (Gibco, 16050122) and qualified fetal bovine serum (Gibco, 26140079). When supplementing with antibiotics as a routine maintenance, penicillin–streptomycin was recorded (Gibco, 15140122). Lots of tissue-culture plastics were written down, such as T-75 treated flasks (Thermo Scientific Nunc EasYFlask, 156499) and 96-well flat-bottom plates (Corning, 3595). Lot and batch number of each material used were entered into a locked study log at the point of use and compared to certificates of analysis or product labels in order to achieve full provenance of reagents. </w:t>
      </w:r>
    </w:p>
    <w:p w14:paraId="5FF5CFC8" w14:textId="34908E6D" w:rsidR="00AB46A5" w:rsidRPr="007F6645" w:rsidRDefault="00AB46A5" w:rsidP="007F6645">
      <w:pPr>
        <w:pStyle w:val="ListParagraph"/>
        <w:numPr>
          <w:ilvl w:val="1"/>
          <w:numId w:val="13"/>
        </w:numPr>
        <w:bidi w:val="0"/>
        <w:spacing w:before="120" w:after="120" w:line="360" w:lineRule="auto"/>
        <w:ind w:left="540"/>
        <w:rPr>
          <w:rFonts w:ascii="Times New Roman" w:eastAsia="Times New Roman" w:hAnsi="Times New Roman" w:cs="Times New Roman"/>
          <w:b/>
          <w:bCs/>
        </w:rPr>
      </w:pPr>
      <w:r w:rsidRPr="007F6645">
        <w:rPr>
          <w:rFonts w:ascii="Times New Roman" w:eastAsia="Times New Roman" w:hAnsi="Times New Roman" w:cs="Times New Roman"/>
          <w:b/>
          <w:bCs/>
        </w:rPr>
        <w:t>Biological Model Justification</w:t>
      </w:r>
    </w:p>
    <w:p w14:paraId="0CF080E2" w14:textId="569E6361" w:rsidR="00B24280" w:rsidRPr="006A111A" w:rsidRDefault="00AB46A5" w:rsidP="00B24280">
      <w:pPr>
        <w:pStyle w:val="ListParagraph"/>
        <w:widowControl w:val="0"/>
        <w:bidi w:val="0"/>
        <w:spacing w:after="120" w:line="360" w:lineRule="auto"/>
        <w:ind w:left="-180" w:right="-334"/>
        <w:jc w:val="both"/>
        <w:rPr>
          <w:rFonts w:ascii="Times New Roman" w:eastAsia="Times New Roman" w:hAnsi="Times New Roman" w:cs="Times New Roman"/>
          <w:lang w:eastAsia="en-AE"/>
        </w:rPr>
      </w:pPr>
      <w:r w:rsidRPr="00D83739">
        <w:rPr>
          <w:rFonts w:asciiTheme="majorBidi" w:hAnsiTheme="majorBidi" w:cstheme="majorBidi"/>
          <w:color w:val="1F1F1F"/>
        </w:rPr>
        <w:t xml:space="preserve">The TM3 mouse Leydig cell line, derived from the testis of immature BALB/c mice, serves as a robust, </w:t>
      </w:r>
      <w:r w:rsidRPr="00D83739">
        <w:rPr>
          <w:rFonts w:asciiTheme="majorBidi" w:hAnsiTheme="majorBidi" w:cstheme="majorBidi"/>
        </w:rPr>
        <w:t>well-</w:t>
      </w:r>
      <w:r w:rsidRPr="00D83739">
        <w:rPr>
          <w:rFonts w:ascii="Times New Roman" w:eastAsia="Times New Roman" w:hAnsi="Times New Roman" w:cs="Times New Roman"/>
          <w:lang w:eastAsia="en-AE"/>
        </w:rPr>
        <w:t xml:space="preserve"> established and </w:t>
      </w:r>
      <w:r w:rsidRPr="00D83739">
        <w:rPr>
          <w:rFonts w:asciiTheme="majorBidi" w:hAnsiTheme="majorBidi" w:cstheme="majorBidi"/>
        </w:rPr>
        <w:t xml:space="preserve">validated </w:t>
      </w:r>
      <w:r w:rsidRPr="00D83739">
        <w:rPr>
          <w:rFonts w:asciiTheme="majorBidi" w:hAnsiTheme="majorBidi" w:cstheme="majorBidi"/>
          <w:color w:val="1F1F1F"/>
        </w:rPr>
        <w:t xml:space="preserve">in vitro model for investigating male reproductive toxicology and endocrine disruption (Mather, 1980). TM3 cells are particularly valued for their </w:t>
      </w:r>
      <w:r w:rsidRPr="00D83739">
        <w:rPr>
          <w:rFonts w:asciiTheme="majorBidi" w:hAnsiTheme="majorBidi" w:cstheme="majorBidi"/>
        </w:rPr>
        <w:t xml:space="preserve">ability to maintain essential </w:t>
      </w:r>
      <w:r w:rsidRPr="00D83739">
        <w:rPr>
          <w:rFonts w:asciiTheme="majorBidi" w:hAnsiTheme="majorBidi" w:cstheme="majorBidi"/>
          <w:color w:val="1F1F1F"/>
        </w:rPr>
        <w:t>steroidogenic characteristics, allowing researchers to study the expression of key regul</w:t>
      </w:r>
      <w:r w:rsidR="007A2A13" w:rsidRPr="00D83739">
        <w:rPr>
          <w:rFonts w:asciiTheme="majorBidi" w:hAnsiTheme="majorBidi" w:cstheme="majorBidi"/>
          <w:color w:val="1F1F1F"/>
        </w:rPr>
        <w:t>atory proteins like beta-</w:t>
      </w:r>
      <w:r w:rsidR="00EC6136" w:rsidRPr="00D83739">
        <w:rPr>
          <w:rFonts w:asciiTheme="majorBidi" w:hAnsiTheme="majorBidi" w:cstheme="majorBidi"/>
          <w:color w:val="1F1F1F"/>
        </w:rPr>
        <w:t>h</w:t>
      </w:r>
      <w:r w:rsidRPr="00D83739">
        <w:rPr>
          <w:rFonts w:asciiTheme="majorBidi" w:hAnsiTheme="majorBidi" w:cstheme="majorBidi"/>
          <w:color w:val="1F1F1F"/>
        </w:rPr>
        <w:t>ydroxysteroid dehydrogenase (</w:t>
      </w:r>
      <w:r w:rsidR="002B679B" w:rsidRPr="00D83739">
        <w:rPr>
          <w:rFonts w:asciiTheme="majorBidi" w:hAnsiTheme="majorBidi" w:cstheme="majorBidi"/>
          <w:color w:val="1F1F1F"/>
        </w:rPr>
        <w:t>3</w:t>
      </w:r>
      <w:r w:rsidRPr="00D83739">
        <w:rPr>
          <w:rFonts w:asciiTheme="majorBidi" w:hAnsiTheme="majorBidi" w:cstheme="majorBidi"/>
          <w:color w:val="1F1F1F"/>
        </w:rPr>
        <w:t xml:space="preserve"> β-HSD), as well as the signaling pathways ( Nrf2) that mediate cellular responses to oxidative stress (</w:t>
      </w:r>
      <w:r w:rsidR="00200800" w:rsidRPr="00D83739">
        <w:rPr>
          <w:rFonts w:asciiTheme="majorBidi" w:hAnsiTheme="majorBidi" w:cstheme="majorBidi"/>
          <w:color w:val="1F1F1F"/>
        </w:rPr>
        <w:t xml:space="preserve">Lui et al., 2024, </w:t>
      </w:r>
      <w:r w:rsidRPr="00D83739">
        <w:rPr>
          <w:rFonts w:asciiTheme="majorBidi" w:hAnsiTheme="majorBidi" w:cstheme="majorBidi"/>
          <w:color w:val="1F1F1F"/>
        </w:rPr>
        <w:t xml:space="preserve">Shi et al., 2022). Furthermore, the high conservation of these core steroidogenic pathways across species </w:t>
      </w:r>
      <w:r w:rsidRPr="00D83739">
        <w:rPr>
          <w:rFonts w:ascii="Times New Roman" w:eastAsia="Times New Roman" w:hAnsi="Times New Roman" w:cs="Times New Roman"/>
          <w:lang w:eastAsia="en-AE"/>
        </w:rPr>
        <w:t>and developmental stages</w:t>
      </w:r>
      <w:r w:rsidRPr="00D83739">
        <w:rPr>
          <w:rFonts w:asciiTheme="majorBidi" w:hAnsiTheme="majorBidi" w:cstheme="majorBidi"/>
          <w:color w:val="1F1F1F"/>
        </w:rPr>
        <w:t xml:space="preserve"> justifies using this immature murine line as a reliable mechanistic proxy for studying reproductive toxicity</w:t>
      </w:r>
      <w:r w:rsidR="00200800" w:rsidRPr="00D83739">
        <w:rPr>
          <w:rFonts w:asciiTheme="majorBidi" w:hAnsiTheme="majorBidi" w:cstheme="majorBidi"/>
          <w:color w:val="1F1F1F"/>
        </w:rPr>
        <w:t xml:space="preserve"> (</w:t>
      </w:r>
      <w:r w:rsidR="00200800" w:rsidRPr="00D83739">
        <w:rPr>
          <w:rFonts w:asciiTheme="majorBidi" w:hAnsiTheme="majorBidi" w:cstheme="majorBidi"/>
        </w:rPr>
        <w:t>Huang et al., 2023).</w:t>
      </w:r>
      <w:r w:rsidRPr="006A111A">
        <w:rPr>
          <w:rFonts w:ascii="Times New Roman" w:eastAsia="Times New Roman" w:hAnsi="Times New Roman" w:cs="Times New Roman"/>
          <w:lang w:eastAsia="en-AE"/>
        </w:rPr>
        <w:t xml:space="preserve"> </w:t>
      </w:r>
    </w:p>
    <w:p w14:paraId="6D025F8F" w14:textId="0F04CACA" w:rsidR="00AB46A5" w:rsidRPr="006A111A" w:rsidRDefault="00AB46A5" w:rsidP="007F6645">
      <w:pPr>
        <w:pStyle w:val="ListParagraph"/>
        <w:widowControl w:val="0"/>
        <w:bidi w:val="0"/>
        <w:spacing w:after="120" w:line="360" w:lineRule="auto"/>
        <w:ind w:left="-187" w:right="-331"/>
        <w:jc w:val="both"/>
        <w:rPr>
          <w:rFonts w:asciiTheme="majorBidi" w:hAnsiTheme="majorBidi" w:cstheme="majorBidi"/>
          <w:color w:val="1F1F1F"/>
        </w:rPr>
      </w:pPr>
      <w:r w:rsidRPr="00D83739">
        <w:rPr>
          <w:rFonts w:ascii="Times New Roman" w:eastAsia="Times New Roman" w:hAnsi="Times New Roman" w:cs="Times New Roman"/>
          <w:lang w:eastAsia="en-AE"/>
        </w:rPr>
        <w:t xml:space="preserve">Previous studies have successfully utilized TM3 cells to predict nanoplastics-induced reproductive toxicity that was subsequently mirrored in adult </w:t>
      </w:r>
      <w:r w:rsidRPr="00D83739">
        <w:rPr>
          <w:rFonts w:ascii="Times New Roman" w:eastAsia="Times New Roman" w:hAnsi="Times New Roman" w:cs="Times New Roman"/>
          <w:i/>
          <w:iCs/>
          <w:lang w:eastAsia="en-AE"/>
        </w:rPr>
        <w:t>in vivo</w:t>
      </w:r>
      <w:r w:rsidRPr="00D83739">
        <w:rPr>
          <w:rFonts w:ascii="Times New Roman" w:eastAsia="Times New Roman" w:hAnsi="Times New Roman" w:cs="Times New Roman"/>
          <w:lang w:eastAsia="en-AE"/>
        </w:rPr>
        <w:t xml:space="preserve"> models, confirming the line's predictive value in hazard identification </w:t>
      </w:r>
      <w:r w:rsidRPr="00D83739">
        <w:rPr>
          <w:rFonts w:asciiTheme="majorBidi" w:hAnsiTheme="majorBidi" w:cstheme="majorBidi"/>
          <w:color w:val="1F1F1F"/>
        </w:rPr>
        <w:t>(</w:t>
      </w:r>
      <w:r w:rsidR="00200800" w:rsidRPr="00D83739">
        <w:rPr>
          <w:rFonts w:asciiTheme="majorBidi" w:hAnsiTheme="majorBidi" w:cstheme="majorBidi"/>
        </w:rPr>
        <w:t xml:space="preserve">Alaraby et al., 2025, </w:t>
      </w:r>
      <w:r w:rsidR="00B24280" w:rsidRPr="00D83739">
        <w:rPr>
          <w:rFonts w:asciiTheme="majorBidi" w:hAnsiTheme="majorBidi" w:cstheme="majorBidi"/>
          <w:color w:val="1F1F1F"/>
        </w:rPr>
        <w:t>Sui et al., 2023</w:t>
      </w:r>
      <w:r w:rsidRPr="00D83739">
        <w:rPr>
          <w:rFonts w:asciiTheme="majorBidi" w:hAnsiTheme="majorBidi" w:cstheme="majorBidi"/>
          <w:color w:val="1F1F1F"/>
        </w:rPr>
        <w:t xml:space="preserve">). Additionally, TM3 cells provide a </w:t>
      </w:r>
      <w:r w:rsidRPr="00D83739">
        <w:rPr>
          <w:rFonts w:asciiTheme="majorBidi" w:hAnsiTheme="majorBidi" w:cstheme="majorBidi"/>
        </w:rPr>
        <w:t xml:space="preserve">reliable </w:t>
      </w:r>
      <w:r w:rsidRPr="00D83739">
        <w:rPr>
          <w:rFonts w:asciiTheme="majorBidi" w:hAnsiTheme="majorBidi" w:cstheme="majorBidi"/>
          <w:color w:val="1F1F1F"/>
        </w:rPr>
        <w:t xml:space="preserve">platform for validating the bioactivity of natural flavonoids like tangeretin, which has been shown to modulate the </w:t>
      </w:r>
      <w:r w:rsidR="0002119B" w:rsidRPr="00D83739">
        <w:rPr>
          <w:rFonts w:asciiTheme="majorBidi" w:hAnsiTheme="majorBidi" w:cstheme="majorBidi"/>
          <w:color w:val="1F1F1F"/>
        </w:rPr>
        <w:t>Keap1 /</w:t>
      </w:r>
      <w:r w:rsidRPr="00D83739">
        <w:rPr>
          <w:rFonts w:asciiTheme="majorBidi" w:hAnsiTheme="majorBidi" w:cstheme="majorBidi"/>
          <w:color w:val="1F1F1F"/>
        </w:rPr>
        <w:t>Nrf2 signaling pathway to restore redox homeostasis and preserve cellular integrity under toxicological challenge (Shi et al., 2022).  Consequently, the use of TM3 cells in this study allows for a refined mechanistic resolution of PSNP-induced Leydig cell injury and provides an essential biological framework to validate target engagement identified through molecular docking.</w:t>
      </w:r>
    </w:p>
    <w:p w14:paraId="58904850" w14:textId="423C6017" w:rsidR="00AB46A5" w:rsidRPr="007F6645" w:rsidRDefault="00AB46A5" w:rsidP="007F6645">
      <w:pPr>
        <w:pStyle w:val="ListParagraph"/>
        <w:numPr>
          <w:ilvl w:val="1"/>
          <w:numId w:val="13"/>
        </w:numPr>
        <w:bidi w:val="0"/>
        <w:spacing w:before="120" w:after="120" w:line="360" w:lineRule="auto"/>
        <w:ind w:left="547"/>
        <w:rPr>
          <w:rFonts w:ascii="Times New Roman" w:eastAsia="Times New Roman" w:hAnsi="Times New Roman" w:cs="Times New Roman"/>
          <w:b/>
          <w:bCs/>
        </w:rPr>
      </w:pPr>
      <w:r w:rsidRPr="007F6645">
        <w:rPr>
          <w:rFonts w:ascii="Times New Roman" w:eastAsia="Times New Roman" w:hAnsi="Times New Roman" w:cs="Times New Roman"/>
          <w:b/>
          <w:bCs/>
        </w:rPr>
        <w:t>Dose Selection and Mechanistic Rationale</w:t>
      </w:r>
    </w:p>
    <w:p w14:paraId="4F207165" w14:textId="35C292E6" w:rsidR="00AB46A5" w:rsidRPr="007F6645" w:rsidRDefault="00AB46A5" w:rsidP="007F6645">
      <w:pPr>
        <w:pStyle w:val="Heading3"/>
        <w:numPr>
          <w:ilvl w:val="2"/>
          <w:numId w:val="13"/>
        </w:numPr>
        <w:spacing w:before="120" w:beforeAutospacing="0" w:after="120" w:afterAutospacing="0" w:line="360" w:lineRule="auto"/>
        <w:rPr>
          <w:sz w:val="22"/>
          <w:szCs w:val="22"/>
        </w:rPr>
      </w:pPr>
      <w:r w:rsidRPr="007F6645">
        <w:rPr>
          <w:sz w:val="22"/>
          <w:szCs w:val="22"/>
        </w:rPr>
        <w:t>PSNP exposure concentration</w:t>
      </w:r>
    </w:p>
    <w:p w14:paraId="0FE7E38D" w14:textId="4EDCE2C2" w:rsidR="00EC6136" w:rsidRPr="006A111A" w:rsidRDefault="00AB46A5" w:rsidP="006A111A">
      <w:pPr>
        <w:pStyle w:val="NormalWeb"/>
        <w:widowControl w:val="0"/>
        <w:spacing w:before="0" w:beforeAutospacing="0" w:after="120" w:afterAutospacing="0" w:line="360" w:lineRule="auto"/>
        <w:ind w:left="-187"/>
        <w:jc w:val="both"/>
        <w:rPr>
          <w:sz w:val="22"/>
          <w:szCs w:val="22"/>
        </w:rPr>
      </w:pPr>
      <w:r w:rsidRPr="006A111A">
        <w:rPr>
          <w:sz w:val="22"/>
          <w:szCs w:val="22"/>
        </w:rPr>
        <w:t xml:space="preserve">Relating </w:t>
      </w:r>
      <w:r w:rsidRPr="006A111A">
        <w:rPr>
          <w:i/>
          <w:iCs/>
          <w:sz w:val="22"/>
          <w:szCs w:val="22"/>
        </w:rPr>
        <w:t>in vitro</w:t>
      </w:r>
      <w:r w:rsidRPr="006A111A">
        <w:rPr>
          <w:sz w:val="22"/>
          <w:szCs w:val="22"/>
        </w:rPr>
        <w:t xml:space="preserve"> concentrations to human exposure remains a challenge in nanotoxicology; however, the dose</w:t>
      </w:r>
      <w:r w:rsidRPr="006A111A">
        <w:rPr>
          <w:b/>
          <w:bCs/>
          <w:i/>
          <w:iCs/>
          <w:sz w:val="22"/>
          <w:szCs w:val="22"/>
        </w:rPr>
        <w:t xml:space="preserve"> </w:t>
      </w:r>
      <w:r w:rsidRPr="006A111A">
        <w:rPr>
          <w:sz w:val="22"/>
          <w:szCs w:val="22"/>
        </w:rPr>
        <w:t xml:space="preserve">selected for this study was guided by a triangulation of ecological relevance, mechanistic sensitivity and toxicokinetic probability. While environmental concentrations in aqueous matrices vary significantly, </w:t>
      </w:r>
      <w:r w:rsidRPr="006A111A">
        <w:rPr>
          <w:sz w:val="22"/>
          <w:szCs w:val="22"/>
        </w:rPr>
        <w:lastRenderedPageBreak/>
        <w:t xml:space="preserve">the transition from external exposure to internal tissue burden remains a critical factor in risk assessment. Consequently, we selected </w:t>
      </w:r>
      <w:r w:rsidRPr="006A111A">
        <w:rPr>
          <w:b/>
          <w:bCs/>
          <w:i/>
          <w:iCs/>
          <w:sz w:val="22"/>
          <w:szCs w:val="22"/>
        </w:rPr>
        <w:t>50 µg/mL</w:t>
      </w:r>
      <w:r w:rsidRPr="006A111A">
        <w:rPr>
          <w:sz w:val="22"/>
          <w:szCs w:val="22"/>
        </w:rPr>
        <w:t xml:space="preserve"> as our working concentration, as it reflects a </w:t>
      </w:r>
      <w:r w:rsidRPr="006A111A">
        <w:rPr>
          <w:b/>
          <w:bCs/>
          <w:i/>
          <w:iCs/>
          <w:sz w:val="22"/>
          <w:szCs w:val="22"/>
        </w:rPr>
        <w:t>conservative upper-bound concentration intended to simulate cumulative localized tissue burden.</w:t>
      </w:r>
      <w:r w:rsidR="00EC6136" w:rsidRPr="006A111A">
        <w:rPr>
          <w:sz w:val="22"/>
          <w:szCs w:val="22"/>
        </w:rPr>
        <w:t xml:space="preserve"> This selection is supported by three primary considerations:</w:t>
      </w:r>
    </w:p>
    <w:p w14:paraId="58E5C34B" w14:textId="64FD720C" w:rsidR="00AB46A5" w:rsidRPr="000A5344" w:rsidRDefault="00AB46A5" w:rsidP="00AB46A5">
      <w:pPr>
        <w:pStyle w:val="NormalWeb"/>
        <w:numPr>
          <w:ilvl w:val="0"/>
          <w:numId w:val="1"/>
        </w:numPr>
        <w:tabs>
          <w:tab w:val="clear" w:pos="720"/>
          <w:tab w:val="num" w:pos="990"/>
        </w:tabs>
        <w:spacing w:before="0" w:beforeAutospacing="0" w:after="120" w:afterAutospacing="0" w:line="360" w:lineRule="auto"/>
        <w:ind w:left="180" w:right="-331"/>
        <w:jc w:val="both"/>
        <w:rPr>
          <w:sz w:val="22"/>
          <w:szCs w:val="22"/>
        </w:rPr>
      </w:pPr>
      <w:r w:rsidRPr="000A5344">
        <w:rPr>
          <w:b/>
          <w:bCs/>
          <w:sz w:val="22"/>
          <w:szCs w:val="22"/>
        </w:rPr>
        <w:t>Bioaccumulation Logic:</w:t>
      </w:r>
      <w:r w:rsidRPr="000A5344">
        <w:rPr>
          <w:sz w:val="22"/>
          <w:szCs w:val="22"/>
        </w:rPr>
        <w:t xml:space="preserve"> Unlike soluble chemicals, nanoplastics are characterized by high bio- persistence, bioaccumulation and long biological half-lives. While acute daily intake may be lower, the high surface-area-to-volume ratio of PSNPs facilitates their translocation across biological barriers and subsequent sequestration within the lipid-rich interstitial space of the testes. Thus, 50 µg/mL serves as a "stress-test" surrogate for the long-term, cumulative internal dose reaching the Leydig cells (Prata et al., 2020; Senathirajah et al., 2021) which is a standard approach for establishing biological plausib</w:t>
      </w:r>
      <w:r w:rsidR="0071101C" w:rsidRPr="000A5344">
        <w:rPr>
          <w:sz w:val="22"/>
          <w:szCs w:val="22"/>
        </w:rPr>
        <w:t>ility in hazard identification</w:t>
      </w:r>
      <w:r w:rsidRPr="000A5344">
        <w:rPr>
          <w:sz w:val="22"/>
          <w:szCs w:val="22"/>
        </w:rPr>
        <w:t>.</w:t>
      </w:r>
    </w:p>
    <w:p w14:paraId="0181EB64" w14:textId="0B45E217" w:rsidR="00AB46A5" w:rsidRPr="000A5344" w:rsidRDefault="00AB46A5" w:rsidP="0071101C">
      <w:pPr>
        <w:pStyle w:val="NormalWeb"/>
        <w:widowControl w:val="0"/>
        <w:numPr>
          <w:ilvl w:val="0"/>
          <w:numId w:val="1"/>
        </w:numPr>
        <w:tabs>
          <w:tab w:val="clear" w:pos="720"/>
          <w:tab w:val="num" w:pos="900"/>
        </w:tabs>
        <w:spacing w:before="0" w:beforeAutospacing="0" w:after="120" w:afterAutospacing="0" w:line="360" w:lineRule="auto"/>
        <w:ind w:left="173" w:right="-331"/>
        <w:jc w:val="both"/>
        <w:rPr>
          <w:sz w:val="22"/>
          <w:szCs w:val="22"/>
        </w:rPr>
      </w:pPr>
      <w:r w:rsidRPr="000A5344">
        <w:rPr>
          <w:b/>
          <w:bCs/>
          <w:sz w:val="22"/>
          <w:szCs w:val="22"/>
        </w:rPr>
        <w:t>Mechanistic Sensitivity (LOEL):</w:t>
      </w:r>
      <w:r w:rsidRPr="000A5344">
        <w:rPr>
          <w:sz w:val="22"/>
          <w:szCs w:val="22"/>
        </w:rPr>
        <w:t xml:space="preserve"> In accordance with multiple prior in vitro frequently employed dose in peer-reviewed PSNP studies (</w:t>
      </w:r>
      <w:r w:rsidR="00200800" w:rsidRPr="000A5344">
        <w:rPr>
          <w:rFonts w:asciiTheme="majorBidi" w:hAnsiTheme="majorBidi" w:cstheme="majorBidi"/>
          <w:sz w:val="22"/>
          <w:szCs w:val="22"/>
        </w:rPr>
        <w:t xml:space="preserve">Banerjee et al., 2021, </w:t>
      </w:r>
      <w:r w:rsidRPr="000A5344">
        <w:rPr>
          <w:sz w:val="22"/>
          <w:szCs w:val="22"/>
        </w:rPr>
        <w:t xml:space="preserve"> Sun</w:t>
      </w:r>
      <w:r w:rsidR="0071101C" w:rsidRPr="000A5344">
        <w:rPr>
          <w:sz w:val="22"/>
          <w:szCs w:val="22"/>
        </w:rPr>
        <w:t xml:space="preserve"> et al., 2023</w:t>
      </w:r>
      <w:r w:rsidRPr="000A5344">
        <w:rPr>
          <w:sz w:val="22"/>
          <w:szCs w:val="22"/>
        </w:rPr>
        <w:t xml:space="preserve">), 50 µg/mL represents the </w:t>
      </w:r>
      <w:r w:rsidRPr="000A5344">
        <w:rPr>
          <w:b/>
          <w:bCs/>
          <w:i/>
          <w:iCs/>
          <w:sz w:val="22"/>
          <w:szCs w:val="22"/>
        </w:rPr>
        <w:t>Lowest Observed Effect Level (LOEL)</w:t>
      </w:r>
      <w:r w:rsidRPr="000A5344">
        <w:rPr>
          <w:sz w:val="22"/>
          <w:szCs w:val="22"/>
        </w:rPr>
        <w:t xml:space="preserve"> at which robust pathway perturbations—specifically NOX4-mediated oxidative stress and steroidogenic enzyme inhibition—consistently manifest in TM3 models without inducing non-specific, overwhelming cytotoxicity.</w:t>
      </w:r>
    </w:p>
    <w:p w14:paraId="70301851" w14:textId="09BB24F0" w:rsidR="00AB46A5" w:rsidRPr="006A111A" w:rsidRDefault="00AB46A5" w:rsidP="00AB46A5">
      <w:pPr>
        <w:pStyle w:val="NormalWeb"/>
        <w:widowControl w:val="0"/>
        <w:numPr>
          <w:ilvl w:val="0"/>
          <w:numId w:val="1"/>
        </w:numPr>
        <w:tabs>
          <w:tab w:val="clear" w:pos="720"/>
          <w:tab w:val="num" w:pos="900"/>
        </w:tabs>
        <w:spacing w:before="0" w:beforeAutospacing="0" w:after="120" w:afterAutospacing="0" w:line="360" w:lineRule="auto"/>
        <w:ind w:left="180" w:right="-331"/>
        <w:jc w:val="both"/>
        <w:rPr>
          <w:sz w:val="22"/>
          <w:szCs w:val="22"/>
        </w:rPr>
      </w:pPr>
      <w:r w:rsidRPr="006A111A">
        <w:rPr>
          <w:b/>
          <w:bCs/>
          <w:sz w:val="22"/>
          <w:szCs w:val="22"/>
        </w:rPr>
        <w:t>Pathway Interrogation:</w:t>
      </w:r>
      <w:r w:rsidRPr="006A111A">
        <w:rPr>
          <w:sz w:val="22"/>
          <w:szCs w:val="22"/>
        </w:rPr>
        <w:t xml:space="preserve"> To move beyond descriptive toxicity, a concentration must be sufficient to trigger measurable changes in the </w:t>
      </w:r>
      <w:r w:rsidRPr="00766849">
        <w:rPr>
          <w:sz w:val="22"/>
          <w:szCs w:val="22"/>
        </w:rPr>
        <w:t>Nrf2</w:t>
      </w:r>
      <w:r w:rsidR="00FA2717" w:rsidRPr="006A111A">
        <w:rPr>
          <w:b/>
          <w:bCs/>
          <w:sz w:val="22"/>
          <w:szCs w:val="22"/>
        </w:rPr>
        <w:t xml:space="preserve"> </w:t>
      </w:r>
      <w:r w:rsidR="00FA2717" w:rsidRPr="006A111A">
        <w:rPr>
          <w:sz w:val="22"/>
          <w:szCs w:val="22"/>
        </w:rPr>
        <w:t>pathway</w:t>
      </w:r>
      <w:r w:rsidRPr="006A111A">
        <w:rPr>
          <w:sz w:val="22"/>
          <w:szCs w:val="22"/>
        </w:rPr>
        <w:t>. Pilot viability assays were conducted to ensure this dose resides within a mechanistic "window"—high enough to activate signaling cascades for Adverse Outcome Pathway (AOP) mapping, yet low enough to avoid the supra-physiological artifacts associated with necrotic cell death.</w:t>
      </w:r>
    </w:p>
    <w:p w14:paraId="0021D617" w14:textId="6F261AB2" w:rsidR="00AB46A5" w:rsidRPr="00792469" w:rsidRDefault="00AB46A5" w:rsidP="00AB46A5">
      <w:pPr>
        <w:pStyle w:val="NormalWeb"/>
        <w:spacing w:before="0" w:beforeAutospacing="0" w:after="0" w:afterAutospacing="0" w:line="360" w:lineRule="auto"/>
        <w:ind w:left="-187" w:right="-331"/>
        <w:jc w:val="both"/>
        <w:rPr>
          <w:rFonts w:asciiTheme="majorBidi" w:eastAsiaTheme="minorHAnsi" w:hAnsiTheme="majorBidi" w:cstheme="majorBidi"/>
          <w:color w:val="1F1F1F"/>
          <w:sz w:val="22"/>
          <w:szCs w:val="22"/>
          <w:lang w:val="en-US" w:eastAsia="en-US"/>
        </w:rPr>
      </w:pPr>
      <w:r w:rsidRPr="006A111A">
        <w:rPr>
          <w:sz w:val="22"/>
          <w:szCs w:val="22"/>
        </w:rPr>
        <w:t xml:space="preserve">By positioning the dose as an </w:t>
      </w:r>
      <w:r w:rsidRPr="006A111A">
        <w:rPr>
          <w:b/>
          <w:bCs/>
          <w:i/>
          <w:iCs/>
          <w:sz w:val="22"/>
          <w:szCs w:val="22"/>
        </w:rPr>
        <w:t>upper-bound cumulative burden</w:t>
      </w:r>
      <w:r w:rsidRPr="006A111A">
        <w:rPr>
          <w:sz w:val="22"/>
          <w:szCs w:val="22"/>
        </w:rPr>
        <w:t xml:space="preserve">, </w:t>
      </w:r>
      <w:r w:rsidRPr="00792469">
        <w:rPr>
          <w:rFonts w:asciiTheme="majorBidi" w:eastAsiaTheme="minorHAnsi" w:hAnsiTheme="majorBidi" w:cstheme="majorBidi"/>
          <w:color w:val="1F1F1F"/>
          <w:sz w:val="22"/>
          <w:szCs w:val="22"/>
          <w:lang w:val="en-US" w:eastAsia="en-US"/>
        </w:rPr>
        <w:t>this study ensures high mechanistic resolution while maintaining biological plausibility for chronic exposure scenarios</w:t>
      </w:r>
      <w:r w:rsidR="00792469" w:rsidRPr="00792469">
        <w:rPr>
          <w:rFonts w:asciiTheme="majorBidi" w:eastAsiaTheme="minorHAnsi" w:hAnsiTheme="majorBidi" w:cstheme="majorBidi"/>
          <w:color w:val="1F1F1F"/>
          <w:sz w:val="22"/>
          <w:szCs w:val="22"/>
          <w:lang w:val="en-US" w:eastAsia="en-US"/>
        </w:rPr>
        <w:t xml:space="preserve"> i.e. to guarantee robust, reproducible downstream activation of oxidative stress and steroidogenic impairment.</w:t>
      </w:r>
    </w:p>
    <w:p w14:paraId="2D1ED658" w14:textId="1E1AD817" w:rsidR="00AB46A5" w:rsidRPr="007F6645" w:rsidRDefault="00AB46A5" w:rsidP="007F6645">
      <w:pPr>
        <w:pStyle w:val="Heading3"/>
        <w:numPr>
          <w:ilvl w:val="2"/>
          <w:numId w:val="13"/>
        </w:numPr>
        <w:spacing w:before="120" w:beforeAutospacing="0" w:after="120" w:afterAutospacing="0" w:line="360" w:lineRule="auto"/>
        <w:rPr>
          <w:sz w:val="22"/>
          <w:szCs w:val="22"/>
        </w:rPr>
      </w:pPr>
      <w:r w:rsidRPr="007F6645">
        <w:rPr>
          <w:sz w:val="22"/>
          <w:szCs w:val="22"/>
        </w:rPr>
        <w:t>Tangeretin Dose Gradient</w:t>
      </w:r>
    </w:p>
    <w:p w14:paraId="3C5AD06A" w14:textId="02FA598A" w:rsidR="00655E65" w:rsidRPr="006A111A" w:rsidRDefault="00AB46A5" w:rsidP="001B70CE">
      <w:pPr>
        <w:pStyle w:val="NormalWeb"/>
        <w:spacing w:before="0" w:beforeAutospacing="0" w:after="120" w:afterAutospacing="0" w:line="360" w:lineRule="auto"/>
        <w:ind w:left="-187" w:right="-334"/>
        <w:jc w:val="both"/>
        <w:rPr>
          <w:sz w:val="22"/>
          <w:szCs w:val="22"/>
        </w:rPr>
      </w:pPr>
      <w:r w:rsidRPr="008F1424">
        <w:rPr>
          <w:sz w:val="22"/>
          <w:szCs w:val="22"/>
        </w:rPr>
        <w:t xml:space="preserve">The selection of Tangeretin (TAN) concentrations was designed to encompass a </w:t>
      </w:r>
      <w:r w:rsidRPr="008F1424">
        <w:rPr>
          <w:b/>
          <w:bCs/>
          <w:i/>
          <w:iCs/>
          <w:sz w:val="22"/>
          <w:szCs w:val="22"/>
        </w:rPr>
        <w:t>"mechanistic window"</w:t>
      </w:r>
      <w:r w:rsidRPr="008F1424">
        <w:rPr>
          <w:sz w:val="22"/>
          <w:szCs w:val="22"/>
        </w:rPr>
        <w:t xml:space="preserve"> that spans from the threshold of antioxidant signaling activation to the upper limits of non-cytotoxic pharmacological efficacy. Based on pilot viability assays and established pharmacokinetic profiles of polymethoxylated flavones (PMFs), we selected a dose-response gradient of </w:t>
      </w:r>
      <w:r w:rsidRPr="008F1424">
        <w:rPr>
          <w:rStyle w:val="math-inline"/>
          <w:b/>
          <w:bCs/>
          <w:sz w:val="22"/>
          <w:szCs w:val="22"/>
        </w:rPr>
        <w:t>10</w:t>
      </w:r>
      <w:r w:rsidRPr="008F1424">
        <w:rPr>
          <w:sz w:val="22"/>
          <w:szCs w:val="22"/>
        </w:rPr>
        <w:t xml:space="preserve">, </w:t>
      </w:r>
      <w:r w:rsidRPr="008F1424">
        <w:rPr>
          <w:rStyle w:val="math-inline"/>
          <w:b/>
          <w:bCs/>
          <w:sz w:val="22"/>
          <w:szCs w:val="22"/>
        </w:rPr>
        <w:t>20</w:t>
      </w:r>
      <w:r w:rsidRPr="008F1424">
        <w:rPr>
          <w:sz w:val="22"/>
          <w:szCs w:val="22"/>
        </w:rPr>
        <w:t xml:space="preserve">, and </w:t>
      </w:r>
      <w:r w:rsidRPr="008F1424">
        <w:rPr>
          <w:rStyle w:val="math-inline"/>
          <w:b/>
          <w:bCs/>
          <w:sz w:val="22"/>
          <w:szCs w:val="22"/>
        </w:rPr>
        <w:t xml:space="preserve">40 µM </w:t>
      </w:r>
      <w:r w:rsidRPr="008F1424">
        <w:rPr>
          <w:rStyle w:val="math-inline"/>
          <w:sz w:val="22"/>
          <w:szCs w:val="22"/>
        </w:rPr>
        <w:t>(</w:t>
      </w:r>
      <w:r w:rsidR="0071101C" w:rsidRPr="008F1424">
        <w:rPr>
          <w:rStyle w:val="math-inline"/>
          <w:sz w:val="22"/>
          <w:szCs w:val="22"/>
        </w:rPr>
        <w:t>GV</w:t>
      </w:r>
      <w:r w:rsidRPr="008F1424">
        <w:rPr>
          <w:rStyle w:val="math-inline"/>
          <w:sz w:val="22"/>
          <w:szCs w:val="22"/>
        </w:rPr>
        <w:t xml:space="preserve"> et</w:t>
      </w:r>
      <w:r w:rsidR="0071101C" w:rsidRPr="008F1424">
        <w:rPr>
          <w:sz w:val="22"/>
          <w:szCs w:val="22"/>
        </w:rPr>
        <w:t xml:space="preserve"> al., 2023</w:t>
      </w:r>
      <w:r w:rsidRPr="008F1424">
        <w:rPr>
          <w:sz w:val="22"/>
          <w:szCs w:val="22"/>
        </w:rPr>
        <w:t>).</w:t>
      </w:r>
      <w:r w:rsidR="00655E65" w:rsidRPr="008F1424">
        <w:rPr>
          <w:sz w:val="22"/>
          <w:szCs w:val="22"/>
        </w:rPr>
        <w:t xml:space="preserve"> This range is robustly justified by the following toxicological principles:</w:t>
      </w:r>
    </w:p>
    <w:p w14:paraId="4ED4996E" w14:textId="1C760A05" w:rsidR="00AB46A5" w:rsidRPr="008F1424" w:rsidRDefault="00AB46A5" w:rsidP="000F61E3">
      <w:pPr>
        <w:pStyle w:val="ListParagraph"/>
        <w:widowControl w:val="0"/>
        <w:numPr>
          <w:ilvl w:val="0"/>
          <w:numId w:val="2"/>
        </w:numPr>
        <w:tabs>
          <w:tab w:val="clear" w:pos="720"/>
          <w:tab w:val="num" w:pos="900"/>
        </w:tabs>
        <w:bidi w:val="0"/>
        <w:spacing w:before="120" w:after="120" w:line="360" w:lineRule="auto"/>
        <w:ind w:left="173" w:right="-331"/>
        <w:jc w:val="both"/>
        <w:rPr>
          <w:rFonts w:ascii="Times New Roman" w:eastAsia="Times New Roman" w:hAnsi="Times New Roman" w:cs="Times New Roman"/>
          <w:lang w:eastAsia="en-AE"/>
        </w:rPr>
      </w:pPr>
      <w:r w:rsidRPr="008F1424">
        <w:rPr>
          <w:rFonts w:ascii="Times New Roman" w:eastAsia="Times New Roman" w:hAnsi="Times New Roman" w:cs="Times New Roman"/>
          <w:b/>
          <w:bCs/>
          <w:i/>
          <w:iCs/>
          <w:lang w:eastAsia="en-AE"/>
        </w:rPr>
        <w:t>Establishment of a Pharmacological Gradient:</w:t>
      </w:r>
      <w:r w:rsidRPr="008F1424">
        <w:rPr>
          <w:rFonts w:ascii="Times New Roman" w:eastAsia="Times New Roman" w:hAnsi="Times New Roman" w:cs="Times New Roman"/>
          <w:lang w:eastAsia="en-AE"/>
        </w:rPr>
        <w:t xml:space="preserve"> By utilizing a doubling dose sequence (10 →20 →40 </w:t>
      </w:r>
      <w:r w:rsidRPr="008F1424">
        <w:rPr>
          <w:rStyle w:val="math-inline"/>
          <w:rFonts w:asciiTheme="majorBidi" w:hAnsiTheme="majorBidi" w:cstheme="majorBidi"/>
        </w:rPr>
        <w:t>µM</w:t>
      </w:r>
      <w:r w:rsidRPr="008F1424">
        <w:rPr>
          <w:rFonts w:ascii="Times New Roman" w:eastAsia="Times New Roman" w:hAnsi="Times New Roman" w:cs="Times New Roman"/>
          <w:lang w:eastAsia="en-AE"/>
        </w:rPr>
        <w:t xml:space="preserve">), we aim to define the </w:t>
      </w:r>
      <w:r w:rsidRPr="008F1424">
        <w:rPr>
          <w:rFonts w:ascii="Times New Roman" w:eastAsia="Times New Roman" w:hAnsi="Times New Roman" w:cs="Times New Roman"/>
          <w:b/>
          <w:bCs/>
          <w:i/>
          <w:iCs/>
          <w:lang w:eastAsia="en-AE"/>
        </w:rPr>
        <w:t>dose-response relationship</w:t>
      </w:r>
      <w:r w:rsidRPr="008F1424">
        <w:rPr>
          <w:rFonts w:ascii="Times New Roman" w:eastAsia="Times New Roman" w:hAnsi="Times New Roman" w:cs="Times New Roman"/>
          <w:lang w:eastAsia="en-AE"/>
        </w:rPr>
        <w:t xml:space="preserve"> of TAN-mediated protection. This range is consistent with established protocols for evaluating the dose-dependent ameliorative effects of citrus flavonoids on cellular redox systems and steroidogenic enzymes in reproductive models </w:t>
      </w:r>
      <w:r w:rsidR="009D7951" w:rsidRPr="008F1424">
        <w:rPr>
          <w:rFonts w:ascii="Times New Roman" w:eastAsia="Times New Roman" w:hAnsi="Times New Roman" w:cs="Times New Roman"/>
          <w:lang w:eastAsia="en-AE"/>
        </w:rPr>
        <w:t>(LV et al., 2023</w:t>
      </w:r>
      <w:r w:rsidRPr="008F1424">
        <w:rPr>
          <w:rFonts w:ascii="Times New Roman" w:eastAsia="Times New Roman" w:hAnsi="Times New Roman" w:cs="Times New Roman"/>
          <w:lang w:eastAsia="en-AE"/>
        </w:rPr>
        <w:t xml:space="preserve">). </w:t>
      </w:r>
      <w:r w:rsidRPr="008F1424">
        <w:rPr>
          <w:rFonts w:ascii="Times New Roman" w:eastAsia="Times New Roman" w:hAnsi="Times New Roman" w:cs="Times New Roman"/>
          <w:lang w:eastAsia="en-AE"/>
        </w:rPr>
        <w:lastRenderedPageBreak/>
        <w:t>This allows for the identification of a quantitative potency gradient, moving the study from a qualitative observation "presence of effect"</w:t>
      </w:r>
      <w:r w:rsidRPr="008F1424">
        <w:t xml:space="preserve"> </w:t>
      </w:r>
      <w:r w:rsidRPr="008F1424">
        <w:rPr>
          <w:rFonts w:ascii="Times New Roman" w:eastAsia="Times New Roman" w:hAnsi="Times New Roman" w:cs="Times New Roman"/>
          <w:lang w:eastAsia="en-AE"/>
        </w:rPr>
        <w:t>to a statistically rigorous "strength-of-effect" analysis.</w:t>
      </w:r>
    </w:p>
    <w:p w14:paraId="4D0EFF2E" w14:textId="5DEB179C" w:rsidR="00AB46A5" w:rsidRPr="006A111A" w:rsidRDefault="00AB46A5" w:rsidP="009D7951">
      <w:pPr>
        <w:pStyle w:val="NormalWeb"/>
        <w:numPr>
          <w:ilvl w:val="0"/>
          <w:numId w:val="2"/>
        </w:numPr>
        <w:tabs>
          <w:tab w:val="clear" w:pos="720"/>
          <w:tab w:val="num" w:pos="900"/>
        </w:tabs>
        <w:spacing w:before="120" w:beforeAutospacing="0" w:after="120" w:afterAutospacing="0" w:line="360" w:lineRule="auto"/>
        <w:ind w:left="173" w:right="-331"/>
        <w:jc w:val="both"/>
        <w:rPr>
          <w:sz w:val="22"/>
          <w:szCs w:val="22"/>
        </w:rPr>
      </w:pPr>
      <w:r w:rsidRPr="006A111A">
        <w:rPr>
          <w:b/>
          <w:bCs/>
          <w:i/>
          <w:iCs/>
          <w:sz w:val="22"/>
          <w:szCs w:val="22"/>
        </w:rPr>
        <w:t>Avoidance of the Cytostatic Threshold:</w:t>
      </w:r>
      <w:r w:rsidRPr="006A111A">
        <w:rPr>
          <w:sz w:val="22"/>
          <w:szCs w:val="22"/>
        </w:rPr>
        <w:t xml:space="preserve"> While flavonoids are cytoprotective at lower doses, they can exhibit pro-oxidant or cytostatic effects at supra-physiological levels. Literature indicates that in murine cell models, the cytotoxic threshold for TAN typically begins to manifest at concentrations exceeding 50 µM</w:t>
      </w:r>
      <w:r w:rsidR="009D7951" w:rsidRPr="006A111A">
        <w:rPr>
          <w:sz w:val="22"/>
          <w:szCs w:val="22"/>
        </w:rPr>
        <w:t xml:space="preserve">. </w:t>
      </w:r>
      <w:r w:rsidRPr="006A111A">
        <w:rPr>
          <w:sz w:val="22"/>
          <w:szCs w:val="22"/>
        </w:rPr>
        <w:t>Thus, our highest dose of 40 µM represents the "maximal effective concentration" that remains safely below the point of overt cellular stress, mitochondrial interference, or metabolic toxicity observed at higher ranges (</w:t>
      </w:r>
      <w:r w:rsidR="0071101C" w:rsidRPr="006A111A">
        <w:rPr>
          <w:sz w:val="22"/>
          <w:szCs w:val="22"/>
        </w:rPr>
        <w:t>GV</w:t>
      </w:r>
      <w:r w:rsidRPr="006A111A">
        <w:rPr>
          <w:sz w:val="22"/>
          <w:szCs w:val="22"/>
        </w:rPr>
        <w:t xml:space="preserve"> et al., 20</w:t>
      </w:r>
      <w:r w:rsidR="0071101C" w:rsidRPr="006A111A">
        <w:rPr>
          <w:sz w:val="22"/>
          <w:szCs w:val="22"/>
        </w:rPr>
        <w:t>23</w:t>
      </w:r>
      <w:r w:rsidRPr="006A111A">
        <w:rPr>
          <w:sz w:val="22"/>
          <w:szCs w:val="22"/>
        </w:rPr>
        <w:t>).</w:t>
      </w:r>
    </w:p>
    <w:p w14:paraId="536068F8" w14:textId="3A89B0B8" w:rsidR="00AB46A5" w:rsidRPr="006A111A" w:rsidRDefault="00AB46A5" w:rsidP="009D7951">
      <w:pPr>
        <w:pStyle w:val="NormalWeb"/>
        <w:widowControl w:val="0"/>
        <w:numPr>
          <w:ilvl w:val="0"/>
          <w:numId w:val="2"/>
        </w:numPr>
        <w:tabs>
          <w:tab w:val="clear" w:pos="720"/>
          <w:tab w:val="num" w:pos="900"/>
        </w:tabs>
        <w:spacing w:before="120" w:beforeAutospacing="0" w:after="120" w:afterAutospacing="0" w:line="360" w:lineRule="auto"/>
        <w:ind w:left="173" w:right="-331"/>
        <w:jc w:val="both"/>
        <w:rPr>
          <w:sz w:val="22"/>
          <w:szCs w:val="22"/>
        </w:rPr>
      </w:pPr>
      <w:r w:rsidRPr="006A111A">
        <w:rPr>
          <w:b/>
          <w:bCs/>
          <w:i/>
          <w:iCs/>
          <w:sz w:val="22"/>
          <w:szCs w:val="22"/>
        </w:rPr>
        <w:t>Target-Ligand Saturation:</w:t>
      </w:r>
      <w:r w:rsidRPr="006A111A">
        <w:rPr>
          <w:sz w:val="22"/>
          <w:szCs w:val="22"/>
        </w:rPr>
        <w:t xml:space="preserve"> The low-to-mid range (10–20 µM) is strategically aligned with the reported binding affinities and effective concentrations required for TAN to modulate the Nrf2</w:t>
      </w:r>
      <w:r w:rsidR="00FA2717" w:rsidRPr="006A111A">
        <w:rPr>
          <w:sz w:val="22"/>
          <w:szCs w:val="22"/>
        </w:rPr>
        <w:t xml:space="preserve"> pathway</w:t>
      </w:r>
      <w:r w:rsidRPr="006A111A">
        <w:rPr>
          <w:sz w:val="22"/>
          <w:szCs w:val="22"/>
        </w:rPr>
        <w:t xml:space="preserve"> and its associated antioxidant response elements (ARE) (</w:t>
      </w:r>
      <w:r w:rsidR="0071101C" w:rsidRPr="006A111A">
        <w:rPr>
          <w:sz w:val="22"/>
          <w:szCs w:val="22"/>
        </w:rPr>
        <w:t>GV</w:t>
      </w:r>
      <w:r w:rsidR="009D7951" w:rsidRPr="006A111A">
        <w:rPr>
          <w:sz w:val="22"/>
          <w:szCs w:val="22"/>
        </w:rPr>
        <w:t xml:space="preserve"> et al., 20</w:t>
      </w:r>
      <w:r w:rsidR="008F1424">
        <w:rPr>
          <w:sz w:val="22"/>
          <w:szCs w:val="22"/>
        </w:rPr>
        <w:t>23</w:t>
      </w:r>
      <w:r w:rsidRPr="006A111A">
        <w:rPr>
          <w:sz w:val="22"/>
          <w:szCs w:val="22"/>
        </w:rPr>
        <w:t>). The inclusion of 40 µM ensures that we interrogate the system under conditions of target saturation, confirming whether TAN's ability to restore signaling homeostasis remains linear or reaches a plateau at higher concentrations.</w:t>
      </w:r>
    </w:p>
    <w:p w14:paraId="34A7C318" w14:textId="556311CE" w:rsidR="00AB46A5" w:rsidRPr="008F1424" w:rsidRDefault="00AB46A5" w:rsidP="009D7951">
      <w:pPr>
        <w:pStyle w:val="NormalWeb"/>
        <w:numPr>
          <w:ilvl w:val="0"/>
          <w:numId w:val="2"/>
        </w:numPr>
        <w:tabs>
          <w:tab w:val="clear" w:pos="720"/>
          <w:tab w:val="num" w:pos="900"/>
        </w:tabs>
        <w:spacing w:before="120" w:beforeAutospacing="0" w:after="120" w:afterAutospacing="0" w:line="360" w:lineRule="auto"/>
        <w:ind w:left="180" w:right="-331"/>
        <w:jc w:val="both"/>
        <w:rPr>
          <w:sz w:val="22"/>
          <w:szCs w:val="22"/>
        </w:rPr>
      </w:pPr>
      <w:r w:rsidRPr="008F1424">
        <w:rPr>
          <w:b/>
          <w:bCs/>
          <w:i/>
          <w:iCs/>
          <w:sz w:val="22"/>
          <w:szCs w:val="22"/>
        </w:rPr>
        <w:t>Lipophilicity and Intracellular Accumulation:</w:t>
      </w:r>
      <w:r w:rsidRPr="008F1424">
        <w:rPr>
          <w:sz w:val="22"/>
          <w:szCs w:val="22"/>
        </w:rPr>
        <w:t xml:space="preserve"> Unlike common hydroxylated flavonoids, TAN’s unique pentamethoxy scaffold significantly enhances its lipophilicity (log P), promoting passive diffusion through the lipid-rich environment of Leydig cell membranes (Walle</w:t>
      </w:r>
      <w:r w:rsidR="009D7951" w:rsidRPr="008F1424">
        <w:rPr>
          <w:sz w:val="22"/>
          <w:szCs w:val="22"/>
        </w:rPr>
        <w:t>, 2007</w:t>
      </w:r>
      <w:r w:rsidRPr="008F1424">
        <w:rPr>
          <w:sz w:val="22"/>
          <w:szCs w:val="22"/>
        </w:rPr>
        <w:t>). This structural advantage ensures that at 10–40 µM, sufficient intracellular bioavailability is achieved to provide a robust counter-response to the high PSNP challenge (50 µg/ml), facilitating direct interaction with the cytoplasmic signaling cascades that drive steroidogenesis.</w:t>
      </w:r>
    </w:p>
    <w:p w14:paraId="22F430C2" w14:textId="77777777" w:rsidR="00AB46A5" w:rsidRPr="00D954E6" w:rsidRDefault="00AB46A5" w:rsidP="00AB46A5">
      <w:pPr>
        <w:pStyle w:val="NormalWeb"/>
        <w:spacing w:before="0" w:beforeAutospacing="0" w:after="120" w:afterAutospacing="0" w:line="360" w:lineRule="auto"/>
        <w:ind w:left="-187" w:right="-331"/>
        <w:jc w:val="both"/>
        <w:rPr>
          <w:sz w:val="22"/>
          <w:szCs w:val="22"/>
        </w:rPr>
      </w:pPr>
      <w:r w:rsidRPr="006A111A">
        <w:rPr>
          <w:sz w:val="22"/>
          <w:szCs w:val="22"/>
        </w:rPr>
        <w:t xml:space="preserve">This hierarchical dosing strategy enables the assessment of both the </w:t>
      </w:r>
      <w:r w:rsidRPr="006A111A">
        <w:rPr>
          <w:b/>
          <w:bCs/>
          <w:i/>
          <w:iCs/>
          <w:sz w:val="22"/>
          <w:szCs w:val="22"/>
        </w:rPr>
        <w:t>sensitivity</w:t>
      </w:r>
      <w:r w:rsidRPr="006A111A">
        <w:rPr>
          <w:sz w:val="22"/>
          <w:szCs w:val="22"/>
        </w:rPr>
        <w:t xml:space="preserve"> of the TM3 model to TAN and the </w:t>
      </w:r>
      <w:r w:rsidRPr="006A111A">
        <w:rPr>
          <w:b/>
          <w:bCs/>
          <w:i/>
          <w:iCs/>
          <w:sz w:val="22"/>
          <w:szCs w:val="22"/>
        </w:rPr>
        <w:t>reproducibility</w:t>
      </w:r>
      <w:r w:rsidRPr="006A111A">
        <w:rPr>
          <w:sz w:val="22"/>
          <w:szCs w:val="22"/>
        </w:rPr>
        <w:t xml:space="preserve"> of its protective effects across a broad therapeutic window.</w:t>
      </w:r>
    </w:p>
    <w:p w14:paraId="3C2A3670" w14:textId="698ACCAE" w:rsidR="007E764F" w:rsidRPr="007F6645" w:rsidRDefault="005616FC" w:rsidP="007F6645">
      <w:pPr>
        <w:pStyle w:val="ListParagraph"/>
        <w:numPr>
          <w:ilvl w:val="1"/>
          <w:numId w:val="13"/>
        </w:numPr>
        <w:bidi w:val="0"/>
        <w:spacing w:before="120" w:after="120" w:line="360" w:lineRule="auto"/>
        <w:ind w:left="547"/>
        <w:rPr>
          <w:rFonts w:ascii="Times New Roman" w:eastAsia="Times New Roman" w:hAnsi="Times New Roman" w:cs="Times New Roman"/>
          <w:b/>
          <w:bCs/>
        </w:rPr>
      </w:pPr>
      <w:r w:rsidRPr="007F6645">
        <w:rPr>
          <w:rFonts w:ascii="Times New Roman" w:eastAsia="Times New Roman" w:hAnsi="Times New Roman" w:cs="Times New Roman"/>
          <w:b/>
          <w:bCs/>
        </w:rPr>
        <w:t>Study Design and Experimental Workflow</w:t>
      </w:r>
    </w:p>
    <w:p w14:paraId="3A773E48" w14:textId="4A8D96DD" w:rsidR="007E764F" w:rsidRPr="007C2DFC" w:rsidRDefault="007E764F" w:rsidP="007F6645">
      <w:pPr>
        <w:widowControl w:val="0"/>
        <w:spacing w:before="120" w:after="120" w:line="360" w:lineRule="auto"/>
        <w:ind w:left="-180" w:right="-334"/>
        <w:jc w:val="both"/>
        <w:rPr>
          <w:rFonts w:ascii="Times New Roman" w:eastAsia="Times New Roman" w:hAnsi="Times New Roman" w:cs="Times New Roman"/>
        </w:rPr>
      </w:pPr>
      <w:r w:rsidRPr="007C2DFC">
        <w:rPr>
          <w:rFonts w:ascii="Times New Roman" w:eastAsia="Times New Roman" w:hAnsi="Times New Roman" w:cs="Times New Roman"/>
        </w:rPr>
        <w:t>The in vitro experiment was performed with the mouse Leydig cell line (TM3) to simulate cellular stress, which occurs in the presence of nanoplastic</w:t>
      </w:r>
      <w:r>
        <w:rPr>
          <w:rFonts w:ascii="Times New Roman" w:eastAsia="Times New Roman" w:hAnsi="Times New Roman" w:cs="Times New Roman"/>
        </w:rPr>
        <w:t>s</w:t>
      </w:r>
      <w:r w:rsidRPr="007C2DFC">
        <w:rPr>
          <w:rFonts w:ascii="Times New Roman" w:eastAsia="Times New Roman" w:hAnsi="Times New Roman" w:cs="Times New Roman"/>
        </w:rPr>
        <w:t xml:space="preserve"> to identify possible countermeasures in tangeretin. Cells were cloned to a logarithmic growth, seeded at density-congruent formats to each endpoint of interest downstream, and left to attach overnight prior to exposure. The dispersed polystyrene nanoplastics were used at constant working concentration, which was corresponding with the finalized proposal, tangeretin was used at specified working constant concentrations and co-incubated with same working conditions during 24, 48, and 72 hours. A pre-dose cytotoxicity screening assay was also done to ascertain that the planned doses were tolerated under the precise laboratory conditions taken. All the endpoints of analysis were accomplished on three independent biological experiments on different days, and within each biological experiment, technical replicate wells in each condition were used to encourage sound estimation of within-assay variance. The data were brought to internal controls that were platform-specific and all raw instrument exports, calibration records and batch identifiers were stored together and at the same time in order to maintain traceability.</w:t>
      </w:r>
    </w:p>
    <w:p w14:paraId="453E9027" w14:textId="0687C29B" w:rsidR="007E764F" w:rsidRPr="007F6645" w:rsidRDefault="005616FC" w:rsidP="007F6645">
      <w:pPr>
        <w:pStyle w:val="ListParagraph"/>
        <w:numPr>
          <w:ilvl w:val="1"/>
          <w:numId w:val="13"/>
        </w:numPr>
        <w:bidi w:val="0"/>
        <w:spacing w:before="120" w:after="120" w:line="360" w:lineRule="auto"/>
        <w:ind w:left="547"/>
        <w:rPr>
          <w:rFonts w:ascii="Times New Roman" w:eastAsia="Times New Roman" w:hAnsi="Times New Roman" w:cs="Times New Roman"/>
          <w:b/>
          <w:bCs/>
        </w:rPr>
      </w:pPr>
      <w:r w:rsidRPr="007F6645">
        <w:rPr>
          <w:rFonts w:ascii="Times New Roman" w:eastAsia="Times New Roman" w:hAnsi="Times New Roman" w:cs="Times New Roman"/>
          <w:b/>
          <w:bCs/>
        </w:rPr>
        <w:lastRenderedPageBreak/>
        <w:t>Tm3 Mouse Leydig Cell Line Authentication and Quality Control</w:t>
      </w:r>
    </w:p>
    <w:p w14:paraId="0C2D10D9" w14:textId="55FBB306" w:rsidR="007E764F" w:rsidRPr="006D7720" w:rsidRDefault="007E764F" w:rsidP="007E764F">
      <w:pPr>
        <w:widowControl w:val="0"/>
        <w:spacing w:before="120" w:after="120" w:line="360" w:lineRule="auto"/>
        <w:jc w:val="both"/>
        <w:rPr>
          <w:rFonts w:ascii="Times New Roman" w:eastAsia="Times New Roman" w:hAnsi="Times New Roman" w:cs="Times New Roman"/>
        </w:rPr>
      </w:pPr>
      <w:r w:rsidRPr="007C2DFC">
        <w:rPr>
          <w:rFonts w:ascii="Times New Roman" w:eastAsia="Times New Roman" w:hAnsi="Times New Roman" w:cs="Times New Roman"/>
        </w:rPr>
        <w:t>An authenticated repository source of TM3 cells, ATCC CRL-1714, was grown in repository recommended conditions. When cells were thawed in a new working vial, a quality-control gate was performed, which consisted of morphology assessment by a phase-contrast microscope, consistency assessment of growth curves, and contamination assessment. Mycoplasma monitoring was at set intervals and before any definitive exposure experiment was done using a validated biochemical method or PCR-based method, as recommended in ATCC authentication and contamination-control guidelines.</w:t>
      </w:r>
      <w:r w:rsidRPr="006D7720">
        <w:rPr>
          <w:rFonts w:ascii="Times New Roman" w:eastAsia="Times New Roman" w:hAnsi="Times New Roman" w:cs="Times New Roman"/>
        </w:rPr>
        <w:t xml:space="preserve"> </w:t>
      </w:r>
    </w:p>
    <w:p w14:paraId="37EBFECB" w14:textId="700805EA" w:rsidR="007E764F" w:rsidRDefault="005616FC" w:rsidP="007F6645">
      <w:pPr>
        <w:pStyle w:val="ListParagraph"/>
        <w:numPr>
          <w:ilvl w:val="1"/>
          <w:numId w:val="13"/>
        </w:numPr>
        <w:bidi w:val="0"/>
        <w:spacing w:before="120" w:after="120" w:line="360" w:lineRule="auto"/>
        <w:ind w:left="547"/>
        <w:rPr>
          <w:rFonts w:ascii="Times New Roman" w:eastAsia="Times New Roman" w:hAnsi="Times New Roman" w:cs="Times New Roman"/>
          <w:b/>
          <w:bCs/>
        </w:rPr>
      </w:pPr>
      <w:r w:rsidRPr="007C2DFC">
        <w:rPr>
          <w:rFonts w:ascii="Times New Roman" w:eastAsia="Times New Roman" w:hAnsi="Times New Roman" w:cs="Times New Roman"/>
          <w:b/>
          <w:bCs/>
        </w:rPr>
        <w:t>Tm3 Cell Culture Conditions and Routine Maintenance</w:t>
      </w:r>
    </w:p>
    <w:p w14:paraId="739A80CB" w14:textId="5BF400C1" w:rsidR="007E764F" w:rsidRPr="007C2DFC" w:rsidRDefault="007E764F" w:rsidP="007E764F">
      <w:pPr>
        <w:widowControl w:val="0"/>
        <w:spacing w:before="120" w:after="120" w:line="360" w:lineRule="auto"/>
        <w:jc w:val="both"/>
        <w:rPr>
          <w:rFonts w:ascii="Times New Roman" w:eastAsia="Times New Roman" w:hAnsi="Times New Roman" w:cs="Times New Roman"/>
        </w:rPr>
      </w:pPr>
      <w:r w:rsidRPr="007C2DFC">
        <w:rPr>
          <w:rFonts w:ascii="Times New Roman" w:eastAsia="Times New Roman" w:hAnsi="Times New Roman" w:cs="Times New Roman"/>
        </w:rPr>
        <w:t>TM3 cells were grown as adherent monocultures at 37 °C in a humidified environment containing 5% CO₂. The entire growth medium was made as a 1:1 combination of Ham’s F-12 and DMEM with 5% horse serum and 2.5% fetal bovine serum, which corresponded to the repository advice on the TM3 maintenance. Subculture of cells was done prior to the onset of over-confluence to minimize drift related to stress and the split ratios were manipulated to maintain exponential growth with minimal passage-related fluctuations. Prior to use, media were equilibrated to temperature and CO₂-buffered conditions and all manipulations were done as aseptic in a certified biosafety cabinet</w:t>
      </w:r>
    </w:p>
    <w:p w14:paraId="094BDDCA" w14:textId="7EAA0E20" w:rsidR="007E764F" w:rsidRPr="007F6645" w:rsidRDefault="005616FC" w:rsidP="007F6645">
      <w:pPr>
        <w:pStyle w:val="ListParagraph"/>
        <w:numPr>
          <w:ilvl w:val="1"/>
          <w:numId w:val="13"/>
        </w:numPr>
        <w:bidi w:val="0"/>
        <w:spacing w:before="120" w:after="120" w:line="360" w:lineRule="auto"/>
        <w:ind w:left="547"/>
        <w:rPr>
          <w:rFonts w:ascii="Times New Roman" w:eastAsia="Times New Roman" w:hAnsi="Times New Roman" w:cs="Times New Roman"/>
          <w:b/>
          <w:bCs/>
        </w:rPr>
      </w:pPr>
      <w:r w:rsidRPr="007F6645">
        <w:rPr>
          <w:rFonts w:ascii="Times New Roman" w:eastAsia="Times New Roman" w:hAnsi="Times New Roman" w:cs="Times New Roman"/>
          <w:b/>
          <w:bCs/>
        </w:rPr>
        <w:t>Preparation, Dispersion, And Handling of Polystyrene Nanoplastics (PSNP)</w:t>
      </w:r>
    </w:p>
    <w:p w14:paraId="3E88538B" w14:textId="7AAD099A" w:rsidR="007E764F" w:rsidRPr="007C2DFC" w:rsidRDefault="007E764F" w:rsidP="007E764F">
      <w:pPr>
        <w:spacing w:before="120" w:after="120" w:line="360" w:lineRule="auto"/>
        <w:jc w:val="both"/>
        <w:rPr>
          <w:rFonts w:ascii="Times New Roman" w:eastAsia="Times New Roman" w:hAnsi="Times New Roman" w:cs="Times New Roman"/>
        </w:rPr>
      </w:pPr>
      <w:r w:rsidRPr="007C2DFC">
        <w:rPr>
          <w:rFonts w:ascii="Times New Roman" w:eastAsia="Times New Roman" w:hAnsi="Times New Roman" w:cs="Times New Roman"/>
        </w:rPr>
        <w:t xml:space="preserve">To retain size-dependent behavior and prevent the artifacts of dosing introduced by aggregation, the nanoplastics of polystyrene were manipulated as colloidal suspensions. Within the 20–50 nm size range in the proposal, polystyrene microspheres at 0.05 µm nominal diameter (Polysciences Polybead® Microspheres, 08691-10) were chosen as a defined nanoparticle stock. An aliquot was prepared then equilibrated at room temperature and gently swirled prior to each experiment followed by a controlled sonication to disperse to reduce agglomeration. Immediately preceding dosing, working suspensions were made in serum-free or low-serum medium to minimize variability of protein corona between runs, and dosing solutions were added using low-retention tips to minimize adsorption losses. All the steps in the preparation of nanoparticles such as dispersion time, temperature, and container were standard and documented in the batch log to facilitate a reproducible process. </w:t>
      </w:r>
    </w:p>
    <w:p w14:paraId="0EF9C813" w14:textId="1925EE1B" w:rsidR="007E764F" w:rsidRPr="007F6645" w:rsidRDefault="005616FC" w:rsidP="007F6645">
      <w:pPr>
        <w:pStyle w:val="ListParagraph"/>
        <w:numPr>
          <w:ilvl w:val="1"/>
          <w:numId w:val="13"/>
        </w:numPr>
        <w:bidi w:val="0"/>
        <w:spacing w:before="120" w:after="120" w:line="360" w:lineRule="auto"/>
        <w:ind w:left="547"/>
        <w:rPr>
          <w:rFonts w:ascii="Times New Roman" w:eastAsia="Times New Roman" w:hAnsi="Times New Roman" w:cs="Times New Roman"/>
          <w:b/>
          <w:bCs/>
        </w:rPr>
      </w:pPr>
      <w:r w:rsidRPr="007C2DFC">
        <w:rPr>
          <w:rFonts w:ascii="Times New Roman" w:eastAsia="Times New Roman" w:hAnsi="Times New Roman" w:cs="Times New Roman"/>
          <w:b/>
          <w:bCs/>
        </w:rPr>
        <w:t xml:space="preserve">Physicochemical Characterization of </w:t>
      </w:r>
      <w:r>
        <w:rPr>
          <w:rFonts w:ascii="Times New Roman" w:eastAsia="Times New Roman" w:hAnsi="Times New Roman" w:cs="Times New Roman"/>
          <w:b/>
          <w:bCs/>
        </w:rPr>
        <w:t>PSNP</w:t>
      </w:r>
      <w:r w:rsidRPr="007C2DFC">
        <w:rPr>
          <w:rFonts w:ascii="Times New Roman" w:eastAsia="Times New Roman" w:hAnsi="Times New Roman" w:cs="Times New Roman"/>
          <w:b/>
          <w:bCs/>
        </w:rPr>
        <w:t xml:space="preserve"> </w:t>
      </w:r>
      <w:r>
        <w:rPr>
          <w:rFonts w:ascii="Times New Roman" w:eastAsia="Times New Roman" w:hAnsi="Times New Roman" w:cs="Times New Roman"/>
          <w:b/>
          <w:bCs/>
        </w:rPr>
        <w:t>b</w:t>
      </w:r>
      <w:r w:rsidRPr="007C2DFC">
        <w:rPr>
          <w:rFonts w:ascii="Times New Roman" w:eastAsia="Times New Roman" w:hAnsi="Times New Roman" w:cs="Times New Roman"/>
          <w:b/>
          <w:bCs/>
        </w:rPr>
        <w:t xml:space="preserve">y </w:t>
      </w:r>
      <w:r>
        <w:rPr>
          <w:rFonts w:ascii="Times New Roman" w:eastAsia="Times New Roman" w:hAnsi="Times New Roman" w:cs="Times New Roman"/>
          <w:b/>
          <w:bCs/>
        </w:rPr>
        <w:t>SEM</w:t>
      </w:r>
      <w:r w:rsidRPr="007C2DFC">
        <w:rPr>
          <w:rFonts w:ascii="Times New Roman" w:eastAsia="Times New Roman" w:hAnsi="Times New Roman" w:cs="Times New Roman"/>
          <w:b/>
          <w:bCs/>
        </w:rPr>
        <w:t xml:space="preserve"> Imaging </w:t>
      </w:r>
      <w:r>
        <w:rPr>
          <w:rFonts w:ascii="Times New Roman" w:eastAsia="Times New Roman" w:hAnsi="Times New Roman" w:cs="Times New Roman"/>
          <w:b/>
          <w:bCs/>
        </w:rPr>
        <w:t>f</w:t>
      </w:r>
      <w:r w:rsidRPr="007C2DFC">
        <w:rPr>
          <w:rFonts w:ascii="Times New Roman" w:eastAsia="Times New Roman" w:hAnsi="Times New Roman" w:cs="Times New Roman"/>
          <w:b/>
          <w:bCs/>
        </w:rPr>
        <w:t>or Size</w:t>
      </w:r>
    </w:p>
    <w:p w14:paraId="1F7D4CCF" w14:textId="6800090D" w:rsidR="007E764F" w:rsidRPr="007C2DFC" w:rsidRDefault="007E764F" w:rsidP="007E764F">
      <w:pPr>
        <w:spacing w:before="120" w:after="120" w:line="360" w:lineRule="auto"/>
        <w:jc w:val="both"/>
        <w:rPr>
          <w:rFonts w:ascii="Times New Roman" w:eastAsia="Times New Roman" w:hAnsi="Times New Roman" w:cs="Times New Roman"/>
        </w:rPr>
      </w:pPr>
      <w:r w:rsidRPr="007C2DFC">
        <w:rPr>
          <w:rFonts w:ascii="Times New Roman" w:eastAsia="Times New Roman" w:hAnsi="Times New Roman" w:cs="Times New Roman"/>
        </w:rPr>
        <w:t xml:space="preserve">To verify the size by the scanning electron microscopy, PSNP suspensions were diluted using ultrapure water to result in a well-separated particle on the substrate. The quantity of the fixed volume was put on a clean silicon wafer or conductive carbon tape on an aluminium stub and dried under dust-free conditions. In order to enhance charge dissipation of polymeric particles, samples were sputter-coated with a thin conductive layer on the sputter coater by using a rotary-pumped sputter coater with controlled sputter conditions. A field emission SEM platform that could be introduced to low-kV polymer imaging was imaged, and acquisition parameters were chosen so as to trade-off between </w:t>
      </w:r>
      <w:r w:rsidRPr="007C2DFC">
        <w:rPr>
          <w:rFonts w:ascii="Times New Roman" w:eastAsia="Times New Roman" w:hAnsi="Times New Roman" w:cs="Times New Roman"/>
        </w:rPr>
        <w:lastRenderedPageBreak/>
        <w:t xml:space="preserve">surface resolution and beam damage. Calibrated images of particle images were quantified on similar thresholding criteria and at least several hundred particles were quantified in various fields to produce a strong size distribution. The micrographs of representative SEM as a size record were made as obligatory figure evidence to the manuscript and auxiliary files. </w:t>
      </w:r>
    </w:p>
    <w:p w14:paraId="24F854C0" w14:textId="49A39A33" w:rsidR="007E764F" w:rsidRPr="00262C2F" w:rsidRDefault="005616FC" w:rsidP="00262C2F">
      <w:pPr>
        <w:pStyle w:val="ListParagraph"/>
        <w:numPr>
          <w:ilvl w:val="1"/>
          <w:numId w:val="13"/>
        </w:numPr>
        <w:bidi w:val="0"/>
        <w:spacing w:before="120" w:after="120" w:line="360" w:lineRule="auto"/>
        <w:ind w:left="547"/>
        <w:rPr>
          <w:rFonts w:ascii="Times New Roman" w:eastAsia="Times New Roman" w:hAnsi="Times New Roman" w:cs="Times New Roman"/>
          <w:b/>
          <w:bCs/>
        </w:rPr>
      </w:pPr>
      <w:r w:rsidRPr="00262C2F">
        <w:rPr>
          <w:rFonts w:ascii="Times New Roman" w:eastAsia="Times New Roman" w:hAnsi="Times New Roman" w:cs="Times New Roman"/>
          <w:b/>
          <w:bCs/>
        </w:rPr>
        <w:t xml:space="preserve">Hydrodynamic Size and Dispersity Index (PDI) Assessment of PSNP </w:t>
      </w:r>
      <w:r w:rsidR="000366EA" w:rsidRPr="00262C2F">
        <w:rPr>
          <w:rFonts w:ascii="Times New Roman" w:eastAsia="Times New Roman" w:hAnsi="Times New Roman" w:cs="Times New Roman"/>
          <w:b/>
          <w:bCs/>
        </w:rPr>
        <w:t>by</w:t>
      </w:r>
      <w:r w:rsidRPr="00262C2F">
        <w:rPr>
          <w:rFonts w:ascii="Times New Roman" w:eastAsia="Times New Roman" w:hAnsi="Times New Roman" w:cs="Times New Roman"/>
          <w:b/>
          <w:bCs/>
        </w:rPr>
        <w:t xml:space="preserve"> DLS</w:t>
      </w:r>
    </w:p>
    <w:p w14:paraId="65D82263" w14:textId="08CABF18" w:rsidR="007E764F" w:rsidRPr="007C2DFC" w:rsidRDefault="007E764F" w:rsidP="007E764F">
      <w:pPr>
        <w:widowControl w:val="0"/>
        <w:spacing w:before="120" w:after="120" w:line="360" w:lineRule="auto"/>
        <w:jc w:val="both"/>
        <w:rPr>
          <w:rFonts w:ascii="Times New Roman" w:eastAsia="Times New Roman" w:hAnsi="Times New Roman" w:cs="Times New Roman"/>
        </w:rPr>
      </w:pPr>
      <w:r w:rsidRPr="007C2DFC">
        <w:rPr>
          <w:rFonts w:ascii="Times New Roman" w:eastAsia="Times New Roman" w:hAnsi="Times New Roman" w:cs="Times New Roman"/>
        </w:rPr>
        <w:t xml:space="preserve">Dynamic light scattering was used to measure hydrodynamic diameter and </w:t>
      </w:r>
      <w:r w:rsidR="000366EA" w:rsidRPr="007C2DFC">
        <w:rPr>
          <w:rFonts w:ascii="Times New Roman" w:eastAsia="Times New Roman" w:hAnsi="Times New Roman" w:cs="Times New Roman"/>
        </w:rPr>
        <w:t>dispersity</w:t>
      </w:r>
      <w:r w:rsidRPr="007C2DFC">
        <w:rPr>
          <w:rFonts w:ascii="Times New Roman" w:eastAsia="Times New Roman" w:hAnsi="Times New Roman" w:cs="Times New Roman"/>
        </w:rPr>
        <w:t xml:space="preserve"> of nanoparticles at controlled temperature with a Zeta</w:t>
      </w:r>
      <w:r w:rsidR="000366EA">
        <w:rPr>
          <w:rFonts w:ascii="Times New Roman" w:eastAsia="Times New Roman" w:hAnsi="Times New Roman" w:cs="Times New Roman"/>
        </w:rPr>
        <w:t xml:space="preserve"> </w:t>
      </w:r>
      <w:r w:rsidRPr="007C2DFC">
        <w:rPr>
          <w:rFonts w:ascii="Times New Roman" w:eastAsia="Times New Roman" w:hAnsi="Times New Roman" w:cs="Times New Roman"/>
        </w:rPr>
        <w:t xml:space="preserve">sizer-class instrument and with different clean cuvettes to measure nanoparticle size. Measures of suspensions were made at an adequately concentrated dilution in filtered and dust-free diluent, then equilibrated to 25 °C to bring it to equilibrium. Technical replicates were also measured as repeat per sample and the cumulants generated Z-average and PDI were reported and indicated that monodisperse behavior was observed rather than aggregation. The performance of the instruments was checked with standard samples recommended by the manufacturers and recorded in the run log. Acceptance criteria demanded that data-quality should be stable correlograms and consistent replicate agreement, and that any sample with indications of multimodal aggregation was again dispersed and re-measured under comparable discretionary conditions. </w:t>
      </w:r>
    </w:p>
    <w:p w14:paraId="2FAC2B99" w14:textId="5763168B" w:rsidR="007E764F" w:rsidRPr="00262C2F" w:rsidRDefault="007E764F" w:rsidP="00262C2F">
      <w:pPr>
        <w:pStyle w:val="ListParagraph"/>
        <w:numPr>
          <w:ilvl w:val="1"/>
          <w:numId w:val="13"/>
        </w:numPr>
        <w:bidi w:val="0"/>
        <w:spacing w:before="120" w:after="120" w:line="360" w:lineRule="auto"/>
        <w:ind w:left="547"/>
        <w:rPr>
          <w:rFonts w:ascii="Times New Roman" w:eastAsia="Times New Roman" w:hAnsi="Times New Roman" w:cs="Times New Roman"/>
          <w:b/>
          <w:bCs/>
        </w:rPr>
      </w:pPr>
      <w:r w:rsidRPr="00262C2F">
        <w:rPr>
          <w:rFonts w:ascii="Times New Roman" w:eastAsia="Times New Roman" w:hAnsi="Times New Roman" w:cs="Times New Roman"/>
          <w:b/>
          <w:bCs/>
        </w:rPr>
        <w:t xml:space="preserve">Zeta </w:t>
      </w:r>
      <w:r w:rsidR="005616FC" w:rsidRPr="00262C2F">
        <w:rPr>
          <w:rFonts w:ascii="Times New Roman" w:eastAsia="Times New Roman" w:hAnsi="Times New Roman" w:cs="Times New Roman"/>
          <w:b/>
          <w:bCs/>
        </w:rPr>
        <w:t>P</w:t>
      </w:r>
      <w:r w:rsidRPr="00262C2F">
        <w:rPr>
          <w:rFonts w:ascii="Times New Roman" w:eastAsia="Times New Roman" w:hAnsi="Times New Roman" w:cs="Times New Roman"/>
          <w:b/>
          <w:bCs/>
        </w:rPr>
        <w:t xml:space="preserve">otential </w:t>
      </w:r>
      <w:r w:rsidR="005616FC" w:rsidRPr="00262C2F">
        <w:rPr>
          <w:rFonts w:ascii="Times New Roman" w:eastAsia="Times New Roman" w:hAnsi="Times New Roman" w:cs="Times New Roman"/>
          <w:b/>
          <w:bCs/>
        </w:rPr>
        <w:t>M</w:t>
      </w:r>
      <w:r w:rsidRPr="00262C2F">
        <w:rPr>
          <w:rFonts w:ascii="Times New Roman" w:eastAsia="Times New Roman" w:hAnsi="Times New Roman" w:cs="Times New Roman"/>
          <w:b/>
          <w:bCs/>
        </w:rPr>
        <w:t xml:space="preserve">easurement of PSNPs with </w:t>
      </w:r>
      <w:r w:rsidR="005616FC" w:rsidRPr="00262C2F">
        <w:rPr>
          <w:rFonts w:ascii="Times New Roman" w:eastAsia="Times New Roman" w:hAnsi="Times New Roman" w:cs="Times New Roman"/>
          <w:b/>
          <w:bCs/>
        </w:rPr>
        <w:t>I</w:t>
      </w:r>
      <w:r w:rsidRPr="00262C2F">
        <w:rPr>
          <w:rFonts w:ascii="Times New Roman" w:eastAsia="Times New Roman" w:hAnsi="Times New Roman" w:cs="Times New Roman"/>
          <w:b/>
          <w:bCs/>
        </w:rPr>
        <w:t xml:space="preserve">mage/plot </w:t>
      </w:r>
      <w:r w:rsidR="005616FC" w:rsidRPr="00262C2F">
        <w:rPr>
          <w:rFonts w:ascii="Times New Roman" w:eastAsia="Times New Roman" w:hAnsi="Times New Roman" w:cs="Times New Roman"/>
          <w:b/>
          <w:bCs/>
        </w:rPr>
        <w:t>D</w:t>
      </w:r>
      <w:r w:rsidRPr="00262C2F">
        <w:rPr>
          <w:rFonts w:ascii="Times New Roman" w:eastAsia="Times New Roman" w:hAnsi="Times New Roman" w:cs="Times New Roman"/>
          <w:b/>
          <w:bCs/>
        </w:rPr>
        <w:t>ocumentation</w:t>
      </w:r>
    </w:p>
    <w:p w14:paraId="7B115B2E" w14:textId="6FBB1B3D" w:rsidR="007E764F" w:rsidRPr="007C2DFC" w:rsidRDefault="007E764F" w:rsidP="007E764F">
      <w:pPr>
        <w:spacing w:before="120" w:after="120" w:line="360" w:lineRule="auto"/>
        <w:jc w:val="both"/>
        <w:rPr>
          <w:rFonts w:ascii="Times New Roman" w:eastAsia="Times New Roman" w:hAnsi="Times New Roman" w:cs="Times New Roman"/>
        </w:rPr>
      </w:pPr>
      <w:r w:rsidRPr="007C2DFC">
        <w:rPr>
          <w:rFonts w:ascii="Times New Roman" w:eastAsia="Times New Roman" w:hAnsi="Times New Roman" w:cs="Times New Roman"/>
        </w:rPr>
        <w:t xml:space="preserve">Disposable folded capillary cells were used to determine the electrophoretic mobility and zeta potential of nanoparticles in solution to eliminate cross-contamination between the nanoparticle preparations and to maintain integrity of measurements where a charge-sensitive system was used. To be able to make comparisons across runs, samples were prepared in controlled ionic conditions, equilibrated thermally and analyzed under instrument software control in terms of the Smoluchowski approximation. All samples were triplicated and the average zeta potential with measures of dispersion were tabulated. Since documentation of the plot was necessary, the raw zeta potential distribution plots and the quality indicators generated by the instrument software were stored and formatted in manuscript-ready figure form. Additional checks were done periodically on manufacturer instructions of zeta potential standards to ensure that the system was operating correctly. </w:t>
      </w:r>
    </w:p>
    <w:p w14:paraId="63E3E24E" w14:textId="427706A5" w:rsidR="007E764F" w:rsidRPr="00262C2F" w:rsidRDefault="007E764F" w:rsidP="00262C2F">
      <w:pPr>
        <w:pStyle w:val="ListParagraph"/>
        <w:numPr>
          <w:ilvl w:val="1"/>
          <w:numId w:val="13"/>
        </w:numPr>
        <w:bidi w:val="0"/>
        <w:spacing w:before="120" w:after="120" w:line="360" w:lineRule="auto"/>
        <w:ind w:left="547"/>
        <w:rPr>
          <w:rFonts w:ascii="Times New Roman" w:eastAsia="Times New Roman" w:hAnsi="Times New Roman" w:cs="Times New Roman"/>
          <w:b/>
          <w:bCs/>
        </w:rPr>
      </w:pPr>
      <w:r w:rsidRPr="00262C2F">
        <w:rPr>
          <w:rFonts w:ascii="Times New Roman" w:eastAsia="Times New Roman" w:hAnsi="Times New Roman" w:cs="Times New Roman"/>
          <w:b/>
          <w:bCs/>
        </w:rPr>
        <w:t xml:space="preserve">Preparation and </w:t>
      </w:r>
      <w:r w:rsidR="005616FC" w:rsidRPr="00262C2F">
        <w:rPr>
          <w:rFonts w:ascii="Times New Roman" w:eastAsia="Times New Roman" w:hAnsi="Times New Roman" w:cs="Times New Roman"/>
          <w:b/>
          <w:bCs/>
        </w:rPr>
        <w:t>H</w:t>
      </w:r>
      <w:r w:rsidRPr="00262C2F">
        <w:rPr>
          <w:rFonts w:ascii="Times New Roman" w:eastAsia="Times New Roman" w:hAnsi="Times New Roman" w:cs="Times New Roman"/>
          <w:b/>
          <w:bCs/>
        </w:rPr>
        <w:t xml:space="preserve">andling of </w:t>
      </w:r>
      <w:r w:rsidR="005616FC" w:rsidRPr="00262C2F">
        <w:rPr>
          <w:rFonts w:ascii="Times New Roman" w:eastAsia="Times New Roman" w:hAnsi="Times New Roman" w:cs="Times New Roman"/>
          <w:b/>
          <w:bCs/>
        </w:rPr>
        <w:t>T</w:t>
      </w:r>
      <w:r w:rsidRPr="00262C2F">
        <w:rPr>
          <w:rFonts w:ascii="Times New Roman" w:eastAsia="Times New Roman" w:hAnsi="Times New Roman" w:cs="Times New Roman"/>
          <w:b/>
          <w:bCs/>
        </w:rPr>
        <w:t xml:space="preserve">angeretin </w:t>
      </w:r>
      <w:r w:rsidR="005616FC" w:rsidRPr="00262C2F">
        <w:rPr>
          <w:rFonts w:ascii="Times New Roman" w:eastAsia="Times New Roman" w:hAnsi="Times New Roman" w:cs="Times New Roman"/>
          <w:b/>
          <w:bCs/>
        </w:rPr>
        <w:t>S</w:t>
      </w:r>
      <w:r w:rsidRPr="00262C2F">
        <w:rPr>
          <w:rFonts w:ascii="Times New Roman" w:eastAsia="Times New Roman" w:hAnsi="Times New Roman" w:cs="Times New Roman"/>
          <w:b/>
          <w:bCs/>
        </w:rPr>
        <w:t xml:space="preserve">tock </w:t>
      </w:r>
      <w:r w:rsidR="005616FC" w:rsidRPr="00262C2F">
        <w:rPr>
          <w:rFonts w:ascii="Times New Roman" w:eastAsia="Times New Roman" w:hAnsi="Times New Roman" w:cs="Times New Roman"/>
          <w:b/>
          <w:bCs/>
        </w:rPr>
        <w:t>S</w:t>
      </w:r>
      <w:r w:rsidRPr="00262C2F">
        <w:rPr>
          <w:rFonts w:ascii="Times New Roman" w:eastAsia="Times New Roman" w:hAnsi="Times New Roman" w:cs="Times New Roman"/>
          <w:b/>
          <w:bCs/>
        </w:rPr>
        <w:t xml:space="preserve">olutions and </w:t>
      </w:r>
      <w:r w:rsidR="005616FC" w:rsidRPr="00262C2F">
        <w:rPr>
          <w:rFonts w:ascii="Times New Roman" w:eastAsia="Times New Roman" w:hAnsi="Times New Roman" w:cs="Times New Roman"/>
          <w:b/>
          <w:bCs/>
        </w:rPr>
        <w:t>W</w:t>
      </w:r>
      <w:r w:rsidRPr="00262C2F">
        <w:rPr>
          <w:rFonts w:ascii="Times New Roman" w:eastAsia="Times New Roman" w:hAnsi="Times New Roman" w:cs="Times New Roman"/>
          <w:b/>
          <w:bCs/>
        </w:rPr>
        <w:t xml:space="preserve">orking </w:t>
      </w:r>
      <w:r w:rsidR="005616FC" w:rsidRPr="00262C2F">
        <w:rPr>
          <w:rFonts w:ascii="Times New Roman" w:eastAsia="Times New Roman" w:hAnsi="Times New Roman" w:cs="Times New Roman"/>
          <w:b/>
          <w:bCs/>
        </w:rPr>
        <w:t>D</w:t>
      </w:r>
      <w:r w:rsidRPr="00262C2F">
        <w:rPr>
          <w:rFonts w:ascii="Times New Roman" w:eastAsia="Times New Roman" w:hAnsi="Times New Roman" w:cs="Times New Roman"/>
          <w:b/>
          <w:bCs/>
        </w:rPr>
        <w:t>ilutions</w:t>
      </w:r>
    </w:p>
    <w:p w14:paraId="386DA812" w14:textId="384FFD74" w:rsidR="007E764F" w:rsidRPr="007C2DFC" w:rsidRDefault="007E764F" w:rsidP="007E764F">
      <w:pPr>
        <w:spacing w:before="120" w:after="120" w:line="360" w:lineRule="auto"/>
        <w:jc w:val="both"/>
        <w:rPr>
          <w:rFonts w:ascii="Times New Roman" w:eastAsia="Times New Roman" w:hAnsi="Times New Roman" w:cs="Times New Roman"/>
        </w:rPr>
      </w:pPr>
      <w:r w:rsidRPr="007C2DFC">
        <w:rPr>
          <w:rFonts w:ascii="Times New Roman" w:eastAsia="Times New Roman" w:hAnsi="Times New Roman" w:cs="Times New Roman"/>
        </w:rPr>
        <w:t xml:space="preserve">Tangeretin was treated as a light-sensitive small molecule and can be prepared as a stock solution in anhydrous DMSO so that it can be fully solubilized. The grade of purity available was chosen to be ≥95% (Sigma-Aldrich, T8951; CAS 481-53-8). Stocks were made at a concentration that can be accurately pipet and aliquoted to avoid freeze–thaw degradation and stored at −20 °C in the dark. Before dosing, working dilutions were prepared in fresh pre-warmed culture medium. Final DMSO level was maintained constant in all the groups including vehicle controls to avoid confounding due to solvent. </w:t>
      </w:r>
    </w:p>
    <w:p w14:paraId="61D59D4B" w14:textId="57D5632D" w:rsidR="007E764F" w:rsidRPr="00262C2F" w:rsidRDefault="007E764F" w:rsidP="00262C2F">
      <w:pPr>
        <w:pStyle w:val="ListParagraph"/>
        <w:numPr>
          <w:ilvl w:val="1"/>
          <w:numId w:val="13"/>
        </w:numPr>
        <w:bidi w:val="0"/>
        <w:spacing w:before="120" w:after="120" w:line="360" w:lineRule="auto"/>
        <w:ind w:left="547"/>
        <w:rPr>
          <w:rFonts w:ascii="Times New Roman" w:eastAsia="Times New Roman" w:hAnsi="Times New Roman" w:cs="Times New Roman"/>
          <w:b/>
          <w:bCs/>
        </w:rPr>
      </w:pPr>
      <w:r w:rsidRPr="00262C2F">
        <w:rPr>
          <w:rFonts w:ascii="Times New Roman" w:eastAsia="Times New Roman" w:hAnsi="Times New Roman" w:cs="Times New Roman"/>
          <w:b/>
          <w:bCs/>
        </w:rPr>
        <w:t xml:space="preserve">Experimental </w:t>
      </w:r>
      <w:r w:rsidR="005616FC" w:rsidRPr="00262C2F">
        <w:rPr>
          <w:rFonts w:ascii="Times New Roman" w:eastAsia="Times New Roman" w:hAnsi="Times New Roman" w:cs="Times New Roman"/>
          <w:b/>
          <w:bCs/>
        </w:rPr>
        <w:t>G</w:t>
      </w:r>
      <w:r w:rsidRPr="00262C2F">
        <w:rPr>
          <w:rFonts w:ascii="Times New Roman" w:eastAsia="Times New Roman" w:hAnsi="Times New Roman" w:cs="Times New Roman"/>
          <w:b/>
          <w:bCs/>
        </w:rPr>
        <w:t xml:space="preserve">rouping, </w:t>
      </w:r>
      <w:r w:rsidR="005616FC" w:rsidRPr="00262C2F">
        <w:rPr>
          <w:rFonts w:ascii="Times New Roman" w:eastAsia="Times New Roman" w:hAnsi="Times New Roman" w:cs="Times New Roman"/>
          <w:b/>
          <w:bCs/>
        </w:rPr>
        <w:t>T</w:t>
      </w:r>
      <w:r w:rsidRPr="00262C2F">
        <w:rPr>
          <w:rFonts w:ascii="Times New Roman" w:eastAsia="Times New Roman" w:hAnsi="Times New Roman" w:cs="Times New Roman"/>
          <w:b/>
          <w:bCs/>
        </w:rPr>
        <w:t xml:space="preserve">reatment </w:t>
      </w:r>
      <w:r w:rsidR="005616FC" w:rsidRPr="00262C2F">
        <w:rPr>
          <w:rFonts w:ascii="Times New Roman" w:eastAsia="Times New Roman" w:hAnsi="Times New Roman" w:cs="Times New Roman"/>
          <w:b/>
          <w:bCs/>
        </w:rPr>
        <w:t>S</w:t>
      </w:r>
      <w:r w:rsidRPr="00262C2F">
        <w:rPr>
          <w:rFonts w:ascii="Times New Roman" w:eastAsia="Times New Roman" w:hAnsi="Times New Roman" w:cs="Times New Roman"/>
          <w:b/>
          <w:bCs/>
        </w:rPr>
        <w:t xml:space="preserve">chedule, and </w:t>
      </w:r>
      <w:r w:rsidR="005616FC" w:rsidRPr="00262C2F">
        <w:rPr>
          <w:rFonts w:ascii="Times New Roman" w:eastAsia="Times New Roman" w:hAnsi="Times New Roman" w:cs="Times New Roman"/>
          <w:b/>
          <w:bCs/>
        </w:rPr>
        <w:t>E</w:t>
      </w:r>
      <w:r w:rsidRPr="00262C2F">
        <w:rPr>
          <w:rFonts w:ascii="Times New Roman" w:eastAsia="Times New Roman" w:hAnsi="Times New Roman" w:cs="Times New Roman"/>
          <w:b/>
          <w:bCs/>
        </w:rPr>
        <w:t xml:space="preserve">xposure </w:t>
      </w:r>
      <w:r w:rsidR="005616FC" w:rsidRPr="00262C2F">
        <w:rPr>
          <w:rFonts w:ascii="Times New Roman" w:eastAsia="Times New Roman" w:hAnsi="Times New Roman" w:cs="Times New Roman"/>
          <w:b/>
          <w:bCs/>
        </w:rPr>
        <w:t>C</w:t>
      </w:r>
      <w:r w:rsidRPr="00262C2F">
        <w:rPr>
          <w:rFonts w:ascii="Times New Roman" w:eastAsia="Times New Roman" w:hAnsi="Times New Roman" w:cs="Times New Roman"/>
          <w:b/>
          <w:bCs/>
        </w:rPr>
        <w:t>onditions</w:t>
      </w:r>
    </w:p>
    <w:p w14:paraId="5B002F85" w14:textId="77777777" w:rsidR="007E764F" w:rsidRPr="007C2DFC" w:rsidRDefault="007E764F" w:rsidP="007E764F">
      <w:pPr>
        <w:spacing w:before="120" w:after="120" w:line="360" w:lineRule="auto"/>
        <w:jc w:val="both"/>
        <w:rPr>
          <w:rFonts w:ascii="Times New Roman" w:eastAsia="Times New Roman" w:hAnsi="Times New Roman" w:cs="Times New Roman"/>
        </w:rPr>
      </w:pPr>
      <w:r w:rsidRPr="007C2DFC">
        <w:rPr>
          <w:rFonts w:ascii="Times New Roman" w:eastAsia="Times New Roman" w:hAnsi="Times New Roman" w:cs="Times New Roman"/>
        </w:rPr>
        <w:lastRenderedPageBreak/>
        <w:t>The experimental groups were structured to be used to isolate the effects of PSNP exposure, tangeretin exposure, and a combination of both exposure over the exposure windows that had been pre-specified, 24, 48, and 72 hours. Cells were exposed to PSNPs at the working concentration of 50 µg/mL and co-treated with tangeretin at 10, 20, and 40 µM in parallel with a vehicle control. Overnight attachment was used to provide treatments after attaching the samples and minimize variability in early adhesion stress and incubate all groups under the same environmental conditions. The plates of culture were randomly moved around the incubator as well as moved amongst the shelves to reduce positional gradients in temperature or CO₂. Volume and timing of media handling was standardized in that the duration of exposure was the same in all groups, and everything that was not in accordance was recorded in the form of protocol notes in the study file.</w:t>
      </w:r>
    </w:p>
    <w:p w14:paraId="312BE306" w14:textId="3C517D5B" w:rsidR="007E764F" w:rsidRPr="00262C2F" w:rsidRDefault="007E764F" w:rsidP="00262C2F">
      <w:pPr>
        <w:pStyle w:val="ListParagraph"/>
        <w:numPr>
          <w:ilvl w:val="1"/>
          <w:numId w:val="13"/>
        </w:numPr>
        <w:bidi w:val="0"/>
        <w:spacing w:before="120" w:after="120" w:line="360" w:lineRule="auto"/>
        <w:ind w:left="547"/>
        <w:rPr>
          <w:rFonts w:ascii="Times New Roman" w:eastAsia="Times New Roman" w:hAnsi="Times New Roman" w:cs="Times New Roman"/>
          <w:b/>
          <w:bCs/>
        </w:rPr>
      </w:pPr>
      <w:r w:rsidRPr="00262C2F">
        <w:rPr>
          <w:rFonts w:ascii="Times New Roman" w:eastAsia="Times New Roman" w:hAnsi="Times New Roman" w:cs="Times New Roman"/>
          <w:b/>
          <w:bCs/>
        </w:rPr>
        <w:t xml:space="preserve">Pre-dose </w:t>
      </w:r>
      <w:r w:rsidR="005616FC" w:rsidRPr="00262C2F">
        <w:rPr>
          <w:rFonts w:ascii="Times New Roman" w:eastAsia="Times New Roman" w:hAnsi="Times New Roman" w:cs="Times New Roman"/>
          <w:b/>
          <w:bCs/>
        </w:rPr>
        <w:t>C</w:t>
      </w:r>
      <w:r w:rsidRPr="00262C2F">
        <w:rPr>
          <w:rFonts w:ascii="Times New Roman" w:eastAsia="Times New Roman" w:hAnsi="Times New Roman" w:cs="Times New Roman"/>
          <w:b/>
          <w:bCs/>
        </w:rPr>
        <w:t xml:space="preserve">ytotoxicity </w:t>
      </w:r>
      <w:r w:rsidR="005616FC" w:rsidRPr="00262C2F">
        <w:rPr>
          <w:rFonts w:ascii="Times New Roman" w:eastAsia="Times New Roman" w:hAnsi="Times New Roman" w:cs="Times New Roman"/>
          <w:b/>
          <w:bCs/>
        </w:rPr>
        <w:t>S</w:t>
      </w:r>
      <w:r w:rsidRPr="00262C2F">
        <w:rPr>
          <w:rFonts w:ascii="Times New Roman" w:eastAsia="Times New Roman" w:hAnsi="Times New Roman" w:cs="Times New Roman"/>
          <w:b/>
          <w:bCs/>
        </w:rPr>
        <w:t xml:space="preserve">creening and </w:t>
      </w:r>
      <w:r w:rsidR="005616FC" w:rsidRPr="00262C2F">
        <w:rPr>
          <w:rFonts w:ascii="Times New Roman" w:eastAsia="Times New Roman" w:hAnsi="Times New Roman" w:cs="Times New Roman"/>
          <w:b/>
          <w:bCs/>
        </w:rPr>
        <w:t>D</w:t>
      </w:r>
      <w:r w:rsidRPr="00262C2F">
        <w:rPr>
          <w:rFonts w:ascii="Times New Roman" w:eastAsia="Times New Roman" w:hAnsi="Times New Roman" w:cs="Times New Roman"/>
          <w:b/>
          <w:bCs/>
        </w:rPr>
        <w:t xml:space="preserve">ose </w:t>
      </w:r>
      <w:r w:rsidR="005616FC" w:rsidRPr="00262C2F">
        <w:rPr>
          <w:rFonts w:ascii="Times New Roman" w:eastAsia="Times New Roman" w:hAnsi="Times New Roman" w:cs="Times New Roman"/>
          <w:b/>
          <w:bCs/>
        </w:rPr>
        <w:t>S</w:t>
      </w:r>
      <w:r w:rsidRPr="00262C2F">
        <w:rPr>
          <w:rFonts w:ascii="Times New Roman" w:eastAsia="Times New Roman" w:hAnsi="Times New Roman" w:cs="Times New Roman"/>
          <w:b/>
          <w:bCs/>
        </w:rPr>
        <w:t xml:space="preserve">election by </w:t>
      </w:r>
      <w:r w:rsidR="005616FC" w:rsidRPr="00262C2F">
        <w:rPr>
          <w:rFonts w:ascii="Times New Roman" w:eastAsia="Times New Roman" w:hAnsi="Times New Roman" w:cs="Times New Roman"/>
          <w:b/>
          <w:bCs/>
        </w:rPr>
        <w:t>C</w:t>
      </w:r>
      <w:r w:rsidRPr="00262C2F">
        <w:rPr>
          <w:rFonts w:ascii="Times New Roman" w:eastAsia="Times New Roman" w:hAnsi="Times New Roman" w:cs="Times New Roman"/>
          <w:b/>
          <w:bCs/>
        </w:rPr>
        <w:t xml:space="preserve">ell </w:t>
      </w:r>
      <w:r w:rsidR="005616FC" w:rsidRPr="00262C2F">
        <w:rPr>
          <w:rFonts w:ascii="Times New Roman" w:eastAsia="Times New Roman" w:hAnsi="Times New Roman" w:cs="Times New Roman"/>
          <w:b/>
          <w:bCs/>
        </w:rPr>
        <w:t>V</w:t>
      </w:r>
      <w:r w:rsidRPr="00262C2F">
        <w:rPr>
          <w:rFonts w:ascii="Times New Roman" w:eastAsia="Times New Roman" w:hAnsi="Times New Roman" w:cs="Times New Roman"/>
          <w:b/>
          <w:bCs/>
        </w:rPr>
        <w:t xml:space="preserve">iability </w:t>
      </w:r>
      <w:r w:rsidR="005616FC" w:rsidRPr="00262C2F">
        <w:rPr>
          <w:rFonts w:ascii="Times New Roman" w:eastAsia="Times New Roman" w:hAnsi="Times New Roman" w:cs="Times New Roman"/>
          <w:b/>
          <w:bCs/>
        </w:rPr>
        <w:t>A</w:t>
      </w:r>
      <w:r w:rsidRPr="00262C2F">
        <w:rPr>
          <w:rFonts w:ascii="Times New Roman" w:eastAsia="Times New Roman" w:hAnsi="Times New Roman" w:cs="Times New Roman"/>
          <w:b/>
          <w:bCs/>
        </w:rPr>
        <w:t>ssay</w:t>
      </w:r>
    </w:p>
    <w:p w14:paraId="7BB1319F" w14:textId="488BDAA6" w:rsidR="007E764F" w:rsidRPr="00D303F5" w:rsidRDefault="007E764F" w:rsidP="007E764F">
      <w:pPr>
        <w:spacing w:before="120" w:after="120" w:line="360" w:lineRule="auto"/>
        <w:jc w:val="both"/>
        <w:rPr>
          <w:rFonts w:ascii="Times New Roman" w:eastAsia="Times New Roman" w:hAnsi="Times New Roman" w:cs="Times New Roman"/>
        </w:rPr>
      </w:pPr>
      <w:r w:rsidRPr="00D303F5">
        <w:rPr>
          <w:rFonts w:ascii="Times New Roman" w:eastAsia="Times New Roman" w:hAnsi="Times New Roman" w:cs="Times New Roman"/>
        </w:rPr>
        <w:t xml:space="preserve">There was a pre-dose screening that was conducted prior to the actual experiments to ensure that planned PSNP and tangeretin dosing could be controlled in TM3 cells under the same laboratory conditions. Cell viability was measured through a WST-8 based colorimetric assay (Cell Counting Kit-8, Dojindo, CK04), as it was chosen on the basis of its water-soluble formazan production and was selected because of its routine dose-range finding. Assay was done by seeding cells to reach a logarithmic growth within the assay window, introducing candidate concentrations, and incubating with the WST-8 reagent at a controlled period and reading at 450 nm using a microplate reader. Dose acceptance entailed viability maintenance within a specific tolerance range with respect to vehicle control and lack of non-specific optical interference. This measure was in line with the necessity to carry out a viability test, prior to the administration of written doses since cell culture may be intolerant to the intended concentrations. </w:t>
      </w:r>
    </w:p>
    <w:p w14:paraId="57C995CC" w14:textId="58FDEA66" w:rsidR="007E764F" w:rsidRPr="00262C2F" w:rsidRDefault="007E764F" w:rsidP="00262C2F">
      <w:pPr>
        <w:pStyle w:val="ListParagraph"/>
        <w:numPr>
          <w:ilvl w:val="1"/>
          <w:numId w:val="13"/>
        </w:numPr>
        <w:bidi w:val="0"/>
        <w:spacing w:before="120" w:after="120" w:line="360" w:lineRule="auto"/>
        <w:ind w:left="547"/>
        <w:rPr>
          <w:rFonts w:ascii="Times New Roman" w:eastAsia="Times New Roman" w:hAnsi="Times New Roman" w:cs="Times New Roman"/>
          <w:b/>
          <w:bCs/>
        </w:rPr>
      </w:pPr>
      <w:r w:rsidRPr="00262C2F">
        <w:rPr>
          <w:rFonts w:ascii="Times New Roman" w:eastAsia="Times New Roman" w:hAnsi="Times New Roman" w:cs="Times New Roman"/>
          <w:b/>
          <w:bCs/>
        </w:rPr>
        <w:t xml:space="preserve">Post-treatment </w:t>
      </w:r>
      <w:r w:rsidR="005616FC" w:rsidRPr="00262C2F">
        <w:rPr>
          <w:rFonts w:ascii="Times New Roman" w:eastAsia="Times New Roman" w:hAnsi="Times New Roman" w:cs="Times New Roman"/>
          <w:b/>
          <w:bCs/>
        </w:rPr>
        <w:t>C</w:t>
      </w:r>
      <w:r w:rsidRPr="00262C2F">
        <w:rPr>
          <w:rFonts w:ascii="Times New Roman" w:eastAsia="Times New Roman" w:hAnsi="Times New Roman" w:cs="Times New Roman"/>
          <w:b/>
          <w:bCs/>
        </w:rPr>
        <w:t xml:space="preserve">ell </w:t>
      </w:r>
      <w:r w:rsidR="005616FC" w:rsidRPr="00262C2F">
        <w:rPr>
          <w:rFonts w:ascii="Times New Roman" w:eastAsia="Times New Roman" w:hAnsi="Times New Roman" w:cs="Times New Roman"/>
          <w:b/>
          <w:bCs/>
        </w:rPr>
        <w:t>V</w:t>
      </w:r>
      <w:r w:rsidRPr="00262C2F">
        <w:rPr>
          <w:rFonts w:ascii="Times New Roman" w:eastAsia="Times New Roman" w:hAnsi="Times New Roman" w:cs="Times New Roman"/>
          <w:b/>
          <w:bCs/>
        </w:rPr>
        <w:t xml:space="preserve">iability </w:t>
      </w:r>
      <w:r w:rsidR="005616FC" w:rsidRPr="00262C2F">
        <w:rPr>
          <w:rFonts w:ascii="Times New Roman" w:eastAsia="Times New Roman" w:hAnsi="Times New Roman" w:cs="Times New Roman"/>
          <w:b/>
          <w:bCs/>
        </w:rPr>
        <w:t>A</w:t>
      </w:r>
      <w:r w:rsidRPr="00262C2F">
        <w:rPr>
          <w:rFonts w:ascii="Times New Roman" w:eastAsia="Times New Roman" w:hAnsi="Times New Roman" w:cs="Times New Roman"/>
          <w:b/>
          <w:bCs/>
        </w:rPr>
        <w:t xml:space="preserve">ssessment </w:t>
      </w:r>
      <w:r w:rsidR="005616FC" w:rsidRPr="00262C2F">
        <w:rPr>
          <w:rFonts w:ascii="Times New Roman" w:eastAsia="Times New Roman" w:hAnsi="Times New Roman" w:cs="Times New Roman"/>
          <w:b/>
          <w:bCs/>
        </w:rPr>
        <w:t>U</w:t>
      </w:r>
      <w:r w:rsidRPr="00262C2F">
        <w:rPr>
          <w:rFonts w:ascii="Times New Roman" w:eastAsia="Times New Roman" w:hAnsi="Times New Roman" w:cs="Times New Roman"/>
          <w:b/>
          <w:bCs/>
        </w:rPr>
        <w:t xml:space="preserve">nder </w:t>
      </w:r>
      <w:r w:rsidR="005616FC" w:rsidRPr="00262C2F">
        <w:rPr>
          <w:rFonts w:ascii="Times New Roman" w:eastAsia="Times New Roman" w:hAnsi="Times New Roman" w:cs="Times New Roman"/>
          <w:b/>
          <w:bCs/>
        </w:rPr>
        <w:t>Definitive</w:t>
      </w:r>
      <w:r w:rsidRPr="00262C2F">
        <w:rPr>
          <w:rFonts w:ascii="Times New Roman" w:eastAsia="Times New Roman" w:hAnsi="Times New Roman" w:cs="Times New Roman"/>
          <w:b/>
          <w:bCs/>
        </w:rPr>
        <w:t xml:space="preserve"> </w:t>
      </w:r>
      <w:r w:rsidR="005616FC" w:rsidRPr="00262C2F">
        <w:rPr>
          <w:rFonts w:ascii="Times New Roman" w:eastAsia="Times New Roman" w:hAnsi="Times New Roman" w:cs="Times New Roman"/>
          <w:b/>
          <w:bCs/>
        </w:rPr>
        <w:t>E</w:t>
      </w:r>
      <w:r w:rsidRPr="00262C2F">
        <w:rPr>
          <w:rFonts w:ascii="Times New Roman" w:eastAsia="Times New Roman" w:hAnsi="Times New Roman" w:cs="Times New Roman"/>
          <w:b/>
          <w:bCs/>
        </w:rPr>
        <w:t xml:space="preserve">xposure </w:t>
      </w:r>
      <w:r w:rsidR="005616FC" w:rsidRPr="00262C2F">
        <w:rPr>
          <w:rFonts w:ascii="Times New Roman" w:eastAsia="Times New Roman" w:hAnsi="Times New Roman" w:cs="Times New Roman"/>
          <w:b/>
          <w:bCs/>
        </w:rPr>
        <w:t>C</w:t>
      </w:r>
      <w:r w:rsidRPr="00262C2F">
        <w:rPr>
          <w:rFonts w:ascii="Times New Roman" w:eastAsia="Times New Roman" w:hAnsi="Times New Roman" w:cs="Times New Roman"/>
          <w:b/>
          <w:bCs/>
        </w:rPr>
        <w:t>onditions</w:t>
      </w:r>
    </w:p>
    <w:p w14:paraId="6B84A8D2" w14:textId="34E17680" w:rsidR="007E764F" w:rsidRPr="00D303F5" w:rsidRDefault="007E764F" w:rsidP="005616FC">
      <w:pPr>
        <w:widowControl w:val="0"/>
        <w:spacing w:before="120" w:after="120" w:line="360" w:lineRule="auto"/>
        <w:jc w:val="both"/>
        <w:rPr>
          <w:rFonts w:ascii="Times New Roman" w:eastAsia="Times New Roman" w:hAnsi="Times New Roman" w:cs="Times New Roman"/>
        </w:rPr>
      </w:pPr>
      <w:r w:rsidRPr="00D303F5">
        <w:rPr>
          <w:rFonts w:ascii="Times New Roman" w:eastAsia="Times New Roman" w:hAnsi="Times New Roman" w:cs="Times New Roman"/>
        </w:rPr>
        <w:t xml:space="preserve">Viability after conclusive exposure to the PSNPs and tangeretin was re-evaluated after 24, 48, and 72 hours in order to measure the treatment-related cytotoxicity according to the final protocol. The MTT reduction test was carried out on thiazolyl blue tetrazolium bromide (Sigma-Aldrich, M5655), which was dissolved in phenol red-free diluent to prevent interference by absorbance. Incubation of MTT was followed by solubilization of insoluble formazan in a suitable organic solvent and an absorbance was recorded with a plate reader at the wavelength suggested as an endpoint of MTT. Background correction was done by using cell-free wells where the same treatment was done in terms of reagents and viability was in comparison to that of the corresponding vehicle control at that time point. </w:t>
      </w:r>
    </w:p>
    <w:p w14:paraId="5B4D67D7" w14:textId="4233BE54" w:rsidR="007E764F" w:rsidRPr="00262C2F" w:rsidRDefault="00B37FC8" w:rsidP="00262C2F">
      <w:pPr>
        <w:pStyle w:val="ListParagraph"/>
        <w:numPr>
          <w:ilvl w:val="1"/>
          <w:numId w:val="13"/>
        </w:numPr>
        <w:bidi w:val="0"/>
        <w:spacing w:before="120" w:after="120" w:line="360" w:lineRule="auto"/>
        <w:ind w:left="547"/>
        <w:rPr>
          <w:rFonts w:ascii="Times New Roman" w:eastAsia="Times New Roman" w:hAnsi="Times New Roman" w:cs="Times New Roman"/>
          <w:b/>
          <w:bCs/>
        </w:rPr>
      </w:pPr>
      <w:r w:rsidRPr="00262C2F">
        <w:rPr>
          <w:rFonts w:ascii="Times New Roman" w:eastAsia="Times New Roman" w:hAnsi="Times New Roman" w:cs="Times New Roman"/>
          <w:b/>
          <w:bCs/>
        </w:rPr>
        <w:t>Intracellular Reactive Oxygen Species (ROS) Quantification</w:t>
      </w:r>
    </w:p>
    <w:p w14:paraId="43957E25" w14:textId="3BCD5551" w:rsidR="007E764F" w:rsidRPr="00D303F5" w:rsidRDefault="007E764F" w:rsidP="000F61E3">
      <w:pPr>
        <w:widowControl w:val="0"/>
        <w:spacing w:before="120" w:after="120" w:line="360" w:lineRule="auto"/>
        <w:jc w:val="both"/>
        <w:rPr>
          <w:rFonts w:ascii="Times New Roman" w:eastAsia="Times New Roman" w:hAnsi="Times New Roman" w:cs="Times New Roman"/>
        </w:rPr>
      </w:pPr>
      <w:r w:rsidRPr="00D303F5">
        <w:rPr>
          <w:rFonts w:ascii="Times New Roman" w:eastAsia="Times New Roman" w:hAnsi="Times New Roman" w:cs="Times New Roman"/>
        </w:rPr>
        <w:t xml:space="preserve">The intracellular ROS were measured by the DCFDA based fluorometric workflow chosen to offer sensitive measurements of oxidative burst in live cells. It was stained in a complete kit format (Abcam DCFDA / H2DCFDA Cellular ROS Assay Kit, ab113851) and the staining conditions were adjusted to </w:t>
      </w:r>
      <w:r w:rsidRPr="00D303F5">
        <w:rPr>
          <w:rFonts w:ascii="Times New Roman" w:eastAsia="Times New Roman" w:hAnsi="Times New Roman" w:cs="Times New Roman"/>
        </w:rPr>
        <w:lastRenderedPageBreak/>
        <w:t xml:space="preserve">preserve the integrity of the cell, and to trigger minimal dye auto-oxidation. Following treatment, the cells were washed using buffered solution and loaded with DCFDA in assay buffer in light-protected conditions, which was then incubated allowing intracellular de-esterification and oxidation through ROS action. A microplate reader with excitation/emission set at the spectral profile of the DCF was used to measure fluorescence and correct background fluorescence and normalize the result to viable cell content so as to minimize background confounding of the cytotoxicity. </w:t>
      </w:r>
    </w:p>
    <w:p w14:paraId="59151F84" w14:textId="14CBA759" w:rsidR="007E764F" w:rsidRPr="00262C2F" w:rsidRDefault="007E764F" w:rsidP="00262C2F">
      <w:pPr>
        <w:pStyle w:val="ListParagraph"/>
        <w:numPr>
          <w:ilvl w:val="1"/>
          <w:numId w:val="13"/>
        </w:numPr>
        <w:bidi w:val="0"/>
        <w:spacing w:before="120" w:after="120" w:line="360" w:lineRule="auto"/>
        <w:ind w:left="547"/>
        <w:rPr>
          <w:rFonts w:ascii="Times New Roman" w:eastAsia="Times New Roman" w:hAnsi="Times New Roman" w:cs="Times New Roman"/>
          <w:b/>
          <w:bCs/>
        </w:rPr>
      </w:pPr>
      <w:r w:rsidRPr="00262C2F">
        <w:rPr>
          <w:rFonts w:ascii="Times New Roman" w:eastAsia="Times New Roman" w:hAnsi="Times New Roman" w:cs="Times New Roman"/>
          <w:b/>
          <w:bCs/>
        </w:rPr>
        <w:t>Lipid peroxidation assessment (MDA/TBARS)</w:t>
      </w:r>
    </w:p>
    <w:p w14:paraId="1A66EF23" w14:textId="4F4EDE44" w:rsidR="007E764F" w:rsidRPr="00D303F5" w:rsidRDefault="007E764F" w:rsidP="007E764F">
      <w:pPr>
        <w:spacing w:before="120" w:after="120" w:line="360" w:lineRule="auto"/>
        <w:jc w:val="both"/>
        <w:rPr>
          <w:rFonts w:ascii="Times New Roman" w:eastAsia="Times New Roman" w:hAnsi="Times New Roman" w:cs="Times New Roman"/>
        </w:rPr>
      </w:pPr>
      <w:r w:rsidRPr="00D303F5">
        <w:rPr>
          <w:rFonts w:ascii="Times New Roman" w:eastAsia="Times New Roman" w:hAnsi="Times New Roman" w:cs="Times New Roman"/>
        </w:rPr>
        <w:t xml:space="preserve">A standardized TBARS method was used to measure the amount of malondialdehyde equivalents in the treatment to measure lipid peroxidation. The commercial TBARS assay kit was utilized (Cayman Chemical, TBARS Assay Kit, 10009055) to guarantee similar composition of reagents and calibration in every run. Cell lysates were made at cold conditions and recombination with thiobarbituric acid reagent reacts under controlled heating to form chromogenic adducts and followed by cooling then measuring it. The absorbance data were recorded at the wavelength range specified in the kit and then the MDA equivalents were determined using the standards provided and per total protein data in each group to overcome cell density variation. </w:t>
      </w:r>
    </w:p>
    <w:p w14:paraId="79F0BF91" w14:textId="7F640F5C" w:rsidR="007E764F" w:rsidRPr="00262C2F" w:rsidRDefault="00B37FC8" w:rsidP="00262C2F">
      <w:pPr>
        <w:pStyle w:val="ListParagraph"/>
        <w:numPr>
          <w:ilvl w:val="1"/>
          <w:numId w:val="13"/>
        </w:numPr>
        <w:bidi w:val="0"/>
        <w:spacing w:before="120" w:after="120" w:line="360" w:lineRule="auto"/>
        <w:ind w:left="547"/>
        <w:rPr>
          <w:rFonts w:ascii="Times New Roman" w:eastAsia="Times New Roman" w:hAnsi="Times New Roman" w:cs="Times New Roman"/>
          <w:b/>
          <w:bCs/>
        </w:rPr>
      </w:pPr>
      <w:r w:rsidRPr="00262C2F">
        <w:rPr>
          <w:rFonts w:ascii="Times New Roman" w:eastAsia="Times New Roman" w:hAnsi="Times New Roman" w:cs="Times New Roman"/>
          <w:b/>
          <w:bCs/>
        </w:rPr>
        <w:t xml:space="preserve">Antioxidant Defense Evaluation </w:t>
      </w:r>
      <w:r w:rsidR="007E764F" w:rsidRPr="00262C2F">
        <w:rPr>
          <w:rFonts w:ascii="Times New Roman" w:eastAsia="Times New Roman" w:hAnsi="Times New Roman" w:cs="Times New Roman"/>
          <w:b/>
          <w:bCs/>
        </w:rPr>
        <w:t>(SOD, CAT, GPx, and GSH)</w:t>
      </w:r>
    </w:p>
    <w:p w14:paraId="23F2242D" w14:textId="1FB1A861" w:rsidR="007E764F" w:rsidRPr="008849D0" w:rsidRDefault="007E764F" w:rsidP="007E764F">
      <w:pPr>
        <w:spacing w:before="120" w:after="120" w:line="360" w:lineRule="auto"/>
        <w:jc w:val="both"/>
        <w:rPr>
          <w:rFonts w:asciiTheme="majorBidi" w:hAnsiTheme="majorBidi" w:cstheme="majorBidi"/>
        </w:rPr>
      </w:pPr>
      <w:r w:rsidRPr="008849D0">
        <w:rPr>
          <w:rFonts w:asciiTheme="majorBidi" w:hAnsiTheme="majorBidi" w:cstheme="majorBidi"/>
        </w:rPr>
        <w:t xml:space="preserve">The inter-assay comparability of the enzymatic and non-enzymatic antioxidant defenses was done by using the same standardized lysate inputs. Activity of Catalase, Glutathione peroxidase, Superoxide dismutase and total glutathione were measured using Cayman Chemical Catalase Assay Kit (707002), Cayman Chemical Glutathione Peroxidase Assay Kit (703102), Cayman Chemical Superoxide Dismutase Assay Kit (706002) and Cayman Chemical Glutathione Assay Kit (703002) respectively. All assays were performed with kit-standard curves and internal controls and the output was normalized to total protein content of the corresponding matched lysates. Appropriate absorbance settings as required by each kit were used to read plates, and inter-plate drift was detected using shared control lysates on each plate. </w:t>
      </w:r>
    </w:p>
    <w:p w14:paraId="2A8FA5D1" w14:textId="536D1616" w:rsidR="007E764F" w:rsidRPr="00262C2F" w:rsidRDefault="00B37FC8" w:rsidP="00262C2F">
      <w:pPr>
        <w:pStyle w:val="ListParagraph"/>
        <w:numPr>
          <w:ilvl w:val="1"/>
          <w:numId w:val="13"/>
        </w:numPr>
        <w:bidi w:val="0"/>
        <w:spacing w:before="120" w:after="120" w:line="360" w:lineRule="auto"/>
        <w:ind w:left="547"/>
        <w:rPr>
          <w:rFonts w:ascii="Times New Roman" w:eastAsia="Times New Roman" w:hAnsi="Times New Roman" w:cs="Times New Roman"/>
          <w:b/>
          <w:bCs/>
        </w:rPr>
      </w:pPr>
      <w:r w:rsidRPr="00262C2F">
        <w:rPr>
          <w:rFonts w:ascii="Times New Roman" w:eastAsia="Times New Roman" w:hAnsi="Times New Roman" w:cs="Times New Roman"/>
          <w:b/>
          <w:bCs/>
        </w:rPr>
        <w:t xml:space="preserve">Steroidogenic Function Assessment; Testosterone Quantification </w:t>
      </w:r>
    </w:p>
    <w:p w14:paraId="63D91319" w14:textId="37FF64FC" w:rsidR="007E764F" w:rsidRPr="008849D0" w:rsidRDefault="007E764F" w:rsidP="000F61E3">
      <w:pPr>
        <w:pStyle w:val="NormalWeb"/>
        <w:widowControl w:val="0"/>
        <w:spacing w:before="120" w:beforeAutospacing="0" w:after="120" w:afterAutospacing="0" w:line="360" w:lineRule="auto"/>
        <w:jc w:val="both"/>
        <w:rPr>
          <w:sz w:val="22"/>
          <w:szCs w:val="22"/>
        </w:rPr>
      </w:pPr>
      <w:r w:rsidRPr="008849D0">
        <w:rPr>
          <w:sz w:val="22"/>
          <w:szCs w:val="22"/>
        </w:rPr>
        <w:t xml:space="preserve">The steroidogenic production was determined by the concentration of testosterone on the conditioned culture media at each of the exposure durations. The sensitivity of the competitive enzyme immunoassay in low-volume samples and ability to work with cell culture matrices were chosen to use Cayman Chemical Testosterone EIA Kit (582701). The media samples were centrifuged in order to eliminate debris, frozen at −80 °C to avoid degradation and thawed once to conduct batch analysis to reduce variability. Dilutions were done as necessary to bring the samples within the linear range of the standard curve and the concentrations were determined with the calibration standards and curve-fitting method in the kit. The results were equated to viable cell content or total protein equivalent of comparable wells in order to equalize the difference in cell numbers in the groups. </w:t>
      </w:r>
    </w:p>
    <w:p w14:paraId="19BE8D90" w14:textId="421638EB" w:rsidR="007E764F" w:rsidRPr="00D654BF" w:rsidRDefault="00B37FC8" w:rsidP="00D654BF">
      <w:pPr>
        <w:pStyle w:val="ListParagraph"/>
        <w:numPr>
          <w:ilvl w:val="1"/>
          <w:numId w:val="13"/>
        </w:numPr>
        <w:bidi w:val="0"/>
        <w:spacing w:before="120" w:after="120" w:line="360" w:lineRule="auto"/>
        <w:ind w:left="547"/>
        <w:rPr>
          <w:rFonts w:ascii="Times New Roman" w:eastAsia="Times New Roman" w:hAnsi="Times New Roman" w:cs="Times New Roman"/>
          <w:b/>
          <w:bCs/>
        </w:rPr>
      </w:pPr>
      <w:r w:rsidRPr="00D654BF">
        <w:rPr>
          <w:rFonts w:ascii="Times New Roman" w:eastAsia="Times New Roman" w:hAnsi="Times New Roman" w:cs="Times New Roman"/>
          <w:b/>
          <w:bCs/>
        </w:rPr>
        <w:lastRenderedPageBreak/>
        <w:t>Steroidogenesis-Related Gene/Protein Expression Analysis (Star, Cyp11A1, Cyp17A1, 3β-HSD)</w:t>
      </w:r>
    </w:p>
    <w:p w14:paraId="3E497ADF" w14:textId="5BD1ED30" w:rsidR="007E764F" w:rsidRPr="008849D0" w:rsidRDefault="007E764F" w:rsidP="007E764F">
      <w:pPr>
        <w:pStyle w:val="NormalWeb"/>
        <w:spacing w:before="120" w:beforeAutospacing="0" w:after="120" w:afterAutospacing="0" w:line="360" w:lineRule="auto"/>
        <w:jc w:val="both"/>
        <w:rPr>
          <w:sz w:val="22"/>
          <w:szCs w:val="22"/>
        </w:rPr>
      </w:pPr>
      <w:r w:rsidRPr="008849D0">
        <w:rPr>
          <w:sz w:val="22"/>
          <w:szCs w:val="22"/>
        </w:rPr>
        <w:t xml:space="preserve">The regulation of the steroidogenesis pathway was evaluated by the technique of aligned transcript and protein quantification of the main enzymes and regulators. To express proteins, the stimulations were immunoblotting against StAR with a validated StAR antibody (Abcam, ab3343), CYP11A1 with a CYP11A1 antibody (Abcam, ab175408), CYP17A1 with a CYP17A1 antibody (Abcam, ab125022), and 3β-HSD with an HSD3B1 antibody (Proteintech, 32642-1-AP). To express transcripts, RT-qPCR assays were developed based on exon-spanning primers when feasible to minimise genomic DNA confounding and were normalised to stable housekeeping genes which had been validated in the TM3 cells as far as the exposure conditions applied. Correlation between transcriptional and protein change was viewed as an indication of pathway response as opposed to single regulatory noise. </w:t>
      </w:r>
    </w:p>
    <w:p w14:paraId="23FB8146" w14:textId="2F670D3E" w:rsidR="007E764F" w:rsidRPr="00D654BF" w:rsidRDefault="00183398" w:rsidP="00D654BF">
      <w:pPr>
        <w:pStyle w:val="ListParagraph"/>
        <w:numPr>
          <w:ilvl w:val="1"/>
          <w:numId w:val="13"/>
        </w:numPr>
        <w:bidi w:val="0"/>
        <w:spacing w:before="120" w:after="120" w:line="360" w:lineRule="auto"/>
        <w:ind w:left="547"/>
        <w:rPr>
          <w:rFonts w:ascii="Times New Roman" w:eastAsia="Times New Roman" w:hAnsi="Times New Roman" w:cs="Times New Roman"/>
          <w:b/>
          <w:bCs/>
        </w:rPr>
      </w:pPr>
      <w:r w:rsidRPr="00D654BF">
        <w:rPr>
          <w:rFonts w:ascii="Times New Roman" w:eastAsia="Times New Roman" w:hAnsi="Times New Roman" w:cs="Times New Roman"/>
          <w:b/>
          <w:bCs/>
        </w:rPr>
        <w:t>Protein Extraction and Quantification Procedures</w:t>
      </w:r>
    </w:p>
    <w:p w14:paraId="029B201E" w14:textId="1F853BE2" w:rsidR="007E764F" w:rsidRPr="008849D0" w:rsidRDefault="007E764F" w:rsidP="007E764F">
      <w:pPr>
        <w:pStyle w:val="NormalWeb"/>
        <w:spacing w:before="120" w:beforeAutospacing="0" w:after="120" w:afterAutospacing="0" w:line="360" w:lineRule="auto"/>
        <w:jc w:val="both"/>
        <w:rPr>
          <w:sz w:val="22"/>
          <w:szCs w:val="22"/>
        </w:rPr>
      </w:pPr>
      <w:r w:rsidRPr="008849D0">
        <w:rPr>
          <w:sz w:val="22"/>
          <w:szCs w:val="22"/>
        </w:rPr>
        <w:t xml:space="preserve">The protein lysates were prepared in cold conditions with a complete disclosed ready-to-use RIPA formulation (Thermo Scientific RIPA Lysis and Extraction Buffer, 89900) complemented with the protease and phosphatase inhibitors added immediately before the experiment. Lysates were cleared using centrifugation and supernatants were harvested without stirring pellets. The quantification of total protein under a condition of compatibility with detergent was done by a colorimetric procedure to assure proper loading during immunoblotting by the Pierce BCA Protein Assay Kit (Thermo Fisher Scientific, 23225) and the bovine serum albumin standards. All samples were diluted with lysis buffer to achieve protein concentrations that were uniform in all samples and aliquots were stored at −80 °C to prevent recurring freeze–thaw effects. </w:t>
      </w:r>
    </w:p>
    <w:p w14:paraId="142BCF88" w14:textId="5A3F09B1" w:rsidR="007E764F" w:rsidRPr="00D654BF" w:rsidRDefault="007E764F" w:rsidP="00D654BF">
      <w:pPr>
        <w:pStyle w:val="ListParagraph"/>
        <w:numPr>
          <w:ilvl w:val="1"/>
          <w:numId w:val="13"/>
        </w:numPr>
        <w:bidi w:val="0"/>
        <w:spacing w:before="120" w:after="120" w:line="360" w:lineRule="auto"/>
        <w:ind w:left="547"/>
        <w:rPr>
          <w:rFonts w:ascii="Times New Roman" w:eastAsia="Times New Roman" w:hAnsi="Times New Roman" w:cs="Times New Roman"/>
          <w:b/>
          <w:bCs/>
        </w:rPr>
      </w:pPr>
      <w:r w:rsidRPr="00D654BF">
        <w:rPr>
          <w:rFonts w:ascii="Times New Roman" w:eastAsia="Times New Roman" w:hAnsi="Times New Roman" w:cs="Times New Roman"/>
          <w:b/>
          <w:bCs/>
        </w:rPr>
        <w:t xml:space="preserve">RNA </w:t>
      </w:r>
      <w:r w:rsidR="00183398" w:rsidRPr="00D654BF">
        <w:rPr>
          <w:rFonts w:ascii="Times New Roman" w:eastAsia="Times New Roman" w:hAnsi="Times New Roman" w:cs="Times New Roman"/>
          <w:b/>
          <w:bCs/>
        </w:rPr>
        <w:t>E</w:t>
      </w:r>
      <w:r w:rsidRPr="00D654BF">
        <w:rPr>
          <w:rFonts w:ascii="Times New Roman" w:eastAsia="Times New Roman" w:hAnsi="Times New Roman" w:cs="Times New Roman"/>
          <w:b/>
          <w:bCs/>
        </w:rPr>
        <w:t xml:space="preserve">xtraction, cDNA </w:t>
      </w:r>
      <w:r w:rsidR="00183398" w:rsidRPr="00D654BF">
        <w:rPr>
          <w:rFonts w:ascii="Times New Roman" w:eastAsia="Times New Roman" w:hAnsi="Times New Roman" w:cs="Times New Roman"/>
          <w:b/>
          <w:bCs/>
        </w:rPr>
        <w:t>S</w:t>
      </w:r>
      <w:r w:rsidRPr="00D654BF">
        <w:rPr>
          <w:rFonts w:ascii="Times New Roman" w:eastAsia="Times New Roman" w:hAnsi="Times New Roman" w:cs="Times New Roman"/>
          <w:b/>
          <w:bCs/>
        </w:rPr>
        <w:t xml:space="preserve">ynthesis, and RT-qPCR </w:t>
      </w:r>
      <w:r w:rsidR="00183398" w:rsidRPr="00D654BF">
        <w:rPr>
          <w:rFonts w:ascii="Times New Roman" w:eastAsia="Times New Roman" w:hAnsi="Times New Roman" w:cs="Times New Roman"/>
          <w:b/>
          <w:bCs/>
        </w:rPr>
        <w:t>C</w:t>
      </w:r>
      <w:r w:rsidRPr="00D654BF">
        <w:rPr>
          <w:rFonts w:ascii="Times New Roman" w:eastAsia="Times New Roman" w:hAnsi="Times New Roman" w:cs="Times New Roman"/>
          <w:b/>
          <w:bCs/>
        </w:rPr>
        <w:t>onditions</w:t>
      </w:r>
    </w:p>
    <w:p w14:paraId="6FC54376" w14:textId="2C429480" w:rsidR="007E764F" w:rsidRPr="008849D0" w:rsidRDefault="007E764F" w:rsidP="000F61E3">
      <w:pPr>
        <w:pStyle w:val="NormalWeb"/>
        <w:widowControl w:val="0"/>
        <w:spacing w:before="120" w:beforeAutospacing="0" w:after="120" w:afterAutospacing="0" w:line="360" w:lineRule="auto"/>
        <w:jc w:val="both"/>
        <w:rPr>
          <w:sz w:val="22"/>
          <w:szCs w:val="22"/>
        </w:rPr>
      </w:pPr>
      <w:r w:rsidRPr="008849D0">
        <w:rPr>
          <w:sz w:val="22"/>
          <w:szCs w:val="22"/>
        </w:rPr>
        <w:t xml:space="preserve">The RNA was then subjected to silica-membrane chemistry spinning column to extract all the total RNA that could be used in the quantitative PCR of inhibitor-free RNA, the RNeasy Mini Kit (QIAGEN, 74104). The integrity and purity of RNAs was confirmed through spectrophotometric ratios and parity of amplification efficiencies in pilot reactions. iScript cDNA Synthesis Kit (Bio-Rad, 1708891) was used to prepare an initial strand of cDNA with the input amount of the RNA being standardized between samples. Quantitative PCR was done using a universal 2× SYBR formulation having features of carryover contamination control using PowerUp SYBR Green Master Mix (Applied Biosystems, A25742). Conditions of the cycling were adjusted to ensure that the melt curves were mono-peak and amplification efficiencies were reasonable, and all reactions were performed with no-template controls and no-reverse-transcriptase controls to verify specificity. </w:t>
      </w:r>
    </w:p>
    <w:p w14:paraId="7DB9F967" w14:textId="5A5BCA16" w:rsidR="007E764F" w:rsidRPr="00D654BF" w:rsidRDefault="007E764F" w:rsidP="00D654BF">
      <w:pPr>
        <w:pStyle w:val="ListParagraph"/>
        <w:numPr>
          <w:ilvl w:val="1"/>
          <w:numId w:val="13"/>
        </w:numPr>
        <w:bidi w:val="0"/>
        <w:spacing w:before="120" w:after="120" w:line="360" w:lineRule="auto"/>
        <w:ind w:left="547"/>
        <w:rPr>
          <w:rFonts w:ascii="Times New Roman" w:eastAsia="Times New Roman" w:hAnsi="Times New Roman" w:cs="Times New Roman"/>
          <w:b/>
          <w:bCs/>
        </w:rPr>
      </w:pPr>
      <w:r w:rsidRPr="00D654BF">
        <w:rPr>
          <w:rFonts w:ascii="Times New Roman" w:eastAsia="Times New Roman" w:hAnsi="Times New Roman" w:cs="Times New Roman"/>
          <w:b/>
          <w:bCs/>
        </w:rPr>
        <w:t>RT-qPCR for HO-1 (Heme Oxygenase 1)</w:t>
      </w:r>
    </w:p>
    <w:p w14:paraId="62A1E837" w14:textId="696D96E4" w:rsidR="007E764F" w:rsidRPr="00E914A1" w:rsidRDefault="007E764F" w:rsidP="00D654BF">
      <w:pPr>
        <w:pStyle w:val="NormalWeb"/>
        <w:widowControl w:val="0"/>
        <w:spacing w:before="120" w:beforeAutospacing="0" w:after="120" w:afterAutospacing="0" w:line="360" w:lineRule="auto"/>
        <w:jc w:val="both"/>
        <w:rPr>
          <w:sz w:val="22"/>
          <w:szCs w:val="22"/>
        </w:rPr>
      </w:pPr>
      <w:r w:rsidRPr="00E914A1">
        <w:rPr>
          <w:sz w:val="22"/>
          <w:szCs w:val="22"/>
        </w:rPr>
        <w:t xml:space="preserve">Total RNA was isolated from TM3 Leydig cells harvested per experimental group and timepoint using </w:t>
      </w:r>
      <w:r w:rsidRPr="00E914A1">
        <w:rPr>
          <w:sz w:val="22"/>
          <w:szCs w:val="22"/>
        </w:rPr>
        <w:lastRenderedPageBreak/>
        <w:t xml:space="preserve">the RNeasy Mini Kit (QIAGEN, cat. 74104), with all reagents documented by lot and batch number at the time of use. RNA quantity and purity were verified by spectrophotometry, and equal RNA inputs from each biological replicate were reverse transcribed using the High-Capacity cDNA Reverse Transcription Kit (Applied Biosystems, cat. 4368814) under the manufacturer’s conditions. HO-1 (Hmox1) transcript abundance was quantified using a predesigned TaqMan Gene Expression assay for mouse Hmox1 (Applied Biosystems assay ID Mm00516005_m1) with TaqMan Fast Advanced Master Mix (Applied Biosystems, cat. 4444557) on a real-time PCR platform (Applied Biosystems QuantStudio 5 system, cat. A28140). Amplification was performed in technical duplicates for each biological replicate, and no-template and no–reverse transcriptase controls were included to confirm assay specificity. Relative expression was calculated using the comparative Ct approach after normalization to a stable endogenous control measured in the same sample set and run configuration, with all thresholds and baseline settings held constant within each plate to avoid inter-plate bias. </w:t>
      </w:r>
    </w:p>
    <w:p w14:paraId="7856734C" w14:textId="428230A4" w:rsidR="007E764F" w:rsidRPr="00D654BF" w:rsidRDefault="007E764F" w:rsidP="00D654BF">
      <w:pPr>
        <w:pStyle w:val="ListParagraph"/>
        <w:numPr>
          <w:ilvl w:val="1"/>
          <w:numId w:val="13"/>
        </w:numPr>
        <w:bidi w:val="0"/>
        <w:spacing w:before="120" w:after="120" w:line="360" w:lineRule="auto"/>
        <w:ind w:left="547"/>
        <w:rPr>
          <w:rFonts w:ascii="Times New Roman" w:eastAsia="Times New Roman" w:hAnsi="Times New Roman" w:cs="Times New Roman"/>
          <w:b/>
          <w:bCs/>
        </w:rPr>
      </w:pPr>
      <w:r w:rsidRPr="00D654BF">
        <w:rPr>
          <w:rFonts w:ascii="Times New Roman" w:eastAsia="Times New Roman" w:hAnsi="Times New Roman" w:cs="Times New Roman"/>
          <w:b/>
          <w:bCs/>
        </w:rPr>
        <w:t>ELISA</w:t>
      </w:r>
      <w:r w:rsidR="00183398" w:rsidRPr="00D654BF">
        <w:rPr>
          <w:rFonts w:ascii="Times New Roman" w:eastAsia="Times New Roman" w:hAnsi="Times New Roman" w:cs="Times New Roman"/>
          <w:b/>
          <w:bCs/>
        </w:rPr>
        <w:t xml:space="preserve"> </w:t>
      </w:r>
      <w:r w:rsidR="00483C84" w:rsidRPr="00D654BF">
        <w:rPr>
          <w:rFonts w:ascii="Times New Roman" w:eastAsia="Times New Roman" w:hAnsi="Times New Roman" w:cs="Times New Roman"/>
          <w:b/>
          <w:bCs/>
        </w:rPr>
        <w:t>for</w:t>
      </w:r>
      <w:r w:rsidRPr="00D654BF">
        <w:rPr>
          <w:rFonts w:ascii="Times New Roman" w:eastAsia="Times New Roman" w:hAnsi="Times New Roman" w:cs="Times New Roman"/>
          <w:b/>
          <w:bCs/>
        </w:rPr>
        <w:t xml:space="preserve"> Nrf2 and </w:t>
      </w:r>
      <w:r w:rsidR="00183398" w:rsidRPr="00D654BF">
        <w:rPr>
          <w:rFonts w:ascii="Times New Roman" w:eastAsia="Times New Roman" w:hAnsi="Times New Roman" w:cs="Times New Roman"/>
          <w:b/>
          <w:bCs/>
        </w:rPr>
        <w:t>T</w:t>
      </w:r>
      <w:r w:rsidRPr="00D654BF">
        <w:rPr>
          <w:rFonts w:ascii="Times New Roman" w:eastAsia="Times New Roman" w:hAnsi="Times New Roman" w:cs="Times New Roman"/>
          <w:b/>
          <w:bCs/>
        </w:rPr>
        <w:t>otal NOX4</w:t>
      </w:r>
    </w:p>
    <w:p w14:paraId="27922B57" w14:textId="7172F132" w:rsidR="007E764F" w:rsidRPr="00E914A1" w:rsidRDefault="007E764F" w:rsidP="007E764F">
      <w:pPr>
        <w:pStyle w:val="NormalWeb"/>
        <w:spacing w:before="120" w:beforeAutospacing="0" w:after="120" w:afterAutospacing="0" w:line="360" w:lineRule="auto"/>
        <w:jc w:val="both"/>
        <w:rPr>
          <w:sz w:val="22"/>
          <w:szCs w:val="22"/>
        </w:rPr>
      </w:pPr>
      <w:r w:rsidRPr="00E914A1">
        <w:rPr>
          <w:sz w:val="22"/>
          <w:szCs w:val="22"/>
        </w:rPr>
        <w:t xml:space="preserve">Nrf2 activation was quantified using an ELISA-format DNA-binding assay (TransAM® Nrf2, Active Motif, cat. 50296) performed on nuclear extracts prepared from TM3 cells using a standardized nuclear extraction workflow (Active Motif Nuclear Extract Kit, cat. 40010), with extract concentrations normalized before loading to ensure equal nuclear protein input across wells. Color development was measured on a microplate reader at the kit-specified wavelength, and all samples were assayed in duplicate within each independent experiment while maintaining identical incubation times and wash cycles across plates to minimize procedural variability. Total NOX4 protein was quantified using a sandwich ELISA validated for mouse NOX4 (Mouse Nox4 ELISA Kit, Novus Biologicals, cat. NBP2-76791) following the manufacturer’s standard curve, sample volume, and incubation scheme; samples were prepared in the kit-recommended diluent, and readings were converted to concentration using a fitted standard curve generated on the same plate. Across both assays, plate maps, reagent lots, and kit lot/batch identifiers were recorded contemporaneously, and all readouts were expressed using the assay’s defined output basis (DNA-binding signal for Nrf2 and concentration units from the NOX4 standard curve) to maintain methodological traceability. </w:t>
      </w:r>
    </w:p>
    <w:p w14:paraId="71134020" w14:textId="36D35CE1" w:rsidR="00183398" w:rsidRPr="00D654BF" w:rsidRDefault="00183398" w:rsidP="00D654BF">
      <w:pPr>
        <w:pStyle w:val="ListParagraph"/>
        <w:numPr>
          <w:ilvl w:val="1"/>
          <w:numId w:val="13"/>
        </w:numPr>
        <w:bidi w:val="0"/>
        <w:spacing w:before="120" w:after="120" w:line="360" w:lineRule="auto"/>
        <w:ind w:left="547"/>
        <w:rPr>
          <w:rFonts w:ascii="Times New Roman" w:eastAsia="Times New Roman" w:hAnsi="Times New Roman" w:cs="Times New Roman"/>
          <w:b/>
          <w:bCs/>
        </w:rPr>
      </w:pPr>
      <w:r w:rsidRPr="00D654BF">
        <w:rPr>
          <w:rFonts w:ascii="Times New Roman" w:eastAsia="Times New Roman" w:hAnsi="Times New Roman" w:cs="Times New Roman"/>
          <w:b/>
          <w:bCs/>
        </w:rPr>
        <w:t>Ethical and biosafety considerations for in vitro work</w:t>
      </w:r>
    </w:p>
    <w:p w14:paraId="0A90120D" w14:textId="227231B5" w:rsidR="00183398" w:rsidRPr="008849D0" w:rsidRDefault="00183398" w:rsidP="00183398">
      <w:pPr>
        <w:pStyle w:val="NormalWeb"/>
        <w:widowControl w:val="0"/>
        <w:spacing w:before="120" w:beforeAutospacing="0" w:after="120" w:afterAutospacing="0" w:line="360" w:lineRule="auto"/>
        <w:jc w:val="both"/>
        <w:rPr>
          <w:sz w:val="22"/>
          <w:szCs w:val="22"/>
        </w:rPr>
      </w:pPr>
      <w:r w:rsidRPr="008849D0">
        <w:rPr>
          <w:sz w:val="22"/>
          <w:szCs w:val="22"/>
        </w:rPr>
        <w:t xml:space="preserve">No human subjects or live animals were used in any way, all experimentation work was done in vitro using a commercial cell line. The proper biosafety precautions in the culture of continuous mammalian cell cultures were observed, such as working in a certified biosafety cabinet, wearing proper personal protective gear, and disinfectant procedures of surfaces and waste lines. The primary importance of cell line provenance and contamination control was achieved by regularly screening mycoplasma and following the recommended set of authentications. Chemical and biological wastes were separated and deposited as per the institutional biosafety and chemical safety-related regulations and any deviations </w:t>
      </w:r>
      <w:r w:rsidRPr="008849D0">
        <w:rPr>
          <w:sz w:val="22"/>
          <w:szCs w:val="22"/>
        </w:rPr>
        <w:lastRenderedPageBreak/>
        <w:t>in the incidents were recorded in the laboratory log</w:t>
      </w:r>
      <w:r w:rsidR="0027314A">
        <w:rPr>
          <w:sz w:val="22"/>
          <w:szCs w:val="22"/>
        </w:rPr>
        <w:t>.</w:t>
      </w:r>
    </w:p>
    <w:p w14:paraId="4460A1BF" w14:textId="37D95959" w:rsidR="00183398" w:rsidRPr="00D654BF" w:rsidRDefault="00183398" w:rsidP="00D654BF">
      <w:pPr>
        <w:pStyle w:val="ListParagraph"/>
        <w:numPr>
          <w:ilvl w:val="1"/>
          <w:numId w:val="13"/>
        </w:numPr>
        <w:bidi w:val="0"/>
        <w:spacing w:before="120" w:after="120" w:line="360" w:lineRule="auto"/>
        <w:ind w:left="547"/>
        <w:rPr>
          <w:rFonts w:ascii="Times New Roman" w:eastAsia="Times New Roman" w:hAnsi="Times New Roman" w:cs="Times New Roman"/>
          <w:b/>
          <w:bCs/>
        </w:rPr>
      </w:pPr>
      <w:r w:rsidRPr="00D654BF">
        <w:rPr>
          <w:rFonts w:ascii="Times New Roman" w:eastAsia="Times New Roman" w:hAnsi="Times New Roman" w:cs="Times New Roman"/>
          <w:b/>
          <w:bCs/>
        </w:rPr>
        <w:t>Molecular Docking and Ligand Preparation</w:t>
      </w:r>
    </w:p>
    <w:p w14:paraId="4A2A06DC" w14:textId="67BB0A5B" w:rsidR="00183398" w:rsidRPr="00183398" w:rsidRDefault="00183398" w:rsidP="00E25891">
      <w:pPr>
        <w:pStyle w:val="NormalWeb"/>
        <w:spacing w:before="120" w:beforeAutospacing="0" w:after="120" w:afterAutospacing="0" w:line="360" w:lineRule="auto"/>
        <w:jc w:val="both"/>
        <w:rPr>
          <w:sz w:val="22"/>
          <w:szCs w:val="22"/>
        </w:rPr>
      </w:pPr>
      <w:r w:rsidRPr="00DD0DF1">
        <w:rPr>
          <w:sz w:val="22"/>
          <w:szCs w:val="22"/>
        </w:rPr>
        <w:t xml:space="preserve">Molecular docking was performed to investigate the interaction between tangeretin and related proteins including: Keap1/Nrf2 (PDB ID: 2DYH), NOX4 (UniProt: </w:t>
      </w:r>
      <w:r w:rsidR="00E25891" w:rsidRPr="007B47FE">
        <w:t>Q9NPH5</w:t>
      </w:r>
      <w:r w:rsidRPr="00DD0DF1">
        <w:rPr>
          <w:sz w:val="22"/>
          <w:szCs w:val="22"/>
        </w:rPr>
        <w:t xml:space="preserve">), </w:t>
      </w:r>
      <w:r w:rsidR="00DD0DF1" w:rsidRPr="00DD0DF1">
        <w:rPr>
          <w:sz w:val="22"/>
          <w:szCs w:val="22"/>
        </w:rPr>
        <w:t xml:space="preserve">StAR (PDB ID: 3P0L), </w:t>
      </w:r>
      <w:r w:rsidRPr="00DD0DF1">
        <w:rPr>
          <w:sz w:val="22"/>
          <w:szCs w:val="22"/>
        </w:rPr>
        <w:t xml:space="preserve">CYP11A1 (Uniprot: </w:t>
      </w:r>
      <w:r w:rsidR="00E25891" w:rsidRPr="007B47FE">
        <w:t>P05108</w:t>
      </w:r>
      <w:r w:rsidRPr="00DD0DF1">
        <w:rPr>
          <w:sz w:val="22"/>
          <w:szCs w:val="22"/>
        </w:rPr>
        <w:t>)</w:t>
      </w:r>
      <w:r w:rsidR="00DD0DF1" w:rsidRPr="00DD0DF1">
        <w:rPr>
          <w:sz w:val="22"/>
          <w:szCs w:val="22"/>
        </w:rPr>
        <w:t xml:space="preserve"> and 3</w:t>
      </w:r>
      <w:r w:rsidRPr="00DD0DF1">
        <w:rPr>
          <w:sz w:val="22"/>
          <w:szCs w:val="22"/>
        </w:rPr>
        <w:t xml:space="preserve">β-HSD (Uniprot: </w:t>
      </w:r>
      <w:r w:rsidR="00E25891" w:rsidRPr="007B47FE">
        <w:t>P26439</w:t>
      </w:r>
      <w:r w:rsidRPr="00DD0DF1">
        <w:rPr>
          <w:sz w:val="22"/>
          <w:szCs w:val="22"/>
        </w:rPr>
        <w:t xml:space="preserve">). </w:t>
      </w:r>
      <w:r w:rsidR="000366EA" w:rsidRPr="00EC0611">
        <w:rPr>
          <w:rStyle w:val="Strong"/>
          <w:rFonts w:asciiTheme="majorBidi" w:hAnsiTheme="majorBidi" w:cstheme="majorBidi"/>
          <w:b w:val="0"/>
          <w:bCs w:val="0"/>
          <w:sz w:val="22"/>
          <w:szCs w:val="22"/>
        </w:rPr>
        <w:t>For StAR protein docking, the simulation was done based on the prediction of the ligand-accessible hydrophobic zone related to cholesterol binding and not enzyme inhibition.</w:t>
      </w:r>
      <w:r w:rsidR="000366EA" w:rsidRPr="00EC0611">
        <w:rPr>
          <w:rStyle w:val="Strong"/>
          <w:rFonts w:asciiTheme="majorBidi" w:hAnsiTheme="majorBidi" w:cstheme="majorBidi"/>
        </w:rPr>
        <w:t xml:space="preserve"> </w:t>
      </w:r>
      <w:r w:rsidRPr="00DD0DF1">
        <w:rPr>
          <w:sz w:val="22"/>
          <w:szCs w:val="22"/>
        </w:rPr>
        <w:t>The three-dimensional structure of tangeretin (PubChem CID: 68077) was obtained from PubChem. Ligand structures were prepared using Open Babel and RDKit. Docking simulations were performed using AutoDock Vina (Trott et al., 2010) with an exhaustiveness value of 8. Grid boxes (30 × 30 × 30 Å) were centered on the predicted active sites. The top-ranked poses were selected based on binding affinity and structural consistency.</w:t>
      </w:r>
    </w:p>
    <w:p w14:paraId="49560408" w14:textId="000C0CDA" w:rsidR="00183398" w:rsidRPr="00D654BF" w:rsidRDefault="00183398" w:rsidP="00D654BF">
      <w:pPr>
        <w:pStyle w:val="ListParagraph"/>
        <w:numPr>
          <w:ilvl w:val="1"/>
          <w:numId w:val="13"/>
        </w:numPr>
        <w:bidi w:val="0"/>
        <w:spacing w:before="120" w:after="120" w:line="360" w:lineRule="auto"/>
        <w:ind w:left="547"/>
        <w:rPr>
          <w:rFonts w:ascii="Times New Roman" w:eastAsia="Times New Roman" w:hAnsi="Times New Roman" w:cs="Times New Roman"/>
          <w:b/>
          <w:bCs/>
        </w:rPr>
      </w:pPr>
      <w:r w:rsidRPr="00D654BF">
        <w:rPr>
          <w:rFonts w:ascii="Times New Roman" w:eastAsia="Times New Roman" w:hAnsi="Times New Roman" w:cs="Times New Roman"/>
          <w:b/>
          <w:bCs/>
        </w:rPr>
        <w:t>Interaction and Structural Analysis</w:t>
      </w:r>
    </w:p>
    <w:p w14:paraId="03E58625" w14:textId="77777777" w:rsidR="00183398" w:rsidRPr="00183398" w:rsidRDefault="00183398" w:rsidP="00183398">
      <w:pPr>
        <w:pStyle w:val="NormalWeb"/>
        <w:spacing w:before="120" w:beforeAutospacing="0" w:after="120" w:afterAutospacing="0" w:line="360" w:lineRule="auto"/>
        <w:jc w:val="both"/>
        <w:rPr>
          <w:sz w:val="22"/>
          <w:szCs w:val="22"/>
        </w:rPr>
      </w:pPr>
      <w:r w:rsidRPr="00DD0DF1">
        <w:rPr>
          <w:sz w:val="22"/>
          <w:szCs w:val="22"/>
        </w:rPr>
        <w:t>Hydrogen bonding interactions were identified based on distance criteria (≤3.5 Å). Per-residue contact analysis was conducted to determine key interacting residues within 4.0 Å of the ligand. Structural similarity among docking poses was evaluated using RMSD matrices, followed by visualization through heatmaps and hierarchical clustering (dendrograms) to identify dominant conformational clusters. Three-dimensional visualization of docking results was performed using UCSF ChimeraX (Meng et al., 2023).</w:t>
      </w:r>
    </w:p>
    <w:p w14:paraId="218C516A" w14:textId="5B90A8B3" w:rsidR="00483C84" w:rsidRPr="00D654BF" w:rsidRDefault="00483C84" w:rsidP="00D654BF">
      <w:pPr>
        <w:pStyle w:val="ListParagraph"/>
        <w:numPr>
          <w:ilvl w:val="1"/>
          <w:numId w:val="13"/>
        </w:numPr>
        <w:bidi w:val="0"/>
        <w:spacing w:before="120" w:after="120" w:line="360" w:lineRule="auto"/>
        <w:ind w:left="547"/>
        <w:rPr>
          <w:rFonts w:ascii="Times New Roman" w:eastAsia="Times New Roman" w:hAnsi="Times New Roman" w:cs="Times New Roman"/>
          <w:b/>
          <w:bCs/>
        </w:rPr>
      </w:pPr>
      <w:r w:rsidRPr="00D654BF">
        <w:rPr>
          <w:rFonts w:ascii="Times New Roman" w:eastAsia="Times New Roman" w:hAnsi="Times New Roman" w:cs="Times New Roman"/>
          <w:b/>
          <w:bCs/>
        </w:rPr>
        <w:t>Data handling, normalization strategy, and statistical analysis plan</w:t>
      </w:r>
    </w:p>
    <w:p w14:paraId="1F1C1292" w14:textId="44CC4EEB" w:rsidR="00483C84" w:rsidRDefault="00483C84" w:rsidP="00766849">
      <w:pPr>
        <w:pStyle w:val="NormalWeb"/>
        <w:widowControl w:val="0"/>
        <w:spacing w:before="120" w:beforeAutospacing="0" w:after="120" w:afterAutospacing="0" w:line="360" w:lineRule="auto"/>
        <w:jc w:val="both"/>
        <w:rPr>
          <w:sz w:val="22"/>
          <w:szCs w:val="22"/>
        </w:rPr>
      </w:pPr>
      <w:r w:rsidRPr="008849D0">
        <w:rPr>
          <w:sz w:val="22"/>
          <w:szCs w:val="22"/>
        </w:rPr>
        <w:t>Raw data were also automatically exported without any manual data manipulation and stored in form of timestamps and run numbers. Plate based assays were controlled by blank correction followed by standard curve fitting as per manufacturer guidelines and results normalized to total protein, viable cell content or matched internal controls as per the endpoint. In the case of RT-qPCR, housekeeping genes were used to process Ct values, and in instances where efficiency was required, efficiency-aware calculation of relative expression was performed. To carry out immunoblotting, densitometry values were normalized to loading controls and where necessary values were given as a ratio to the vehicle control. The statistical analysis was based on a pre-determined plan based on the factorial structure of treatment and time, and the normality and variance conditions were evaluated and then a choice of tests was determined between parametric and non-parametric tests. The inference unit was a biological replicate, which is an independent experiment on a different day, whereas the technical replicates were to stabilize the measurement error within a biological replicate.</w:t>
      </w:r>
    </w:p>
    <w:p w14:paraId="47C354B3" w14:textId="24544691" w:rsidR="00483C84" w:rsidRPr="00D654BF" w:rsidRDefault="00483C84" w:rsidP="00D654BF">
      <w:pPr>
        <w:pStyle w:val="ListParagraph"/>
        <w:numPr>
          <w:ilvl w:val="1"/>
          <w:numId w:val="13"/>
        </w:numPr>
        <w:bidi w:val="0"/>
        <w:spacing w:before="120" w:after="120" w:line="360" w:lineRule="auto"/>
        <w:ind w:left="547"/>
        <w:rPr>
          <w:rFonts w:ascii="Times New Roman" w:eastAsia="Times New Roman" w:hAnsi="Times New Roman" w:cs="Times New Roman"/>
          <w:b/>
          <w:bCs/>
        </w:rPr>
      </w:pPr>
      <w:bookmarkStart w:id="0" w:name="_GoBack"/>
      <w:bookmarkEnd w:id="0"/>
      <w:r w:rsidRPr="00D654BF">
        <w:rPr>
          <w:rFonts w:ascii="Times New Roman" w:eastAsia="Times New Roman" w:hAnsi="Times New Roman" w:cs="Times New Roman"/>
          <w:b/>
          <w:bCs/>
        </w:rPr>
        <w:t>Statistical analysis</w:t>
      </w:r>
    </w:p>
    <w:p w14:paraId="2B951F2F" w14:textId="02DE6234" w:rsidR="00483C84" w:rsidRPr="008849D0" w:rsidRDefault="00483C84" w:rsidP="00483C84">
      <w:pPr>
        <w:pStyle w:val="NormalWeb"/>
        <w:widowControl w:val="0"/>
        <w:spacing w:before="120" w:beforeAutospacing="0" w:after="120" w:afterAutospacing="0" w:line="360" w:lineRule="auto"/>
        <w:jc w:val="both"/>
        <w:rPr>
          <w:sz w:val="22"/>
          <w:szCs w:val="22"/>
        </w:rPr>
      </w:pPr>
      <w:r w:rsidRPr="008849D0">
        <w:rPr>
          <w:sz w:val="22"/>
          <w:szCs w:val="22"/>
        </w:rPr>
        <w:t xml:space="preserve">The biological replicate (an independent experiment done on a different day) was used as the unit of inference to analyze all of the quantitative results and the technical replicates within each experiment </w:t>
      </w:r>
      <w:r w:rsidRPr="008849D0">
        <w:rPr>
          <w:sz w:val="22"/>
          <w:szCs w:val="22"/>
        </w:rPr>
        <w:lastRenderedPageBreak/>
        <w:t xml:space="preserve">were averaged to stabilize within-assay measurement error prior to statistical testing. Raw instrument exports were stored without any manual modification and endpoint-specific </w:t>
      </w:r>
      <w:r w:rsidR="000366EA" w:rsidRPr="008849D0">
        <w:rPr>
          <w:sz w:val="22"/>
          <w:szCs w:val="22"/>
        </w:rPr>
        <w:t>pre-processing</w:t>
      </w:r>
      <w:r w:rsidRPr="008849D0">
        <w:rPr>
          <w:sz w:val="22"/>
          <w:szCs w:val="22"/>
        </w:rPr>
        <w:t xml:space="preserve"> was performed according to the manufacturers</w:t>
      </w:r>
      <w:r>
        <w:rPr>
          <w:sz w:val="22"/>
          <w:szCs w:val="22"/>
        </w:rPr>
        <w:t>’</w:t>
      </w:r>
      <w:r w:rsidRPr="008849D0">
        <w:rPr>
          <w:sz w:val="22"/>
          <w:szCs w:val="22"/>
        </w:rPr>
        <w:t xml:space="preserve"> instructions (e.g., blank subtraction and standard-curve routines when assessment is plate-based, normalization to total protein or viable cell content where indicated, ΔΔCt-based relative expression in RT-qPCR using known housekeeping genes and densitometry normalization to loading standards in immunoblotting). Approximate normality and homogeneity of variance assumptions were assessed before testing hypotheses: the appropriate comparisons according to the structure of the study design were used, one-way ANOVA on the between-run SEM size consistency, dose-range viability tests in each timepoint, two-condition physicochemical comparisons, which are Welch’s two-sample t-test, and two-way ANOVA to test definitive biological endpoints across the factorial geometry of Group and Time with a focus on Group×Time interaction. Where necessary, Welch t-tests with Holm multiplicity adjustment were used to test predefined contrasts, statistical significance was established at p&lt;0.05 (two-sided) and effects were measured by ANOVA models using η² or partial η² and by pair-wise contrasts using Hedges’ g; the results are reported as mean±SD (and 95% CIs where appropriate).</w:t>
      </w:r>
    </w:p>
    <w:p w14:paraId="6809F7CB" w14:textId="4FA493A4" w:rsidR="007E764F" w:rsidRPr="00DA5318" w:rsidRDefault="006A111A" w:rsidP="005B6768">
      <w:pPr>
        <w:ind w:left="-180" w:right="-334"/>
        <w:jc w:val="both"/>
        <w:rPr>
          <w:rFonts w:ascii="Segoe UI" w:eastAsia="Times New Roman" w:hAnsi="Segoe UI" w:cs="Segoe UI"/>
          <w:color w:val="6B7280"/>
          <w:sz w:val="18"/>
          <w:szCs w:val="18"/>
          <w:lang w:eastAsia="en-AE"/>
        </w:rPr>
      </w:pPr>
      <w:r>
        <w:rPr>
          <w:rStyle w:val="Hyperlink"/>
          <w:rFonts w:asciiTheme="majorBidi" w:hAnsiTheme="majorBidi" w:cstheme="majorBidi"/>
          <w:sz w:val="20"/>
          <w:szCs w:val="20"/>
          <w:shd w:val="clear" w:color="auto" w:fill="FFFFFF"/>
        </w:rPr>
        <w:t xml:space="preserve"> </w:t>
      </w:r>
    </w:p>
    <w:sectPr w:rsidR="007E764F" w:rsidRPr="00DA5318">
      <w:footerReference w:type="default" r:id="rId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2E828C" w14:textId="77777777" w:rsidR="00676E07" w:rsidRDefault="00676E07" w:rsidP="00406791">
      <w:pPr>
        <w:spacing w:after="0" w:line="240" w:lineRule="auto"/>
      </w:pPr>
      <w:r>
        <w:separator/>
      </w:r>
    </w:p>
  </w:endnote>
  <w:endnote w:type="continuationSeparator" w:id="0">
    <w:p w14:paraId="7FCF360A" w14:textId="77777777" w:rsidR="00676E07" w:rsidRDefault="00676E07" w:rsidP="00406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2055105"/>
      <w:docPartObj>
        <w:docPartGallery w:val="Page Numbers (Bottom of Page)"/>
        <w:docPartUnique/>
      </w:docPartObj>
    </w:sdtPr>
    <w:sdtEndPr>
      <w:rPr>
        <w:noProof/>
      </w:rPr>
    </w:sdtEndPr>
    <w:sdtContent>
      <w:p w14:paraId="237A5EA9" w14:textId="526390A6" w:rsidR="00706661" w:rsidRDefault="00706661">
        <w:pPr>
          <w:pStyle w:val="Footer"/>
          <w:jc w:val="center"/>
        </w:pPr>
        <w:r>
          <w:fldChar w:fldCharType="begin"/>
        </w:r>
        <w:r>
          <w:instrText xml:space="preserve"> PAGE   \* MERGEFORMAT </w:instrText>
        </w:r>
        <w:r>
          <w:fldChar w:fldCharType="separate"/>
        </w:r>
        <w:r w:rsidR="00E25891">
          <w:rPr>
            <w:noProof/>
          </w:rPr>
          <w:t>3</w:t>
        </w:r>
        <w:r>
          <w:rPr>
            <w:noProof/>
          </w:rPr>
          <w:fldChar w:fldCharType="end"/>
        </w:r>
      </w:p>
    </w:sdtContent>
  </w:sdt>
  <w:p w14:paraId="4340C07D" w14:textId="77777777" w:rsidR="00706661" w:rsidRDefault="007066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A68414" w14:textId="77777777" w:rsidR="00676E07" w:rsidRDefault="00676E07" w:rsidP="00406791">
      <w:pPr>
        <w:spacing w:after="0" w:line="240" w:lineRule="auto"/>
      </w:pPr>
      <w:r>
        <w:separator/>
      </w:r>
    </w:p>
  </w:footnote>
  <w:footnote w:type="continuationSeparator" w:id="0">
    <w:p w14:paraId="67BE3982" w14:textId="77777777" w:rsidR="00676E07" w:rsidRDefault="00676E07" w:rsidP="004067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47D5C"/>
    <w:multiLevelType w:val="multilevel"/>
    <w:tmpl w:val="FCDE6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D5684F"/>
    <w:multiLevelType w:val="multilevel"/>
    <w:tmpl w:val="D8EA0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674972"/>
    <w:multiLevelType w:val="multilevel"/>
    <w:tmpl w:val="C6B24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762924"/>
    <w:multiLevelType w:val="multilevel"/>
    <w:tmpl w:val="EC784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D534BB"/>
    <w:multiLevelType w:val="hybridMultilevel"/>
    <w:tmpl w:val="3C5E59A8"/>
    <w:lvl w:ilvl="0" w:tplc="4C09000F">
      <w:start w:val="1"/>
      <w:numFmt w:val="decimal"/>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5" w15:restartNumberingAfterBreak="0">
    <w:nsid w:val="27330D46"/>
    <w:multiLevelType w:val="multilevel"/>
    <w:tmpl w:val="0B12FE1A"/>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438C108B"/>
    <w:multiLevelType w:val="multilevel"/>
    <w:tmpl w:val="B54EE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995EF3"/>
    <w:multiLevelType w:val="multilevel"/>
    <w:tmpl w:val="BD3C5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AE20E0"/>
    <w:multiLevelType w:val="multilevel"/>
    <w:tmpl w:val="D2D4A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741797"/>
    <w:multiLevelType w:val="hybridMultilevel"/>
    <w:tmpl w:val="6C02EC30"/>
    <w:lvl w:ilvl="0" w:tplc="8AE62110">
      <w:start w:val="1"/>
      <w:numFmt w:val="decimal"/>
      <w:lvlText w:val="2.%1.1"/>
      <w:lvlJc w:val="left"/>
      <w:pPr>
        <w:ind w:left="720" w:hanging="360"/>
      </w:pPr>
      <w:rPr>
        <w:rFonts w:hint="default"/>
      </w:rPr>
    </w:lvl>
    <w:lvl w:ilvl="1" w:tplc="4C090019" w:tentative="1">
      <w:start w:val="1"/>
      <w:numFmt w:val="lowerLetter"/>
      <w:lvlText w:val="%2."/>
      <w:lvlJc w:val="left"/>
      <w:pPr>
        <w:ind w:left="1440" w:hanging="360"/>
      </w:pPr>
    </w:lvl>
    <w:lvl w:ilvl="2" w:tplc="4C09001B">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0" w15:restartNumberingAfterBreak="0">
    <w:nsid w:val="5EF3592F"/>
    <w:multiLevelType w:val="multilevel"/>
    <w:tmpl w:val="F88E28B6"/>
    <w:lvl w:ilvl="0">
      <w:start w:val="2"/>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2"/>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6BDB056F"/>
    <w:multiLevelType w:val="multilevel"/>
    <w:tmpl w:val="442E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7C5D56"/>
    <w:multiLevelType w:val="multilevel"/>
    <w:tmpl w:val="01A8D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274DA0"/>
    <w:multiLevelType w:val="hybridMultilevel"/>
    <w:tmpl w:val="666A6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CE502C"/>
    <w:multiLevelType w:val="hybridMultilevel"/>
    <w:tmpl w:val="F1D660EA"/>
    <w:lvl w:ilvl="0" w:tplc="1876E9BA">
      <w:start w:val="1"/>
      <w:numFmt w:val="decimal"/>
      <w:lvlText w:val="2.%1"/>
      <w:lvlJc w:val="left"/>
      <w:pPr>
        <w:ind w:left="720" w:hanging="360"/>
      </w:pPr>
      <w:rPr>
        <w:rFonts w:hint="default"/>
      </w:rPr>
    </w:lvl>
    <w:lvl w:ilvl="1" w:tplc="4C090019">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num w:numId="1">
    <w:abstractNumId w:val="0"/>
  </w:num>
  <w:num w:numId="2">
    <w:abstractNumId w:val="1"/>
  </w:num>
  <w:num w:numId="3">
    <w:abstractNumId w:val="8"/>
  </w:num>
  <w:num w:numId="4">
    <w:abstractNumId w:val="11"/>
  </w:num>
  <w:num w:numId="5">
    <w:abstractNumId w:val="3"/>
  </w:num>
  <w:num w:numId="6">
    <w:abstractNumId w:val="2"/>
  </w:num>
  <w:num w:numId="7">
    <w:abstractNumId w:val="12"/>
  </w:num>
  <w:num w:numId="8">
    <w:abstractNumId w:val="7"/>
  </w:num>
  <w:num w:numId="9">
    <w:abstractNumId w:val="6"/>
  </w:num>
  <w:num w:numId="10">
    <w:abstractNumId w:val="13"/>
  </w:num>
  <w:num w:numId="11">
    <w:abstractNumId w:val="10"/>
  </w:num>
  <w:num w:numId="12">
    <w:abstractNumId w:val="4"/>
  </w:num>
  <w:num w:numId="13">
    <w:abstractNumId w:val="5"/>
  </w:num>
  <w:num w:numId="14">
    <w:abstractNumId w:val="1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53B"/>
    <w:rsid w:val="000169B9"/>
    <w:rsid w:val="0002119B"/>
    <w:rsid w:val="000366EA"/>
    <w:rsid w:val="000419E2"/>
    <w:rsid w:val="00067B6F"/>
    <w:rsid w:val="00067C22"/>
    <w:rsid w:val="000A02C8"/>
    <w:rsid w:val="000A5344"/>
    <w:rsid w:val="000F61E3"/>
    <w:rsid w:val="0012453B"/>
    <w:rsid w:val="00131F29"/>
    <w:rsid w:val="00183398"/>
    <w:rsid w:val="0018512F"/>
    <w:rsid w:val="001B70CE"/>
    <w:rsid w:val="00200800"/>
    <w:rsid w:val="00262C2F"/>
    <w:rsid w:val="0027063D"/>
    <w:rsid w:val="00271DEE"/>
    <w:rsid w:val="0027314A"/>
    <w:rsid w:val="002A3DA9"/>
    <w:rsid w:val="002B191C"/>
    <w:rsid w:val="002B679B"/>
    <w:rsid w:val="00302EDA"/>
    <w:rsid w:val="00364221"/>
    <w:rsid w:val="003A7207"/>
    <w:rsid w:val="003B0B91"/>
    <w:rsid w:val="003F17FF"/>
    <w:rsid w:val="00406791"/>
    <w:rsid w:val="004161F0"/>
    <w:rsid w:val="004246DC"/>
    <w:rsid w:val="00472D37"/>
    <w:rsid w:val="00483C84"/>
    <w:rsid w:val="00517DBD"/>
    <w:rsid w:val="00520B94"/>
    <w:rsid w:val="00535D9D"/>
    <w:rsid w:val="005616FC"/>
    <w:rsid w:val="0059185A"/>
    <w:rsid w:val="00591E01"/>
    <w:rsid w:val="005924B0"/>
    <w:rsid w:val="005B3E3E"/>
    <w:rsid w:val="005B421D"/>
    <w:rsid w:val="005B6768"/>
    <w:rsid w:val="0060652A"/>
    <w:rsid w:val="00655E65"/>
    <w:rsid w:val="00663C4E"/>
    <w:rsid w:val="00676E07"/>
    <w:rsid w:val="006A111A"/>
    <w:rsid w:val="006C43C5"/>
    <w:rsid w:val="00706661"/>
    <w:rsid w:val="0071101C"/>
    <w:rsid w:val="00766849"/>
    <w:rsid w:val="0078089E"/>
    <w:rsid w:val="0078529F"/>
    <w:rsid w:val="007906A8"/>
    <w:rsid w:val="00792469"/>
    <w:rsid w:val="007A1442"/>
    <w:rsid w:val="007A2A13"/>
    <w:rsid w:val="007E764F"/>
    <w:rsid w:val="007E7C1C"/>
    <w:rsid w:val="007F6645"/>
    <w:rsid w:val="008103B2"/>
    <w:rsid w:val="008237ED"/>
    <w:rsid w:val="008347FC"/>
    <w:rsid w:val="008E3586"/>
    <w:rsid w:val="008F1424"/>
    <w:rsid w:val="00997934"/>
    <w:rsid w:val="009D7951"/>
    <w:rsid w:val="00A4111D"/>
    <w:rsid w:val="00A442B0"/>
    <w:rsid w:val="00A51122"/>
    <w:rsid w:val="00A65990"/>
    <w:rsid w:val="00AA2A56"/>
    <w:rsid w:val="00AB46A5"/>
    <w:rsid w:val="00AD7BD3"/>
    <w:rsid w:val="00AF47F8"/>
    <w:rsid w:val="00B24280"/>
    <w:rsid w:val="00B37FC8"/>
    <w:rsid w:val="00C14FE3"/>
    <w:rsid w:val="00C874FB"/>
    <w:rsid w:val="00C87CB5"/>
    <w:rsid w:val="00D654BF"/>
    <w:rsid w:val="00D747DC"/>
    <w:rsid w:val="00D83739"/>
    <w:rsid w:val="00DA5318"/>
    <w:rsid w:val="00DD0DF1"/>
    <w:rsid w:val="00DF0B3C"/>
    <w:rsid w:val="00E25891"/>
    <w:rsid w:val="00E7760F"/>
    <w:rsid w:val="00E955E9"/>
    <w:rsid w:val="00EC0611"/>
    <w:rsid w:val="00EC6136"/>
    <w:rsid w:val="00F01851"/>
    <w:rsid w:val="00F040A2"/>
    <w:rsid w:val="00F373A0"/>
    <w:rsid w:val="00FA2717"/>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F1A28"/>
  <w15:chartTrackingRefBased/>
  <w15:docId w15:val="{00B364C0-BB45-4EFB-8A76-669182EEB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4161F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12453B"/>
    <w:pPr>
      <w:spacing w:before="100" w:beforeAutospacing="1" w:after="100" w:afterAutospacing="1" w:line="240" w:lineRule="auto"/>
      <w:outlineLvl w:val="2"/>
    </w:pPr>
    <w:rPr>
      <w:rFonts w:ascii="Times New Roman" w:eastAsia="Times New Roman" w:hAnsi="Times New Roman" w:cs="Times New Roman"/>
      <w:b/>
      <w:bCs/>
      <w:sz w:val="27"/>
      <w:szCs w:val="27"/>
      <w:lang w:eastAsia="en-AE"/>
    </w:rPr>
  </w:style>
  <w:style w:type="paragraph" w:styleId="Heading4">
    <w:name w:val="heading 4"/>
    <w:basedOn w:val="Normal"/>
    <w:next w:val="Normal"/>
    <w:link w:val="Heading4Char"/>
    <w:uiPriority w:val="9"/>
    <w:semiHidden/>
    <w:unhideWhenUsed/>
    <w:qFormat/>
    <w:rsid w:val="004161F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2453B"/>
    <w:rPr>
      <w:rFonts w:ascii="Times New Roman" w:eastAsia="Times New Roman" w:hAnsi="Times New Roman" w:cs="Times New Roman"/>
      <w:b/>
      <w:bCs/>
      <w:sz w:val="27"/>
      <w:szCs w:val="27"/>
      <w:lang w:eastAsia="en-AE"/>
    </w:rPr>
  </w:style>
  <w:style w:type="paragraph" w:styleId="NormalWeb">
    <w:name w:val="Normal (Web)"/>
    <w:basedOn w:val="Normal"/>
    <w:uiPriority w:val="99"/>
    <w:unhideWhenUsed/>
    <w:rsid w:val="0012453B"/>
    <w:pPr>
      <w:spacing w:before="100" w:beforeAutospacing="1" w:after="100" w:afterAutospacing="1" w:line="240" w:lineRule="auto"/>
    </w:pPr>
    <w:rPr>
      <w:rFonts w:ascii="Times New Roman" w:eastAsia="Times New Roman" w:hAnsi="Times New Roman" w:cs="Times New Roman"/>
      <w:sz w:val="24"/>
      <w:szCs w:val="24"/>
      <w:lang w:eastAsia="en-AE"/>
    </w:rPr>
  </w:style>
  <w:style w:type="paragraph" w:styleId="ListParagraph">
    <w:name w:val="List Paragraph"/>
    <w:basedOn w:val="Normal"/>
    <w:uiPriority w:val="34"/>
    <w:qFormat/>
    <w:rsid w:val="0012453B"/>
    <w:pPr>
      <w:bidi/>
      <w:ind w:left="720"/>
      <w:contextualSpacing/>
    </w:pPr>
    <w:rPr>
      <w:lang w:val="en-US"/>
    </w:rPr>
  </w:style>
  <w:style w:type="character" w:customStyle="1" w:styleId="math-inline">
    <w:name w:val="math-inline"/>
    <w:basedOn w:val="DefaultParagraphFont"/>
    <w:rsid w:val="0012453B"/>
  </w:style>
  <w:style w:type="paragraph" w:styleId="Header">
    <w:name w:val="header"/>
    <w:basedOn w:val="Normal"/>
    <w:link w:val="HeaderChar"/>
    <w:uiPriority w:val="99"/>
    <w:unhideWhenUsed/>
    <w:rsid w:val="004067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6791"/>
  </w:style>
  <w:style w:type="paragraph" w:styleId="Footer">
    <w:name w:val="footer"/>
    <w:basedOn w:val="Normal"/>
    <w:link w:val="FooterChar"/>
    <w:uiPriority w:val="99"/>
    <w:unhideWhenUsed/>
    <w:rsid w:val="004067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6791"/>
  </w:style>
  <w:style w:type="character" w:customStyle="1" w:styleId="font-medium">
    <w:name w:val="font-medium"/>
    <w:basedOn w:val="DefaultParagraphFont"/>
    <w:rsid w:val="000169B9"/>
  </w:style>
  <w:style w:type="character" w:customStyle="1" w:styleId="pt-006rem">
    <w:name w:val="pt-[0.06rem]"/>
    <w:basedOn w:val="DefaultParagraphFont"/>
    <w:rsid w:val="000169B9"/>
  </w:style>
  <w:style w:type="paragraph" w:customStyle="1" w:styleId="mb-2">
    <w:name w:val="mb-2"/>
    <w:basedOn w:val="Normal"/>
    <w:rsid w:val="003F17FF"/>
    <w:pPr>
      <w:spacing w:before="100" w:beforeAutospacing="1" w:after="100" w:afterAutospacing="1" w:line="240" w:lineRule="auto"/>
    </w:pPr>
    <w:rPr>
      <w:rFonts w:ascii="Times New Roman" w:eastAsia="Times New Roman" w:hAnsi="Times New Roman" w:cs="Times New Roman"/>
      <w:sz w:val="24"/>
      <w:szCs w:val="24"/>
      <w:lang w:eastAsia="en-AE"/>
    </w:rPr>
  </w:style>
  <w:style w:type="character" w:styleId="Emphasis">
    <w:name w:val="Emphasis"/>
    <w:basedOn w:val="DefaultParagraphFont"/>
    <w:uiPriority w:val="20"/>
    <w:qFormat/>
    <w:rsid w:val="00302EDA"/>
    <w:rPr>
      <w:i/>
      <w:iCs/>
    </w:rPr>
  </w:style>
  <w:style w:type="character" w:styleId="Strong">
    <w:name w:val="Strong"/>
    <w:basedOn w:val="DefaultParagraphFont"/>
    <w:uiPriority w:val="22"/>
    <w:qFormat/>
    <w:rsid w:val="003B0B91"/>
    <w:rPr>
      <w:b/>
      <w:bCs/>
    </w:rPr>
  </w:style>
  <w:style w:type="character" w:styleId="Hyperlink">
    <w:name w:val="Hyperlink"/>
    <w:basedOn w:val="DefaultParagraphFont"/>
    <w:uiPriority w:val="99"/>
    <w:unhideWhenUsed/>
    <w:rsid w:val="003B0B91"/>
    <w:rPr>
      <w:color w:val="0000FF"/>
      <w:u w:val="single"/>
    </w:rPr>
  </w:style>
  <w:style w:type="character" w:customStyle="1" w:styleId="Heading2Char">
    <w:name w:val="Heading 2 Char"/>
    <w:basedOn w:val="DefaultParagraphFont"/>
    <w:link w:val="Heading2"/>
    <w:uiPriority w:val="9"/>
    <w:semiHidden/>
    <w:rsid w:val="004161F0"/>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4161F0"/>
    <w:rPr>
      <w:rFonts w:asciiTheme="majorHAnsi" w:eastAsiaTheme="majorEastAsia" w:hAnsiTheme="majorHAnsi" w:cstheme="majorBidi"/>
      <w:i/>
      <w:iCs/>
      <w:color w:val="2F5496" w:themeColor="accent1" w:themeShade="BF"/>
    </w:rPr>
  </w:style>
  <w:style w:type="paragraph" w:styleId="BalloonText">
    <w:name w:val="Balloon Text"/>
    <w:basedOn w:val="Normal"/>
    <w:link w:val="BalloonTextChar"/>
    <w:uiPriority w:val="99"/>
    <w:semiHidden/>
    <w:unhideWhenUsed/>
    <w:rsid w:val="000366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66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3440634">
      <w:bodyDiv w:val="1"/>
      <w:marLeft w:val="0"/>
      <w:marRight w:val="0"/>
      <w:marTop w:val="0"/>
      <w:marBottom w:val="0"/>
      <w:divBdr>
        <w:top w:val="none" w:sz="0" w:space="0" w:color="auto"/>
        <w:left w:val="none" w:sz="0" w:space="0" w:color="auto"/>
        <w:bottom w:val="none" w:sz="0" w:space="0" w:color="auto"/>
        <w:right w:val="none" w:sz="0" w:space="0" w:color="auto"/>
      </w:divBdr>
      <w:divsChild>
        <w:div w:id="799343455">
          <w:marLeft w:val="0"/>
          <w:marRight w:val="0"/>
          <w:marTop w:val="0"/>
          <w:marBottom w:val="0"/>
          <w:divBdr>
            <w:top w:val="single" w:sz="2" w:space="0" w:color="E5E7EB"/>
            <w:left w:val="single" w:sz="2" w:space="0" w:color="E5E7EB"/>
            <w:bottom w:val="single" w:sz="2" w:space="0" w:color="E5E7EB"/>
            <w:right w:val="single" w:sz="2" w:space="0" w:color="E5E7EB"/>
          </w:divBdr>
          <w:divsChild>
            <w:div w:id="4246952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17524480">
          <w:marLeft w:val="0"/>
          <w:marRight w:val="0"/>
          <w:marTop w:val="0"/>
          <w:marBottom w:val="0"/>
          <w:divBdr>
            <w:top w:val="single" w:sz="2" w:space="0" w:color="E5E7EB"/>
            <w:left w:val="single" w:sz="2" w:space="0" w:color="E5E7EB"/>
            <w:bottom w:val="single" w:sz="2" w:space="0" w:color="E5E7EB"/>
            <w:right w:val="single" w:sz="2" w:space="0" w:color="E5E7EB"/>
          </w:divBdr>
          <w:divsChild>
            <w:div w:id="262301768">
              <w:marLeft w:val="0"/>
              <w:marRight w:val="0"/>
              <w:marTop w:val="0"/>
              <w:marBottom w:val="0"/>
              <w:divBdr>
                <w:top w:val="single" w:sz="2" w:space="0" w:color="E5E7EB"/>
                <w:left w:val="single" w:sz="2" w:space="0" w:color="E5E7EB"/>
                <w:bottom w:val="single" w:sz="2" w:space="0" w:color="E5E7EB"/>
                <w:right w:val="single" w:sz="2" w:space="0" w:color="E5E7EB"/>
              </w:divBdr>
              <w:divsChild>
                <w:div w:id="220286609">
                  <w:marLeft w:val="0"/>
                  <w:marRight w:val="0"/>
                  <w:marTop w:val="0"/>
                  <w:marBottom w:val="0"/>
                  <w:divBdr>
                    <w:top w:val="single" w:sz="2" w:space="0" w:color="E5E7EB"/>
                    <w:left w:val="single" w:sz="2" w:space="0" w:color="E5E7EB"/>
                    <w:bottom w:val="single" w:sz="2" w:space="0" w:color="E5E7EB"/>
                    <w:right w:val="single" w:sz="2" w:space="0" w:color="E5E7EB"/>
                  </w:divBdr>
                  <w:divsChild>
                    <w:div w:id="13115229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3365434">
                  <w:marLeft w:val="0"/>
                  <w:marRight w:val="0"/>
                  <w:marTop w:val="0"/>
                  <w:marBottom w:val="0"/>
                  <w:divBdr>
                    <w:top w:val="single" w:sz="2" w:space="0" w:color="E5E7EB"/>
                    <w:left w:val="single" w:sz="2" w:space="0" w:color="E5E7EB"/>
                    <w:bottom w:val="single" w:sz="2" w:space="0" w:color="E5E7EB"/>
                    <w:right w:val="single" w:sz="2" w:space="0" w:color="E5E7EB"/>
                  </w:divBdr>
                  <w:divsChild>
                    <w:div w:id="1026104563">
                      <w:marLeft w:val="0"/>
                      <w:marRight w:val="0"/>
                      <w:marTop w:val="0"/>
                      <w:marBottom w:val="0"/>
                      <w:divBdr>
                        <w:top w:val="single" w:sz="2" w:space="0" w:color="E5E7EB"/>
                        <w:left w:val="single" w:sz="2" w:space="0" w:color="E5E7EB"/>
                        <w:bottom w:val="single" w:sz="2" w:space="0" w:color="E5E7EB"/>
                        <w:right w:val="single" w:sz="2" w:space="0" w:color="E5E7EB"/>
                      </w:divBdr>
                    </w:div>
                    <w:div w:id="1064718756">
                      <w:marLeft w:val="0"/>
                      <w:marRight w:val="0"/>
                      <w:marTop w:val="0"/>
                      <w:marBottom w:val="0"/>
                      <w:divBdr>
                        <w:top w:val="single" w:sz="2" w:space="0" w:color="E5E7EB"/>
                        <w:left w:val="single" w:sz="2" w:space="0" w:color="E5E7EB"/>
                        <w:bottom w:val="single" w:sz="2" w:space="0" w:color="E5E7EB"/>
                        <w:right w:val="single" w:sz="2" w:space="0" w:color="E5E7EB"/>
                      </w:divBdr>
                      <w:divsChild>
                        <w:div w:id="6062376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775778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620456008">
      <w:bodyDiv w:val="1"/>
      <w:marLeft w:val="0"/>
      <w:marRight w:val="0"/>
      <w:marTop w:val="0"/>
      <w:marBottom w:val="0"/>
      <w:divBdr>
        <w:top w:val="none" w:sz="0" w:space="0" w:color="auto"/>
        <w:left w:val="none" w:sz="0" w:space="0" w:color="auto"/>
        <w:bottom w:val="none" w:sz="0" w:space="0" w:color="auto"/>
        <w:right w:val="none" w:sz="0" w:space="0" w:color="auto"/>
      </w:divBdr>
      <w:divsChild>
        <w:div w:id="1501042594">
          <w:marLeft w:val="0"/>
          <w:marRight w:val="0"/>
          <w:marTop w:val="0"/>
          <w:marBottom w:val="0"/>
          <w:divBdr>
            <w:top w:val="single" w:sz="2" w:space="0" w:color="E5E7EB"/>
            <w:left w:val="single" w:sz="2" w:space="0" w:color="E5E7EB"/>
            <w:bottom w:val="single" w:sz="2" w:space="0" w:color="E5E7EB"/>
            <w:right w:val="single" w:sz="2" w:space="0" w:color="E5E7EB"/>
          </w:divBdr>
          <w:divsChild>
            <w:div w:id="11597308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06977675">
          <w:marLeft w:val="0"/>
          <w:marRight w:val="0"/>
          <w:marTop w:val="0"/>
          <w:marBottom w:val="0"/>
          <w:divBdr>
            <w:top w:val="single" w:sz="2" w:space="0" w:color="E5E7EB"/>
            <w:left w:val="single" w:sz="2" w:space="0" w:color="E5E7EB"/>
            <w:bottom w:val="single" w:sz="2" w:space="0" w:color="E5E7EB"/>
            <w:right w:val="single" w:sz="2" w:space="0" w:color="E5E7EB"/>
          </w:divBdr>
          <w:divsChild>
            <w:div w:id="1194995608">
              <w:marLeft w:val="0"/>
              <w:marRight w:val="0"/>
              <w:marTop w:val="0"/>
              <w:marBottom w:val="0"/>
              <w:divBdr>
                <w:top w:val="single" w:sz="2" w:space="0" w:color="E5E7EB"/>
                <w:left w:val="single" w:sz="2" w:space="0" w:color="E5E7EB"/>
                <w:bottom w:val="single" w:sz="2" w:space="0" w:color="E5E7EB"/>
                <w:right w:val="single" w:sz="2" w:space="0" w:color="E5E7EB"/>
              </w:divBdr>
              <w:divsChild>
                <w:div w:id="1412123849">
                  <w:marLeft w:val="0"/>
                  <w:marRight w:val="0"/>
                  <w:marTop w:val="0"/>
                  <w:marBottom w:val="0"/>
                  <w:divBdr>
                    <w:top w:val="single" w:sz="2" w:space="0" w:color="E5E7EB"/>
                    <w:left w:val="single" w:sz="2" w:space="0" w:color="E5E7EB"/>
                    <w:bottom w:val="single" w:sz="2" w:space="0" w:color="E5E7EB"/>
                    <w:right w:val="single" w:sz="2" w:space="0" w:color="E5E7EB"/>
                  </w:divBdr>
                  <w:divsChild>
                    <w:div w:id="10641083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57779388">
                  <w:marLeft w:val="0"/>
                  <w:marRight w:val="0"/>
                  <w:marTop w:val="0"/>
                  <w:marBottom w:val="0"/>
                  <w:divBdr>
                    <w:top w:val="single" w:sz="2" w:space="0" w:color="E5E7EB"/>
                    <w:left w:val="single" w:sz="2" w:space="0" w:color="E5E7EB"/>
                    <w:bottom w:val="single" w:sz="2" w:space="0" w:color="E5E7EB"/>
                    <w:right w:val="single" w:sz="2" w:space="0" w:color="E5E7EB"/>
                  </w:divBdr>
                  <w:divsChild>
                    <w:div w:id="1523661535">
                      <w:marLeft w:val="0"/>
                      <w:marRight w:val="0"/>
                      <w:marTop w:val="0"/>
                      <w:marBottom w:val="0"/>
                      <w:divBdr>
                        <w:top w:val="single" w:sz="2" w:space="0" w:color="E5E7EB"/>
                        <w:left w:val="single" w:sz="2" w:space="0" w:color="E5E7EB"/>
                        <w:bottom w:val="single" w:sz="2" w:space="0" w:color="E5E7EB"/>
                        <w:right w:val="single" w:sz="2" w:space="0" w:color="E5E7EB"/>
                      </w:divBdr>
                    </w:div>
                    <w:div w:id="1736392281">
                      <w:marLeft w:val="0"/>
                      <w:marRight w:val="0"/>
                      <w:marTop w:val="0"/>
                      <w:marBottom w:val="0"/>
                      <w:divBdr>
                        <w:top w:val="single" w:sz="2" w:space="0" w:color="E5E7EB"/>
                        <w:left w:val="single" w:sz="2" w:space="0" w:color="E5E7EB"/>
                        <w:bottom w:val="single" w:sz="2" w:space="0" w:color="E5E7EB"/>
                        <w:right w:val="single" w:sz="2" w:space="0" w:color="E5E7EB"/>
                      </w:divBdr>
                      <w:divsChild>
                        <w:div w:id="3384603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860005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891623957">
      <w:bodyDiv w:val="1"/>
      <w:marLeft w:val="0"/>
      <w:marRight w:val="0"/>
      <w:marTop w:val="0"/>
      <w:marBottom w:val="0"/>
      <w:divBdr>
        <w:top w:val="none" w:sz="0" w:space="0" w:color="auto"/>
        <w:left w:val="none" w:sz="0" w:space="0" w:color="auto"/>
        <w:bottom w:val="none" w:sz="0" w:space="0" w:color="auto"/>
        <w:right w:val="none" w:sz="0" w:space="0" w:color="auto"/>
      </w:divBdr>
      <w:divsChild>
        <w:div w:id="87703959">
          <w:marLeft w:val="0"/>
          <w:marRight w:val="0"/>
          <w:marTop w:val="0"/>
          <w:marBottom w:val="0"/>
          <w:divBdr>
            <w:top w:val="single" w:sz="2" w:space="0" w:color="E5E7EB"/>
            <w:left w:val="single" w:sz="2" w:space="0" w:color="E5E7EB"/>
            <w:bottom w:val="single" w:sz="2" w:space="0" w:color="E5E7EB"/>
            <w:right w:val="single" w:sz="2" w:space="0" w:color="E5E7EB"/>
          </w:divBdr>
          <w:divsChild>
            <w:div w:id="4402244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87749825">
          <w:marLeft w:val="0"/>
          <w:marRight w:val="0"/>
          <w:marTop w:val="0"/>
          <w:marBottom w:val="0"/>
          <w:divBdr>
            <w:top w:val="single" w:sz="2" w:space="0" w:color="E5E7EB"/>
            <w:left w:val="single" w:sz="2" w:space="0" w:color="E5E7EB"/>
            <w:bottom w:val="single" w:sz="2" w:space="0" w:color="E5E7EB"/>
            <w:right w:val="single" w:sz="2" w:space="0" w:color="E5E7EB"/>
          </w:divBdr>
          <w:divsChild>
            <w:div w:id="629743395">
              <w:marLeft w:val="0"/>
              <w:marRight w:val="0"/>
              <w:marTop w:val="0"/>
              <w:marBottom w:val="0"/>
              <w:divBdr>
                <w:top w:val="single" w:sz="2" w:space="0" w:color="E5E7EB"/>
                <w:left w:val="single" w:sz="2" w:space="0" w:color="E5E7EB"/>
                <w:bottom w:val="single" w:sz="2" w:space="0" w:color="E5E7EB"/>
                <w:right w:val="single" w:sz="2" w:space="0" w:color="E5E7EB"/>
              </w:divBdr>
              <w:divsChild>
                <w:div w:id="1203715127">
                  <w:marLeft w:val="0"/>
                  <w:marRight w:val="0"/>
                  <w:marTop w:val="0"/>
                  <w:marBottom w:val="0"/>
                  <w:divBdr>
                    <w:top w:val="single" w:sz="2" w:space="0" w:color="E5E7EB"/>
                    <w:left w:val="single" w:sz="2" w:space="0" w:color="E5E7EB"/>
                    <w:bottom w:val="single" w:sz="2" w:space="0" w:color="E5E7EB"/>
                    <w:right w:val="single" w:sz="2" w:space="0" w:color="E5E7EB"/>
                  </w:divBdr>
                  <w:divsChild>
                    <w:div w:id="15470648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02065377">
                  <w:marLeft w:val="0"/>
                  <w:marRight w:val="0"/>
                  <w:marTop w:val="0"/>
                  <w:marBottom w:val="0"/>
                  <w:divBdr>
                    <w:top w:val="single" w:sz="2" w:space="0" w:color="E5E7EB"/>
                    <w:left w:val="single" w:sz="2" w:space="0" w:color="E5E7EB"/>
                    <w:bottom w:val="single" w:sz="2" w:space="0" w:color="E5E7EB"/>
                    <w:right w:val="single" w:sz="2" w:space="0" w:color="E5E7EB"/>
                  </w:divBdr>
                  <w:divsChild>
                    <w:div w:id="408161569">
                      <w:marLeft w:val="0"/>
                      <w:marRight w:val="0"/>
                      <w:marTop w:val="0"/>
                      <w:marBottom w:val="0"/>
                      <w:divBdr>
                        <w:top w:val="single" w:sz="2" w:space="0" w:color="E5E7EB"/>
                        <w:left w:val="single" w:sz="2" w:space="0" w:color="E5E7EB"/>
                        <w:bottom w:val="single" w:sz="2" w:space="0" w:color="E5E7EB"/>
                        <w:right w:val="single" w:sz="2" w:space="0" w:color="E5E7EB"/>
                      </w:divBdr>
                    </w:div>
                    <w:div w:id="1867257094">
                      <w:marLeft w:val="0"/>
                      <w:marRight w:val="0"/>
                      <w:marTop w:val="0"/>
                      <w:marBottom w:val="0"/>
                      <w:divBdr>
                        <w:top w:val="single" w:sz="2" w:space="0" w:color="E5E7EB"/>
                        <w:left w:val="single" w:sz="2" w:space="0" w:color="E5E7EB"/>
                        <w:bottom w:val="single" w:sz="2" w:space="0" w:color="E5E7EB"/>
                        <w:right w:val="single" w:sz="2" w:space="0" w:color="E5E7EB"/>
                      </w:divBdr>
                      <w:divsChild>
                        <w:div w:id="8208543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67512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238244668">
      <w:bodyDiv w:val="1"/>
      <w:marLeft w:val="0"/>
      <w:marRight w:val="0"/>
      <w:marTop w:val="0"/>
      <w:marBottom w:val="0"/>
      <w:divBdr>
        <w:top w:val="none" w:sz="0" w:space="0" w:color="auto"/>
        <w:left w:val="none" w:sz="0" w:space="0" w:color="auto"/>
        <w:bottom w:val="none" w:sz="0" w:space="0" w:color="auto"/>
        <w:right w:val="none" w:sz="0" w:space="0" w:color="auto"/>
      </w:divBdr>
    </w:div>
    <w:div w:id="1502625236">
      <w:bodyDiv w:val="1"/>
      <w:marLeft w:val="0"/>
      <w:marRight w:val="0"/>
      <w:marTop w:val="0"/>
      <w:marBottom w:val="0"/>
      <w:divBdr>
        <w:top w:val="none" w:sz="0" w:space="0" w:color="auto"/>
        <w:left w:val="none" w:sz="0" w:space="0" w:color="auto"/>
        <w:bottom w:val="none" w:sz="0" w:space="0" w:color="auto"/>
        <w:right w:val="none" w:sz="0" w:space="0" w:color="auto"/>
      </w:divBdr>
      <w:divsChild>
        <w:div w:id="13759574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07808692">
      <w:bodyDiv w:val="1"/>
      <w:marLeft w:val="0"/>
      <w:marRight w:val="0"/>
      <w:marTop w:val="0"/>
      <w:marBottom w:val="0"/>
      <w:divBdr>
        <w:top w:val="none" w:sz="0" w:space="0" w:color="auto"/>
        <w:left w:val="none" w:sz="0" w:space="0" w:color="auto"/>
        <w:bottom w:val="none" w:sz="0" w:space="0" w:color="auto"/>
        <w:right w:val="none" w:sz="0" w:space="0" w:color="auto"/>
      </w:divBdr>
    </w:div>
    <w:div w:id="1817795791">
      <w:bodyDiv w:val="1"/>
      <w:marLeft w:val="0"/>
      <w:marRight w:val="0"/>
      <w:marTop w:val="0"/>
      <w:marBottom w:val="0"/>
      <w:divBdr>
        <w:top w:val="none" w:sz="0" w:space="0" w:color="auto"/>
        <w:left w:val="none" w:sz="0" w:space="0" w:color="auto"/>
        <w:bottom w:val="none" w:sz="0" w:space="0" w:color="auto"/>
        <w:right w:val="none" w:sz="0" w:space="0" w:color="auto"/>
      </w:divBdr>
    </w:div>
    <w:div w:id="1849636322">
      <w:bodyDiv w:val="1"/>
      <w:marLeft w:val="0"/>
      <w:marRight w:val="0"/>
      <w:marTop w:val="0"/>
      <w:marBottom w:val="0"/>
      <w:divBdr>
        <w:top w:val="none" w:sz="0" w:space="0" w:color="auto"/>
        <w:left w:val="none" w:sz="0" w:space="0" w:color="auto"/>
        <w:bottom w:val="none" w:sz="0" w:space="0" w:color="auto"/>
        <w:right w:val="none" w:sz="0" w:space="0" w:color="auto"/>
      </w:divBdr>
      <w:divsChild>
        <w:div w:id="1640300763">
          <w:marLeft w:val="0"/>
          <w:marRight w:val="0"/>
          <w:marTop w:val="0"/>
          <w:marBottom w:val="0"/>
          <w:divBdr>
            <w:top w:val="single" w:sz="2" w:space="0" w:color="E5E7EB"/>
            <w:left w:val="single" w:sz="2" w:space="0" w:color="E5E7EB"/>
            <w:bottom w:val="single" w:sz="2" w:space="0" w:color="E5E7EB"/>
            <w:right w:val="single" w:sz="2" w:space="0" w:color="E5E7EB"/>
          </w:divBdr>
          <w:divsChild>
            <w:div w:id="19058686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40759074">
          <w:marLeft w:val="0"/>
          <w:marRight w:val="0"/>
          <w:marTop w:val="0"/>
          <w:marBottom w:val="0"/>
          <w:divBdr>
            <w:top w:val="single" w:sz="2" w:space="0" w:color="E5E7EB"/>
            <w:left w:val="single" w:sz="2" w:space="0" w:color="E5E7EB"/>
            <w:bottom w:val="single" w:sz="2" w:space="0" w:color="E5E7EB"/>
            <w:right w:val="single" w:sz="2" w:space="0" w:color="E5E7EB"/>
          </w:divBdr>
          <w:divsChild>
            <w:div w:id="1686589444">
              <w:marLeft w:val="0"/>
              <w:marRight w:val="0"/>
              <w:marTop w:val="0"/>
              <w:marBottom w:val="0"/>
              <w:divBdr>
                <w:top w:val="single" w:sz="2" w:space="0" w:color="E5E7EB"/>
                <w:left w:val="single" w:sz="2" w:space="0" w:color="E5E7EB"/>
                <w:bottom w:val="single" w:sz="2" w:space="0" w:color="E5E7EB"/>
                <w:right w:val="single" w:sz="2" w:space="0" w:color="E5E7EB"/>
              </w:divBdr>
              <w:divsChild>
                <w:div w:id="803431290">
                  <w:marLeft w:val="0"/>
                  <w:marRight w:val="0"/>
                  <w:marTop w:val="0"/>
                  <w:marBottom w:val="0"/>
                  <w:divBdr>
                    <w:top w:val="single" w:sz="2" w:space="0" w:color="E5E7EB"/>
                    <w:left w:val="single" w:sz="2" w:space="0" w:color="E5E7EB"/>
                    <w:bottom w:val="single" w:sz="2" w:space="0" w:color="E5E7EB"/>
                    <w:right w:val="single" w:sz="2" w:space="0" w:color="E5E7EB"/>
                  </w:divBdr>
                  <w:divsChild>
                    <w:div w:id="17855360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72577501">
                  <w:marLeft w:val="0"/>
                  <w:marRight w:val="0"/>
                  <w:marTop w:val="0"/>
                  <w:marBottom w:val="0"/>
                  <w:divBdr>
                    <w:top w:val="single" w:sz="2" w:space="0" w:color="E5E7EB"/>
                    <w:left w:val="single" w:sz="2" w:space="0" w:color="E5E7EB"/>
                    <w:bottom w:val="single" w:sz="2" w:space="0" w:color="E5E7EB"/>
                    <w:right w:val="single" w:sz="2" w:space="0" w:color="E5E7EB"/>
                  </w:divBdr>
                  <w:divsChild>
                    <w:div w:id="1911307407">
                      <w:marLeft w:val="0"/>
                      <w:marRight w:val="0"/>
                      <w:marTop w:val="0"/>
                      <w:marBottom w:val="0"/>
                      <w:divBdr>
                        <w:top w:val="single" w:sz="2" w:space="0" w:color="E5E7EB"/>
                        <w:left w:val="single" w:sz="2" w:space="0" w:color="E5E7EB"/>
                        <w:bottom w:val="single" w:sz="2" w:space="0" w:color="E5E7EB"/>
                        <w:right w:val="single" w:sz="2" w:space="0" w:color="E5E7EB"/>
                      </w:divBdr>
                    </w:div>
                    <w:div w:id="519706380">
                      <w:marLeft w:val="0"/>
                      <w:marRight w:val="0"/>
                      <w:marTop w:val="0"/>
                      <w:marBottom w:val="0"/>
                      <w:divBdr>
                        <w:top w:val="single" w:sz="2" w:space="0" w:color="E5E7EB"/>
                        <w:left w:val="single" w:sz="2" w:space="0" w:color="E5E7EB"/>
                        <w:bottom w:val="single" w:sz="2" w:space="0" w:color="E5E7EB"/>
                        <w:right w:val="single" w:sz="2" w:space="0" w:color="E5E7EB"/>
                      </w:divBdr>
                      <w:divsChild>
                        <w:div w:id="15854577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634525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950038456">
      <w:bodyDiv w:val="1"/>
      <w:marLeft w:val="0"/>
      <w:marRight w:val="0"/>
      <w:marTop w:val="0"/>
      <w:marBottom w:val="0"/>
      <w:divBdr>
        <w:top w:val="none" w:sz="0" w:space="0" w:color="auto"/>
        <w:left w:val="none" w:sz="0" w:space="0" w:color="auto"/>
        <w:bottom w:val="none" w:sz="0" w:space="0" w:color="auto"/>
        <w:right w:val="none" w:sz="0" w:space="0" w:color="auto"/>
      </w:divBdr>
      <w:divsChild>
        <w:div w:id="12465683">
          <w:marLeft w:val="0"/>
          <w:marRight w:val="0"/>
          <w:marTop w:val="0"/>
          <w:marBottom w:val="0"/>
          <w:divBdr>
            <w:top w:val="single" w:sz="2" w:space="0" w:color="E5E7EB"/>
            <w:left w:val="single" w:sz="2" w:space="0" w:color="E5E7EB"/>
            <w:bottom w:val="single" w:sz="2" w:space="0" w:color="E5E7EB"/>
            <w:right w:val="single" w:sz="2" w:space="0" w:color="E5E7EB"/>
          </w:divBdr>
          <w:divsChild>
            <w:div w:id="2099241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8164173">
          <w:marLeft w:val="0"/>
          <w:marRight w:val="0"/>
          <w:marTop w:val="0"/>
          <w:marBottom w:val="0"/>
          <w:divBdr>
            <w:top w:val="single" w:sz="2" w:space="0" w:color="E5E7EB"/>
            <w:left w:val="single" w:sz="2" w:space="0" w:color="E5E7EB"/>
            <w:bottom w:val="single" w:sz="2" w:space="0" w:color="E5E7EB"/>
            <w:right w:val="single" w:sz="2" w:space="0" w:color="E5E7EB"/>
          </w:divBdr>
          <w:divsChild>
            <w:div w:id="14576686">
              <w:marLeft w:val="0"/>
              <w:marRight w:val="0"/>
              <w:marTop w:val="0"/>
              <w:marBottom w:val="0"/>
              <w:divBdr>
                <w:top w:val="single" w:sz="2" w:space="0" w:color="E5E7EB"/>
                <w:left w:val="single" w:sz="2" w:space="0" w:color="E5E7EB"/>
                <w:bottom w:val="single" w:sz="2" w:space="0" w:color="E5E7EB"/>
                <w:right w:val="single" w:sz="2" w:space="0" w:color="E5E7EB"/>
              </w:divBdr>
              <w:divsChild>
                <w:div w:id="1041125702">
                  <w:marLeft w:val="0"/>
                  <w:marRight w:val="0"/>
                  <w:marTop w:val="0"/>
                  <w:marBottom w:val="0"/>
                  <w:divBdr>
                    <w:top w:val="single" w:sz="2" w:space="0" w:color="E5E7EB"/>
                    <w:left w:val="single" w:sz="2" w:space="0" w:color="E5E7EB"/>
                    <w:bottom w:val="single" w:sz="2" w:space="0" w:color="E5E7EB"/>
                    <w:right w:val="single" w:sz="2" w:space="0" w:color="E5E7EB"/>
                  </w:divBdr>
                  <w:divsChild>
                    <w:div w:id="4091592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40154447">
                  <w:marLeft w:val="0"/>
                  <w:marRight w:val="0"/>
                  <w:marTop w:val="0"/>
                  <w:marBottom w:val="0"/>
                  <w:divBdr>
                    <w:top w:val="single" w:sz="2" w:space="0" w:color="E5E7EB"/>
                    <w:left w:val="single" w:sz="2" w:space="0" w:color="E5E7EB"/>
                    <w:bottom w:val="single" w:sz="2" w:space="0" w:color="E5E7EB"/>
                    <w:right w:val="single" w:sz="2" w:space="0" w:color="E5E7EB"/>
                  </w:divBdr>
                  <w:divsChild>
                    <w:div w:id="351108830">
                      <w:marLeft w:val="0"/>
                      <w:marRight w:val="0"/>
                      <w:marTop w:val="0"/>
                      <w:marBottom w:val="0"/>
                      <w:divBdr>
                        <w:top w:val="single" w:sz="2" w:space="0" w:color="E5E7EB"/>
                        <w:left w:val="single" w:sz="2" w:space="0" w:color="E5E7EB"/>
                        <w:bottom w:val="single" w:sz="2" w:space="0" w:color="E5E7EB"/>
                        <w:right w:val="single" w:sz="2" w:space="0" w:color="E5E7EB"/>
                      </w:divBdr>
                    </w:div>
                    <w:div w:id="695352784">
                      <w:marLeft w:val="0"/>
                      <w:marRight w:val="0"/>
                      <w:marTop w:val="0"/>
                      <w:marBottom w:val="0"/>
                      <w:divBdr>
                        <w:top w:val="single" w:sz="2" w:space="0" w:color="E5E7EB"/>
                        <w:left w:val="single" w:sz="2" w:space="0" w:color="E5E7EB"/>
                        <w:bottom w:val="single" w:sz="2" w:space="0" w:color="E5E7EB"/>
                        <w:right w:val="single" w:sz="2" w:space="0" w:color="E5E7EB"/>
                      </w:divBdr>
                      <w:divsChild>
                        <w:div w:id="11345662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472038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11</Pages>
  <Words>4926</Words>
  <Characters>28080</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Hefnawy</dc:creator>
  <cp:keywords/>
  <dc:description/>
  <cp:lastModifiedBy>Ahmad Hefnawy</cp:lastModifiedBy>
  <cp:revision>5</cp:revision>
  <cp:lastPrinted>2026-01-16T00:33:00Z</cp:lastPrinted>
  <dcterms:created xsi:type="dcterms:W3CDTF">2026-06-11T00:09:00Z</dcterms:created>
  <dcterms:modified xsi:type="dcterms:W3CDTF">2026-06-20T01:31:00Z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dc2c903f-6991-4005-881c-73e163339090</vt:lpwstr>
  </property>
</Properties>
</file>