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2A8B9" w14:textId="794E5BCF" w:rsidR="002C057F" w:rsidRPr="002C057F" w:rsidRDefault="002C057F" w:rsidP="002C057F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57F">
        <w:rPr>
          <w:rFonts w:ascii="Times New Roman" w:eastAsia="Times New Roman" w:hAnsi="Times New Roman" w:cs="Times New Roman"/>
          <w:b/>
          <w:bCs/>
          <w:sz w:val="24"/>
          <w:szCs w:val="24"/>
        </w:rPr>
        <w:t>Molecular Docking</w:t>
      </w:r>
    </w:p>
    <w:p w14:paraId="5F9453A1" w14:textId="0F9064AB" w:rsidR="00E63830" w:rsidRPr="007B47FE" w:rsidRDefault="00E63830" w:rsidP="000C147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7FE">
        <w:rPr>
          <w:rFonts w:ascii="Times New Roman" w:eastAsia="Times New Roman" w:hAnsi="Times New Roman" w:cs="Times New Roman"/>
          <w:sz w:val="24"/>
          <w:szCs w:val="24"/>
        </w:rPr>
        <w:t xml:space="preserve">Three-dimensional structures of </w:t>
      </w:r>
      <w:r w:rsidRPr="007A31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NOX4</w:t>
      </w:r>
      <w:r w:rsidRPr="007B47FE">
        <w:rPr>
          <w:rFonts w:ascii="Times New Roman" w:eastAsia="Times New Roman" w:hAnsi="Times New Roman" w:cs="Times New Roman"/>
          <w:sz w:val="24"/>
          <w:szCs w:val="24"/>
        </w:rPr>
        <w:t xml:space="preserve"> (UniProt: Q9NPH5), </w:t>
      </w:r>
      <w:r w:rsidRPr="007A31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CYP11A1</w:t>
      </w:r>
      <w:r w:rsidRPr="007B47FE">
        <w:rPr>
          <w:rFonts w:ascii="Times New Roman" w:eastAsia="Times New Roman" w:hAnsi="Times New Roman" w:cs="Times New Roman"/>
          <w:sz w:val="24"/>
          <w:szCs w:val="24"/>
        </w:rPr>
        <w:t xml:space="preserve"> (UniProt: P05108), and </w:t>
      </w:r>
      <w:r w:rsidRPr="007A31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3β-HSD</w:t>
      </w:r>
      <w:r w:rsidRPr="007B47FE">
        <w:rPr>
          <w:rFonts w:ascii="Times New Roman" w:eastAsia="Times New Roman" w:hAnsi="Times New Roman" w:cs="Times New Roman"/>
          <w:sz w:val="24"/>
          <w:szCs w:val="24"/>
        </w:rPr>
        <w:t xml:space="preserve"> (UniProt: P26439) were retrieved from the </w:t>
      </w:r>
      <w:proofErr w:type="spellStart"/>
      <w:r w:rsidRPr="007B47FE">
        <w:rPr>
          <w:rFonts w:ascii="Times New Roman" w:eastAsia="Times New Roman" w:hAnsi="Times New Roman" w:cs="Times New Roman"/>
          <w:sz w:val="24"/>
          <w:szCs w:val="24"/>
        </w:rPr>
        <w:t>AlphaFold</w:t>
      </w:r>
      <w:proofErr w:type="spellEnd"/>
      <w:r w:rsidRPr="007B47FE">
        <w:rPr>
          <w:rFonts w:ascii="Times New Roman" w:eastAsia="Times New Roman" w:hAnsi="Times New Roman" w:cs="Times New Roman"/>
          <w:sz w:val="24"/>
          <w:szCs w:val="24"/>
        </w:rPr>
        <w:t xml:space="preserve"> Protein Structure Database (</w:t>
      </w:r>
      <w:proofErr w:type="spellStart"/>
      <w:r w:rsidRPr="007B47FE">
        <w:rPr>
          <w:rFonts w:ascii="Times New Roman" w:eastAsia="Times New Roman" w:hAnsi="Times New Roman" w:cs="Times New Roman"/>
          <w:sz w:val="24"/>
          <w:szCs w:val="24"/>
        </w:rPr>
        <w:t>AlphaFold</w:t>
      </w:r>
      <w:proofErr w:type="spellEnd"/>
      <w:r w:rsidRPr="007B47FE">
        <w:rPr>
          <w:rFonts w:ascii="Times New Roman" w:eastAsia="Times New Roman" w:hAnsi="Times New Roman" w:cs="Times New Roman"/>
          <w:sz w:val="24"/>
          <w:szCs w:val="24"/>
        </w:rPr>
        <w:t xml:space="preserve"> v2). Structural quality was assessed using Ramachandran plot analysis and </w:t>
      </w:r>
      <w:proofErr w:type="spellStart"/>
      <w:r w:rsidRPr="007B47FE">
        <w:rPr>
          <w:rFonts w:ascii="Times New Roman" w:eastAsia="Times New Roman" w:hAnsi="Times New Roman" w:cs="Times New Roman"/>
          <w:sz w:val="24"/>
          <w:szCs w:val="24"/>
        </w:rPr>
        <w:t>MolProbity</w:t>
      </w:r>
      <w:proofErr w:type="spellEnd"/>
      <w:r w:rsidRPr="007B47FE">
        <w:rPr>
          <w:rFonts w:ascii="Times New Roman" w:eastAsia="Times New Roman" w:hAnsi="Times New Roman" w:cs="Times New Roman"/>
          <w:sz w:val="24"/>
          <w:szCs w:val="24"/>
        </w:rPr>
        <w:t xml:space="preserve"> validation metrics prior to docking studies.</w:t>
      </w:r>
    </w:p>
    <w:p w14:paraId="58592572" w14:textId="3C596EA1" w:rsidR="00E63830" w:rsidRPr="003E1F92" w:rsidRDefault="00E63830" w:rsidP="00E638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E1F92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Table S6</w:t>
      </w:r>
      <w:r w:rsidR="00BF65D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3E1F92">
        <w:rPr>
          <w:rFonts w:ascii="Times New Roman" w:eastAsia="Times New Roman" w:hAnsi="Times New Roman" w:cs="Times New Roman"/>
          <w:b/>
          <w:bCs/>
          <w:sz w:val="20"/>
          <w:szCs w:val="20"/>
        </w:rPr>
        <w:t>1. Structural Validation of Protein Models Used for Docking</w:t>
      </w:r>
    </w:p>
    <w:tbl>
      <w:tblPr>
        <w:tblW w:w="11210" w:type="dxa"/>
        <w:tblCellSpacing w:w="15" w:type="dxa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1272"/>
        <w:gridCol w:w="1453"/>
        <w:gridCol w:w="3181"/>
        <w:gridCol w:w="859"/>
        <w:gridCol w:w="1306"/>
        <w:gridCol w:w="944"/>
        <w:gridCol w:w="1070"/>
      </w:tblGrid>
      <w:tr w:rsidR="00E63830" w:rsidRPr="007B47FE" w14:paraId="134268D8" w14:textId="77777777" w:rsidTr="0081389C">
        <w:trPr>
          <w:trHeight w:val="22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FE7E12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Protein</w:t>
            </w:r>
          </w:p>
        </w:tc>
        <w:tc>
          <w:tcPr>
            <w:tcW w:w="0" w:type="auto"/>
            <w:vAlign w:val="center"/>
          </w:tcPr>
          <w:p w14:paraId="34377BD1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UniProt ID</w:t>
            </w:r>
          </w:p>
        </w:tc>
        <w:tc>
          <w:tcPr>
            <w:tcW w:w="0" w:type="auto"/>
            <w:vAlign w:val="center"/>
          </w:tcPr>
          <w:p w14:paraId="4F95BD64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0" w:type="auto"/>
            <w:vAlign w:val="center"/>
            <w:hideMark/>
          </w:tcPr>
          <w:p w14:paraId="3E8F9592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Ramachandran Favored (%)</w:t>
            </w:r>
          </w:p>
        </w:tc>
        <w:tc>
          <w:tcPr>
            <w:tcW w:w="0" w:type="auto"/>
            <w:vAlign w:val="center"/>
            <w:hideMark/>
          </w:tcPr>
          <w:p w14:paraId="2569DFA0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GMQE</w:t>
            </w:r>
          </w:p>
        </w:tc>
        <w:tc>
          <w:tcPr>
            <w:tcW w:w="0" w:type="auto"/>
            <w:vAlign w:val="center"/>
            <w:hideMark/>
          </w:tcPr>
          <w:p w14:paraId="69B4D1F1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MolProbity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E6FC11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ERRAT</w:t>
            </w:r>
          </w:p>
        </w:tc>
        <w:tc>
          <w:tcPr>
            <w:tcW w:w="0" w:type="auto"/>
            <w:vAlign w:val="center"/>
            <w:hideMark/>
          </w:tcPr>
          <w:p w14:paraId="3060F922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Verify3D</w:t>
            </w:r>
          </w:p>
        </w:tc>
      </w:tr>
      <w:tr w:rsidR="00E63830" w:rsidRPr="007B47FE" w14:paraId="4FA32237" w14:textId="77777777" w:rsidTr="0081389C">
        <w:trPr>
          <w:trHeight w:val="221"/>
          <w:tblCellSpacing w:w="15" w:type="dxa"/>
        </w:trPr>
        <w:tc>
          <w:tcPr>
            <w:tcW w:w="0" w:type="auto"/>
            <w:vAlign w:val="center"/>
            <w:hideMark/>
          </w:tcPr>
          <w:p w14:paraId="75BCD1A0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NOX4</w:t>
            </w:r>
          </w:p>
        </w:tc>
        <w:tc>
          <w:tcPr>
            <w:tcW w:w="0" w:type="auto"/>
            <w:vAlign w:val="center"/>
          </w:tcPr>
          <w:p w14:paraId="67C2D8F0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Q9NPH5</w:t>
            </w:r>
          </w:p>
        </w:tc>
        <w:tc>
          <w:tcPr>
            <w:tcW w:w="0" w:type="auto"/>
            <w:vAlign w:val="center"/>
          </w:tcPr>
          <w:p w14:paraId="39096C18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AlphaFold</w:t>
            </w:r>
            <w:proofErr w:type="spellEnd"/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v2</w:t>
            </w:r>
          </w:p>
        </w:tc>
        <w:tc>
          <w:tcPr>
            <w:tcW w:w="0" w:type="auto"/>
            <w:vAlign w:val="center"/>
            <w:hideMark/>
          </w:tcPr>
          <w:p w14:paraId="3984A6B1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94.10</w:t>
            </w:r>
          </w:p>
        </w:tc>
        <w:tc>
          <w:tcPr>
            <w:tcW w:w="0" w:type="auto"/>
            <w:vAlign w:val="center"/>
            <w:hideMark/>
          </w:tcPr>
          <w:p w14:paraId="30FBA334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  <w:vAlign w:val="center"/>
            <w:hideMark/>
          </w:tcPr>
          <w:p w14:paraId="40B0BFA2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14:paraId="57B4771A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93.5</w:t>
            </w:r>
          </w:p>
        </w:tc>
        <w:tc>
          <w:tcPr>
            <w:tcW w:w="0" w:type="auto"/>
            <w:vAlign w:val="center"/>
            <w:hideMark/>
          </w:tcPr>
          <w:p w14:paraId="414A04B3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91.8</w:t>
            </w:r>
          </w:p>
        </w:tc>
      </w:tr>
      <w:tr w:rsidR="00E63830" w:rsidRPr="007B47FE" w14:paraId="6FC791B4" w14:textId="77777777" w:rsidTr="0081389C">
        <w:trPr>
          <w:trHeight w:val="221"/>
          <w:tblCellSpacing w:w="15" w:type="dxa"/>
        </w:trPr>
        <w:tc>
          <w:tcPr>
            <w:tcW w:w="0" w:type="auto"/>
            <w:vAlign w:val="center"/>
            <w:hideMark/>
          </w:tcPr>
          <w:p w14:paraId="406473FE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CYP11A1</w:t>
            </w:r>
          </w:p>
        </w:tc>
        <w:tc>
          <w:tcPr>
            <w:tcW w:w="0" w:type="auto"/>
            <w:vAlign w:val="center"/>
          </w:tcPr>
          <w:p w14:paraId="68C2B335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P05108</w:t>
            </w:r>
          </w:p>
        </w:tc>
        <w:tc>
          <w:tcPr>
            <w:tcW w:w="0" w:type="auto"/>
            <w:vAlign w:val="center"/>
          </w:tcPr>
          <w:p w14:paraId="1061F397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AlphaFold</w:t>
            </w:r>
            <w:proofErr w:type="spellEnd"/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v2</w:t>
            </w:r>
          </w:p>
        </w:tc>
        <w:tc>
          <w:tcPr>
            <w:tcW w:w="0" w:type="auto"/>
            <w:vAlign w:val="center"/>
            <w:hideMark/>
          </w:tcPr>
          <w:p w14:paraId="18CA9A96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94.22</w:t>
            </w:r>
          </w:p>
        </w:tc>
        <w:tc>
          <w:tcPr>
            <w:tcW w:w="0" w:type="auto"/>
            <w:vAlign w:val="center"/>
            <w:hideMark/>
          </w:tcPr>
          <w:p w14:paraId="2F991ED8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0" w:type="auto"/>
            <w:vAlign w:val="center"/>
            <w:hideMark/>
          </w:tcPr>
          <w:p w14:paraId="204120B5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14:paraId="7D908A3B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95.1</w:t>
            </w:r>
          </w:p>
        </w:tc>
        <w:tc>
          <w:tcPr>
            <w:tcW w:w="0" w:type="auto"/>
            <w:vAlign w:val="center"/>
            <w:hideMark/>
          </w:tcPr>
          <w:p w14:paraId="2D13E867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92.6</w:t>
            </w:r>
          </w:p>
        </w:tc>
      </w:tr>
      <w:tr w:rsidR="00E63830" w:rsidRPr="007B47FE" w14:paraId="794C3CC0" w14:textId="77777777" w:rsidTr="0081389C">
        <w:trPr>
          <w:trHeight w:val="221"/>
          <w:tblCellSpacing w:w="15" w:type="dxa"/>
        </w:trPr>
        <w:tc>
          <w:tcPr>
            <w:tcW w:w="0" w:type="auto"/>
            <w:vAlign w:val="center"/>
            <w:hideMark/>
          </w:tcPr>
          <w:p w14:paraId="562DA1DF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3β-HSD</w:t>
            </w:r>
          </w:p>
        </w:tc>
        <w:tc>
          <w:tcPr>
            <w:tcW w:w="0" w:type="auto"/>
            <w:vAlign w:val="center"/>
          </w:tcPr>
          <w:p w14:paraId="2FA7CF0A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P26439</w:t>
            </w:r>
          </w:p>
        </w:tc>
        <w:tc>
          <w:tcPr>
            <w:tcW w:w="0" w:type="auto"/>
            <w:vAlign w:val="center"/>
          </w:tcPr>
          <w:p w14:paraId="53BE831B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AlphaFold</w:t>
            </w:r>
            <w:proofErr w:type="spellEnd"/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v2</w:t>
            </w:r>
          </w:p>
        </w:tc>
        <w:tc>
          <w:tcPr>
            <w:tcW w:w="0" w:type="auto"/>
            <w:vAlign w:val="center"/>
            <w:hideMark/>
          </w:tcPr>
          <w:p w14:paraId="4EB87FCB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97.03</w:t>
            </w:r>
          </w:p>
        </w:tc>
        <w:tc>
          <w:tcPr>
            <w:tcW w:w="0" w:type="auto"/>
            <w:vAlign w:val="center"/>
            <w:hideMark/>
          </w:tcPr>
          <w:p w14:paraId="170B788C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0" w:type="auto"/>
            <w:vAlign w:val="center"/>
            <w:hideMark/>
          </w:tcPr>
          <w:p w14:paraId="2E1C589E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vAlign w:val="center"/>
            <w:hideMark/>
          </w:tcPr>
          <w:p w14:paraId="1080835D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97.8</w:t>
            </w:r>
          </w:p>
        </w:tc>
        <w:tc>
          <w:tcPr>
            <w:tcW w:w="0" w:type="auto"/>
            <w:vAlign w:val="center"/>
            <w:hideMark/>
          </w:tcPr>
          <w:p w14:paraId="2D3C31B8" w14:textId="77777777" w:rsidR="00E63830" w:rsidRPr="007B47FE" w:rsidRDefault="00E63830" w:rsidP="0081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7FE">
              <w:rPr>
                <w:rFonts w:ascii="Times New Roman" w:eastAsia="Times New Roman" w:hAnsi="Times New Roman" w:cs="Times New Roman"/>
                <w:sz w:val="24"/>
                <w:szCs w:val="24"/>
              </w:rPr>
              <w:t>95.4</w:t>
            </w:r>
          </w:p>
        </w:tc>
      </w:tr>
    </w:tbl>
    <w:p w14:paraId="7CC39AF1" w14:textId="77777777" w:rsidR="00E63830" w:rsidRDefault="00E63830" w:rsidP="00E63830"/>
    <w:p w14:paraId="7A1EAC4E" w14:textId="4DF5D86D" w:rsidR="00E63830" w:rsidRPr="003460C9" w:rsidRDefault="00E63830" w:rsidP="00346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460C9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Table S6</w:t>
      </w:r>
      <w:r w:rsidR="00BF65DE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3460C9">
        <w:rPr>
          <w:rFonts w:ascii="Times New Roman" w:eastAsia="Times New Roman" w:hAnsi="Times New Roman" w:cs="Times New Roman"/>
          <w:b/>
          <w:bCs/>
          <w:sz w:val="20"/>
          <w:szCs w:val="20"/>
        </w:rPr>
        <w:t>2. 2D interaction diagrams of tangeretin toward target pathways</w:t>
      </w:r>
    </w:p>
    <w:tbl>
      <w:tblPr>
        <w:tblStyle w:val="TableGrid"/>
        <w:tblW w:w="109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440"/>
        <w:gridCol w:w="9540"/>
      </w:tblGrid>
      <w:tr w:rsidR="00EC6235" w:rsidRPr="00DB6A37" w14:paraId="01F354AE" w14:textId="77777777" w:rsidTr="00E1620B">
        <w:trPr>
          <w:trHeight w:val="277"/>
        </w:trPr>
        <w:tc>
          <w:tcPr>
            <w:tcW w:w="1440" w:type="dxa"/>
          </w:tcPr>
          <w:p w14:paraId="0564A824" w14:textId="77777777" w:rsidR="00EC6235" w:rsidRPr="00DB6A37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540" w:type="dxa"/>
          </w:tcPr>
          <w:p w14:paraId="019310AC" w14:textId="77777777" w:rsidR="00EC6235" w:rsidRPr="00DB6A37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B6A3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</w:tr>
      <w:tr w:rsidR="00EC6235" w:rsidRPr="00DB6A37" w14:paraId="48D1CFA8" w14:textId="77777777" w:rsidTr="00E1620B">
        <w:trPr>
          <w:trHeight w:val="2600"/>
        </w:trPr>
        <w:tc>
          <w:tcPr>
            <w:tcW w:w="1440" w:type="dxa"/>
            <w:vAlign w:val="center"/>
          </w:tcPr>
          <w:p w14:paraId="6F04418B" w14:textId="627C767C" w:rsidR="00EC6235" w:rsidRPr="00DB6A37" w:rsidRDefault="00EC6235" w:rsidP="00E245D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B6A37">
              <w:rPr>
                <w:rFonts w:ascii="Times New Roman" w:eastAsia="Times New Roman" w:hAnsi="Times New Roman" w:cs="Times New Roman"/>
                <w:sz w:val="22"/>
                <w:szCs w:val="22"/>
              </w:rPr>
              <w:t>Keap1/</w:t>
            </w:r>
            <w:r w:rsidR="00E1620B">
              <w:rPr>
                <w:rFonts w:ascii="Times New Roman" w:eastAsia="Times New Roman" w:hAnsi="Times New Roman" w:cs="Times New Roman"/>
                <w:sz w:val="22"/>
                <w:szCs w:val="22"/>
              </w:rPr>
              <w:t>Klech</w:t>
            </w:r>
          </w:p>
        </w:tc>
        <w:tc>
          <w:tcPr>
            <w:tcW w:w="9540" w:type="dxa"/>
          </w:tcPr>
          <w:p w14:paraId="11536EE4" w14:textId="77777777" w:rsidR="00EC6235" w:rsidRPr="00DB6A37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A138271" wp14:editId="197FFE19">
                  <wp:extent cx="4069195" cy="4411980"/>
                  <wp:effectExtent l="0" t="0" r="762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Keap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3287" cy="4416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235" w:rsidRPr="00DB6A37" w14:paraId="71C69503" w14:textId="77777777" w:rsidTr="00E1620B">
        <w:trPr>
          <w:trHeight w:val="265"/>
        </w:trPr>
        <w:tc>
          <w:tcPr>
            <w:tcW w:w="1440" w:type="dxa"/>
          </w:tcPr>
          <w:p w14:paraId="34184E07" w14:textId="77777777" w:rsidR="00EC6235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762EE6" w14:textId="77777777" w:rsidR="00EC6235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F1E48E" w14:textId="77777777" w:rsidR="00EC6235" w:rsidRPr="00DB6A37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B6A37">
              <w:rPr>
                <w:rFonts w:ascii="Times New Roman" w:eastAsia="Times New Roman" w:hAnsi="Times New Roman" w:cs="Times New Roman"/>
                <w:sz w:val="22"/>
                <w:szCs w:val="22"/>
              </w:rPr>
              <w:t>NOX4</w:t>
            </w:r>
          </w:p>
        </w:tc>
        <w:tc>
          <w:tcPr>
            <w:tcW w:w="9540" w:type="dxa"/>
          </w:tcPr>
          <w:p w14:paraId="65D9DB7F" w14:textId="77777777" w:rsidR="00EC6235" w:rsidRPr="00DB6A37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E43BEC6" wp14:editId="67FAACE3">
                  <wp:extent cx="4899660" cy="5958840"/>
                  <wp:effectExtent l="0" t="0" r="0" b="381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NOX4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9660" cy="595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235" w:rsidRPr="00DB6A37" w14:paraId="1FC451E3" w14:textId="77777777" w:rsidTr="00E1620B">
        <w:trPr>
          <w:trHeight w:val="2915"/>
        </w:trPr>
        <w:tc>
          <w:tcPr>
            <w:tcW w:w="1440" w:type="dxa"/>
            <w:vAlign w:val="center"/>
          </w:tcPr>
          <w:p w14:paraId="6A4F9A49" w14:textId="77777777" w:rsidR="00EC6235" w:rsidRDefault="00EC6235" w:rsidP="00E245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663EA0">
              <w:rPr>
                <w:rFonts w:asciiTheme="majorBidi" w:hAnsiTheme="majorBidi" w:cstheme="majorBidi"/>
              </w:rPr>
              <w:lastRenderedPageBreak/>
              <w:t>CYP11A1</w:t>
            </w:r>
          </w:p>
        </w:tc>
        <w:tc>
          <w:tcPr>
            <w:tcW w:w="9540" w:type="dxa"/>
          </w:tcPr>
          <w:p w14:paraId="0ADEC8A6" w14:textId="77777777" w:rsidR="00EC6235" w:rsidRPr="00DB6A37" w:rsidRDefault="00EC6235" w:rsidP="00E245DC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16C75D14" wp14:editId="794A8F38">
                  <wp:extent cx="5227320" cy="56388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Cyp11a1....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7320" cy="56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235" w:rsidRPr="00DB6A37" w14:paraId="367F1253" w14:textId="77777777" w:rsidTr="00E1620B">
        <w:trPr>
          <w:trHeight w:val="265"/>
        </w:trPr>
        <w:tc>
          <w:tcPr>
            <w:tcW w:w="1440" w:type="dxa"/>
            <w:vAlign w:val="center"/>
          </w:tcPr>
          <w:p w14:paraId="4986332D" w14:textId="77777777" w:rsidR="00EC6235" w:rsidRPr="00FB24BC" w:rsidRDefault="00EC6235" w:rsidP="00E245DC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StAR</w:t>
            </w:r>
          </w:p>
        </w:tc>
        <w:tc>
          <w:tcPr>
            <w:tcW w:w="9540" w:type="dxa"/>
          </w:tcPr>
          <w:p w14:paraId="3C662AA7" w14:textId="77777777" w:rsidR="00EC6235" w:rsidRDefault="00EC6235" w:rsidP="00E245DC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bCs/>
                <w:noProof/>
                <w14:ligatures w14:val="standardContextual"/>
              </w:rPr>
            </w:pPr>
            <w:r w:rsidRPr="00EC6235">
              <w:rPr>
                <w:rFonts w:asciiTheme="majorBidi" w:hAnsiTheme="majorBidi" w:cstheme="majorBidi"/>
                <w:b/>
                <w:bCs/>
                <w:noProof/>
                <w14:ligatures w14:val="standardContextual"/>
              </w:rPr>
              <w:drawing>
                <wp:inline distT="0" distB="0" distL="0" distR="0" wp14:anchorId="3C655812" wp14:editId="16F086C7">
                  <wp:extent cx="4991533" cy="581456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533" cy="581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235" w:rsidRPr="00DB6A37" w14:paraId="7A60CC57" w14:textId="77777777" w:rsidTr="00BF7D5A">
        <w:trPr>
          <w:trHeight w:val="9440"/>
        </w:trPr>
        <w:tc>
          <w:tcPr>
            <w:tcW w:w="1440" w:type="dxa"/>
            <w:vAlign w:val="center"/>
          </w:tcPr>
          <w:p w14:paraId="43EEC2D5" w14:textId="77777777" w:rsidR="00EC6235" w:rsidRPr="00FB24BC" w:rsidRDefault="00EC6235" w:rsidP="00E245DC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3β-HSD</w:t>
            </w:r>
          </w:p>
        </w:tc>
        <w:tc>
          <w:tcPr>
            <w:tcW w:w="9540" w:type="dxa"/>
          </w:tcPr>
          <w:p w14:paraId="39B54690" w14:textId="77777777" w:rsidR="00EC6235" w:rsidRDefault="00EC6235" w:rsidP="00E245DC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bCs/>
                <w:noProof/>
                <w14:ligatures w14:val="standardContextual"/>
              </w:rPr>
            </w:pPr>
            <w:r w:rsidRPr="00EC6235">
              <w:rPr>
                <w:rFonts w:asciiTheme="majorBidi" w:hAnsiTheme="majorBidi" w:cstheme="majorBidi"/>
                <w:b/>
                <w:bCs/>
                <w:noProof/>
                <w14:ligatures w14:val="standardContextual"/>
              </w:rPr>
              <w:drawing>
                <wp:inline distT="0" distB="0" distL="0" distR="0" wp14:anchorId="246F4AC6" wp14:editId="5C945689">
                  <wp:extent cx="4953429" cy="5692633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429" cy="5692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8C1120" w14:textId="77777777" w:rsidR="002859F3" w:rsidRDefault="002859F3"/>
    <w:p w14:paraId="45BFD2F3" w14:textId="77777777" w:rsidR="00760221" w:rsidRDefault="00760221" w:rsidP="00760221">
      <w:pPr>
        <w:pStyle w:val="NormalWeb"/>
        <w:widowControl w:val="0"/>
        <w:spacing w:before="120" w:beforeAutospacing="0" w:after="120" w:afterAutospacing="0" w:line="360" w:lineRule="auto"/>
        <w:ind w:left="-187" w:right="-360"/>
        <w:jc w:val="both"/>
        <w:rPr>
          <w:rFonts w:eastAsiaTheme="majorEastAsia"/>
          <w:b/>
          <w:bCs/>
          <w:sz w:val="22"/>
          <w:szCs w:val="22"/>
        </w:rPr>
      </w:pPr>
    </w:p>
    <w:p w14:paraId="5B02AE96" w14:textId="77777777" w:rsidR="00760221" w:rsidRDefault="00760221" w:rsidP="00760221">
      <w:pPr>
        <w:pStyle w:val="NormalWeb"/>
        <w:widowControl w:val="0"/>
        <w:spacing w:before="120" w:beforeAutospacing="0" w:after="120" w:afterAutospacing="0" w:line="360" w:lineRule="auto"/>
        <w:ind w:left="-187" w:right="-360"/>
        <w:jc w:val="both"/>
        <w:rPr>
          <w:rFonts w:eastAsiaTheme="majorEastAsia"/>
          <w:b/>
          <w:bCs/>
          <w:sz w:val="22"/>
          <w:szCs w:val="22"/>
        </w:rPr>
      </w:pPr>
    </w:p>
    <w:p w14:paraId="7AB2059C" w14:textId="77777777" w:rsidR="00760221" w:rsidRDefault="00760221" w:rsidP="00760221">
      <w:pPr>
        <w:pStyle w:val="NormalWeb"/>
        <w:widowControl w:val="0"/>
        <w:spacing w:before="120" w:beforeAutospacing="0" w:after="120" w:afterAutospacing="0" w:line="360" w:lineRule="auto"/>
        <w:ind w:left="-187" w:right="-360"/>
        <w:jc w:val="both"/>
        <w:rPr>
          <w:rFonts w:eastAsiaTheme="majorEastAsia"/>
          <w:b/>
          <w:bCs/>
          <w:sz w:val="22"/>
          <w:szCs w:val="22"/>
        </w:rPr>
      </w:pPr>
    </w:p>
    <w:p w14:paraId="5DF95AA7" w14:textId="77777777" w:rsidR="00760221" w:rsidRDefault="00760221" w:rsidP="00760221">
      <w:pPr>
        <w:pStyle w:val="NormalWeb"/>
        <w:widowControl w:val="0"/>
        <w:spacing w:before="120" w:beforeAutospacing="0" w:after="120" w:afterAutospacing="0" w:line="360" w:lineRule="auto"/>
        <w:ind w:left="-187" w:right="-360"/>
        <w:jc w:val="both"/>
        <w:rPr>
          <w:rFonts w:eastAsiaTheme="majorEastAsia"/>
          <w:b/>
          <w:bCs/>
          <w:sz w:val="22"/>
          <w:szCs w:val="22"/>
        </w:rPr>
      </w:pPr>
    </w:p>
    <w:p w14:paraId="1F4DA087" w14:textId="77777777" w:rsidR="00760221" w:rsidRDefault="00760221" w:rsidP="00760221">
      <w:pPr>
        <w:pStyle w:val="NormalWeb"/>
        <w:widowControl w:val="0"/>
        <w:spacing w:before="120" w:beforeAutospacing="0" w:after="120" w:afterAutospacing="0" w:line="360" w:lineRule="auto"/>
        <w:ind w:left="-187" w:right="-360"/>
        <w:jc w:val="both"/>
        <w:rPr>
          <w:rFonts w:eastAsiaTheme="majorEastAsia"/>
          <w:b/>
          <w:bCs/>
          <w:sz w:val="22"/>
          <w:szCs w:val="22"/>
        </w:rPr>
      </w:pPr>
    </w:p>
    <w:p w14:paraId="1ED0DB38" w14:textId="77777777" w:rsidR="00760221" w:rsidRDefault="00760221" w:rsidP="00760221">
      <w:pPr>
        <w:pStyle w:val="NormalWeb"/>
        <w:widowControl w:val="0"/>
        <w:spacing w:before="120" w:beforeAutospacing="0" w:after="120" w:afterAutospacing="0" w:line="360" w:lineRule="auto"/>
        <w:ind w:left="-187" w:right="-360"/>
        <w:jc w:val="both"/>
        <w:rPr>
          <w:rFonts w:eastAsiaTheme="majorEastAsia"/>
          <w:b/>
          <w:bCs/>
          <w:sz w:val="22"/>
          <w:szCs w:val="22"/>
        </w:rPr>
      </w:pPr>
    </w:p>
    <w:p w14:paraId="791085B2" w14:textId="4D76C3AB" w:rsidR="00760221" w:rsidRPr="005E6762" w:rsidRDefault="00760221" w:rsidP="0010474B">
      <w:pPr>
        <w:pStyle w:val="NormalWeb"/>
        <w:widowControl w:val="0"/>
        <w:spacing w:before="120" w:beforeAutospacing="0" w:after="120" w:afterAutospacing="0" w:line="360" w:lineRule="auto"/>
        <w:jc w:val="both"/>
        <w:rPr>
          <w:rFonts w:eastAsiaTheme="majorEastAsia"/>
          <w:b/>
          <w:bCs/>
          <w:sz w:val="22"/>
          <w:szCs w:val="22"/>
        </w:rPr>
      </w:pPr>
      <w:r w:rsidRPr="005E6762">
        <w:rPr>
          <w:rFonts w:eastAsiaTheme="majorEastAsia"/>
          <w:b/>
          <w:bCs/>
          <w:sz w:val="22"/>
          <w:szCs w:val="22"/>
        </w:rPr>
        <w:lastRenderedPageBreak/>
        <w:t>Molecular Dockin</w:t>
      </w:r>
      <w:bookmarkStart w:id="0" w:name="_GoBack"/>
      <w:bookmarkEnd w:id="0"/>
      <w:r w:rsidRPr="005E6762">
        <w:rPr>
          <w:rFonts w:eastAsiaTheme="majorEastAsia"/>
          <w:b/>
          <w:bCs/>
          <w:sz w:val="22"/>
          <w:szCs w:val="22"/>
        </w:rPr>
        <w:t xml:space="preserve">g Analysis </w:t>
      </w:r>
    </w:p>
    <w:p w14:paraId="09E606F0" w14:textId="77777777" w:rsidR="00760221" w:rsidRDefault="00760221" w:rsidP="00760221">
      <w:pPr>
        <w:pStyle w:val="NormalWeb"/>
        <w:spacing w:before="120" w:beforeAutospacing="0" w:after="120" w:afterAutospacing="0" w:line="360" w:lineRule="auto"/>
        <w:jc w:val="both"/>
        <w:rPr>
          <w:sz w:val="22"/>
          <w:szCs w:val="22"/>
        </w:rPr>
      </w:pPr>
      <w:r w:rsidRPr="00B83E3A">
        <w:rPr>
          <w:sz w:val="22"/>
          <w:szCs w:val="22"/>
        </w:rPr>
        <w:t xml:space="preserve">According to molecular docking study (Table 12, Figure 10), tangeretin exhibits good binding with important regulators of oxidative stress and steroidogenesis, showing the highest binding affinity ranging between −6.1 and −8.3 kcal/mol. Particularly, strong ligand-protein interactions were detected with the Keap1-Kelch domain (−7.1 kcal/mol), with hydrogen bonds and salt bridges involving residues such as ARG336, ARG380, and TYR572. The most favorable interaction was noted for the NOX4 protein (−7.5 kcal/mol) due to hydrogen bonds (ASN351, SER305, ARG301, TYR408) and electrostatic interactions. Besides that, tangeretin was found to bind moderately with StAR (−6.2 kcal/mol), with several hydrogen bonds being formed at key residues such as ASP246, LYS118, GLU219, and ASN150. The residue contact map revealed that a ligand-protein hotspot (ASP246, VAL179, ILE245, and GLY221) is present in this protein with significant interaction frequencies. Moreover, tangeretin forms multiple hydrogen bonds with essential amino acids of 3β-HSD protein, including Ser200, Thr318, and Asp35, with a distance of 3.05–3.47 Å and binding energy of -8.3 Kcal/mol. Additionally, interaction frequency analysis showed contacts with Thr318 (51), Phe196 (44), Tyr264 (39), and Val214 (39). 2-D Plots for Protein-ligand interaction are provided in </w:t>
      </w:r>
      <w:r w:rsidRPr="00B83E3A">
        <w:rPr>
          <w:i/>
          <w:iCs/>
          <w:sz w:val="22"/>
          <w:szCs w:val="22"/>
        </w:rPr>
        <w:t>supplementary file 6</w:t>
      </w:r>
      <w:r w:rsidRPr="00B83E3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41379">
        <w:rPr>
          <w:sz w:val="22"/>
          <w:szCs w:val="22"/>
        </w:rPr>
        <w:t xml:space="preserve">Molecular docking </w:t>
      </w:r>
      <w:r>
        <w:rPr>
          <w:sz w:val="22"/>
          <w:szCs w:val="22"/>
        </w:rPr>
        <w:t>was employed</w:t>
      </w:r>
      <w:r w:rsidRPr="00841379">
        <w:rPr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 w:rsidRPr="00841379">
        <w:rPr>
          <w:sz w:val="22"/>
          <w:szCs w:val="22"/>
        </w:rPr>
        <w:t xml:space="preserve"> experimental and hypothesis-generation technique to aid in the interpretation of biological responses rather than defining the interactions between ligands and their respective target molecules.</w:t>
      </w:r>
    </w:p>
    <w:p w14:paraId="7651C585" w14:textId="77777777" w:rsidR="00EC6235" w:rsidRDefault="00EC6235"/>
    <w:sectPr w:rsidR="00EC623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0B153" w14:textId="77777777" w:rsidR="006E341F" w:rsidRDefault="006E341F" w:rsidP="007A3114">
      <w:pPr>
        <w:spacing w:after="0" w:line="240" w:lineRule="auto"/>
      </w:pPr>
      <w:r>
        <w:separator/>
      </w:r>
    </w:p>
  </w:endnote>
  <w:endnote w:type="continuationSeparator" w:id="0">
    <w:p w14:paraId="79A7A560" w14:textId="77777777" w:rsidR="006E341F" w:rsidRDefault="006E341F" w:rsidP="007A3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3759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7A89FC" w14:textId="715B81D6" w:rsidR="007A3114" w:rsidRDefault="007A3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CB342F" w14:textId="77777777" w:rsidR="007A3114" w:rsidRDefault="007A3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BEDCD" w14:textId="77777777" w:rsidR="006E341F" w:rsidRDefault="006E341F" w:rsidP="007A3114">
      <w:pPr>
        <w:spacing w:after="0" w:line="240" w:lineRule="auto"/>
      </w:pPr>
      <w:r>
        <w:separator/>
      </w:r>
    </w:p>
  </w:footnote>
  <w:footnote w:type="continuationSeparator" w:id="0">
    <w:p w14:paraId="11C6AF8C" w14:textId="77777777" w:rsidR="006E341F" w:rsidRDefault="006E341F" w:rsidP="007A3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85803"/>
    <w:multiLevelType w:val="multilevel"/>
    <w:tmpl w:val="6210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235"/>
    <w:rsid w:val="000C1472"/>
    <w:rsid w:val="0010474B"/>
    <w:rsid w:val="00252E50"/>
    <w:rsid w:val="002859F3"/>
    <w:rsid w:val="002C057F"/>
    <w:rsid w:val="003460C9"/>
    <w:rsid w:val="003E1F92"/>
    <w:rsid w:val="005F02CF"/>
    <w:rsid w:val="00611570"/>
    <w:rsid w:val="006E341F"/>
    <w:rsid w:val="00760221"/>
    <w:rsid w:val="007A3114"/>
    <w:rsid w:val="00BD1FA0"/>
    <w:rsid w:val="00BF65DE"/>
    <w:rsid w:val="00BF7D5A"/>
    <w:rsid w:val="00CB0FC0"/>
    <w:rsid w:val="00CF5042"/>
    <w:rsid w:val="00D2244A"/>
    <w:rsid w:val="00E1620B"/>
    <w:rsid w:val="00E63830"/>
    <w:rsid w:val="00EC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E54B2"/>
  <w15:chartTrackingRefBased/>
  <w15:docId w15:val="{DA20DA75-4F27-421E-9166-47F12C8E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C623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23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3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11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3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114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6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ayaah</dc:creator>
  <cp:keywords/>
  <dc:description/>
  <cp:lastModifiedBy>Ahmad Hefnawy</cp:lastModifiedBy>
  <cp:revision>8</cp:revision>
  <dcterms:created xsi:type="dcterms:W3CDTF">2026-06-11T00:14:00Z</dcterms:created>
  <dcterms:modified xsi:type="dcterms:W3CDTF">2026-06-20T01:17:00Z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8e3f4692-e99c-4201-9e51-c0d97f2f8950</vt:lpwstr>
  </property>
</Properties>
</file>