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20EF3" w14:textId="77777777" w:rsidR="000E0EBE" w:rsidRDefault="000E0EBE" w:rsidP="000E0EBE">
      <w:pPr>
        <w:pStyle w:val="Heading1"/>
        <w:spacing w:before="300" w:after="150"/>
      </w:pPr>
      <w:r>
        <w:t>Supporting Information</w:t>
      </w:r>
    </w:p>
    <w:p w14:paraId="23044451" w14:textId="77777777" w:rsidR="000E0EBE" w:rsidRDefault="000E0EBE" w:rsidP="000E0EBE">
      <w:pPr>
        <w:spacing w:after="120" w:line="480" w:lineRule="auto"/>
      </w:pPr>
      <w:r>
        <w:t>S1 Table. Full leave-one-epitope-out results, all 20 folds in the defined evaluation set, including the 13 folds excluded from headline generalization estimates for insufficient held-out sample size. Generated prior to the labeling correction (Detection and correction of a mutation-calling artifact); see main text for this caveat.</w:t>
      </w:r>
    </w:p>
    <w:p w14:paraId="75BD9694" w14:textId="77777777" w:rsidR="000E0EBE" w:rsidRDefault="000E0EBE" w:rsidP="000E0EBE">
      <w:pPr>
        <w:spacing w:after="120" w:line="480" w:lineRule="auto"/>
      </w:pPr>
      <w:r>
        <w:t>S2 Table. All-pairs sequence identity, Cα-RMSD, and shared-residue count across the 24 valid reference complexes.</w:t>
      </w:r>
    </w:p>
    <w:p w14:paraId="0546A172" w14:textId="77777777" w:rsidR="000E0EBE" w:rsidRDefault="000E0EBE" w:rsidP="000E0EBE">
      <w:pPr>
        <w:spacing w:after="120" w:line="480" w:lineRule="auto"/>
      </w:pPr>
      <w:r>
        <w:t>S3 Table. Per-complex structural-position offsets learned from unaffected pairs and used to correct the 297 recoverable flagged pairs, including offset agreement (confidence) for each reference complex.</w:t>
      </w:r>
    </w:p>
    <w:p w14:paraId="01AC3D0D" w14:textId="77777777" w:rsidR="000E0EBE" w:rsidRDefault="000E0EBE" w:rsidP="000E0EBE">
      <w:pPr>
        <w:spacing w:after="120" w:line="480" w:lineRule="auto"/>
      </w:pPr>
    </w:p>
    <w:p w14:paraId="47AEDCC3" w14:textId="77777777" w:rsidR="000E0EBE" w:rsidRDefault="000E0EBE" w:rsidP="000E0EBE">
      <w:pPr>
        <w:spacing w:after="120" w:line="480" w:lineRule="auto"/>
      </w:pPr>
    </w:p>
    <w:p w14:paraId="1A57F1CC" w14:textId="77777777" w:rsidR="000E0EBE" w:rsidRDefault="000E0EBE" w:rsidP="000E0EBE">
      <w:pPr>
        <w:spacing w:after="120" w:line="480" w:lineRule="auto"/>
      </w:pPr>
    </w:p>
    <w:p w14:paraId="3AE3D821" w14:textId="77777777" w:rsidR="000E0EBE" w:rsidRDefault="000E0EBE" w:rsidP="000E0EBE">
      <w:pPr>
        <w:spacing w:after="120" w:line="480" w:lineRule="auto"/>
      </w:pPr>
      <w:r>
        <w:t>S1 Data. mapped_gisaid_to_pdb_sequences.csv — Stage 1 exhaustive sequence-similarity comparison (281,455 rows).</w:t>
      </w:r>
    </w:p>
    <w:p w14:paraId="51E74C98" w14:textId="77777777" w:rsidR="000E0EBE" w:rsidRDefault="000E0EBE" w:rsidP="000E0EBE">
      <w:pPr>
        <w:spacing w:after="120" w:line="480" w:lineRule="auto"/>
      </w:pPr>
      <w:r>
        <w:t xml:space="preserve">S2 Data. </w:t>
      </w:r>
      <w:r w:rsidRPr="00A36745">
        <w:t>S2_pairwise_similarity_table</w:t>
      </w:r>
      <w:r>
        <w:t xml:space="preserve">.xlsx - All-pairs sequence identity, Cα-RMSD, and shared-residue count across the 24 valid reference complexes. </w:t>
      </w:r>
    </w:p>
    <w:p w14:paraId="31723E8F" w14:textId="77777777" w:rsidR="000E0EBE" w:rsidRDefault="000E0EBE" w:rsidP="000E0EBE">
      <w:pPr>
        <w:spacing w:after="120" w:line="480" w:lineRule="auto"/>
      </w:pPr>
      <w:r>
        <w:t>S3 Data</w:t>
      </w:r>
      <w:r w:rsidRPr="000A78CE">
        <w:t xml:space="preserve"> S1_checkpoint_structure_breakdown</w:t>
      </w:r>
      <w:r>
        <w:t>.xlsx — full per-fold results underlying Table 3 and S1 Table, generated prior to the labeling correction.</w:t>
      </w:r>
    </w:p>
    <w:p w14:paraId="39532B88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BE"/>
    <w:rsid w:val="00094A22"/>
    <w:rsid w:val="000E0EBE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F172E"/>
  <w15:chartTrackingRefBased/>
  <w15:docId w15:val="{0EF43C0E-9263-4A3C-98B0-831427A3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E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0E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E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E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E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E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EB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EB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EB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EB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E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0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EB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0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EB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0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EB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0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E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2026-07-31T10:24:00Z</dcterms:created>
  <dcterms:modified xsi:type="dcterms:W3CDTF">2026-07-31T10:24:00Z</dcterms:modified>
</cp:coreProperties>
</file>