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5AA05" w14:textId="77777777" w:rsidR="006B026C" w:rsidRDefault="006B026C" w:rsidP="006B026C">
      <w:pPr>
        <w:rPr>
          <w:rFonts w:ascii="Times New Roman" w:hAnsi="Times New Roman" w:cs="Times New Roman"/>
          <w:b/>
          <w:bCs/>
          <w:sz w:val="28"/>
          <w:szCs w:val="28"/>
        </w:rPr>
      </w:pPr>
      <w:r w:rsidRPr="00C13DAE">
        <w:rPr>
          <w:rFonts w:ascii="Times New Roman" w:hAnsi="Times New Roman" w:cs="Times New Roman"/>
          <w:b/>
          <w:bCs/>
          <w:sz w:val="28"/>
          <w:szCs w:val="28"/>
        </w:rPr>
        <w:t>Preferred Retinal Locus Location, Fixation Stability and Visual Function in Stargardt Disease and Age-Related Macular Degeneration</w:t>
      </w:r>
    </w:p>
    <w:p w14:paraId="1CA839DE" w14:textId="77777777" w:rsidR="006B026C" w:rsidRPr="0026679D" w:rsidRDefault="006B026C" w:rsidP="006B026C">
      <w:pPr>
        <w:rPr>
          <w:rFonts w:ascii="Times New Roman" w:hAnsi="Times New Roman" w:cs="Times New Roman"/>
          <w:b/>
          <w:lang w:val="es-ES"/>
        </w:rPr>
      </w:pPr>
      <w:r w:rsidRPr="0026679D">
        <w:rPr>
          <w:rFonts w:ascii="Times New Roman" w:hAnsi="Times New Roman" w:cs="Times New Roman"/>
          <w:b/>
          <w:lang w:val="es-ES"/>
        </w:rPr>
        <w:t>Juan E Cedrún-Sánchez</w:t>
      </w:r>
      <w:r w:rsidRPr="0026679D">
        <w:rPr>
          <w:rFonts w:ascii="Times New Roman" w:hAnsi="Times New Roman" w:cs="Times New Roman"/>
          <w:b/>
          <w:vertAlign w:val="superscript"/>
          <w:lang w:val="es-ES"/>
        </w:rPr>
        <w:t>1</w:t>
      </w:r>
      <w:r>
        <w:rPr>
          <w:rFonts w:ascii="Times New Roman" w:hAnsi="Times New Roman" w:cs="Times New Roman"/>
          <w:b/>
          <w:vertAlign w:val="superscript"/>
          <w:lang w:val="es-ES"/>
        </w:rPr>
        <w:t>,</w:t>
      </w:r>
      <w:r w:rsidRPr="0026679D">
        <w:rPr>
          <w:rFonts w:ascii="Times New Roman" w:hAnsi="Times New Roman" w:cs="Times New Roman"/>
          <w:b/>
          <w:vertAlign w:val="superscript"/>
          <w:lang w:val="es-ES"/>
        </w:rPr>
        <w:t>2</w:t>
      </w:r>
      <w:r w:rsidRPr="0026679D">
        <w:rPr>
          <w:rFonts w:ascii="Times New Roman" w:hAnsi="Times New Roman" w:cs="Times New Roman"/>
          <w:b/>
          <w:lang w:val="es-ES"/>
        </w:rPr>
        <w:t>; Carla Otero-Currás</w:t>
      </w:r>
      <w:r w:rsidRPr="0026679D">
        <w:rPr>
          <w:rFonts w:ascii="Times New Roman" w:hAnsi="Times New Roman" w:cs="Times New Roman"/>
          <w:b/>
          <w:vertAlign w:val="superscript"/>
          <w:lang w:val="es-ES"/>
        </w:rPr>
        <w:t>1</w:t>
      </w:r>
      <w:r w:rsidRPr="0026679D">
        <w:rPr>
          <w:rFonts w:ascii="Times New Roman" w:hAnsi="Times New Roman" w:cs="Times New Roman"/>
          <w:b/>
          <w:lang w:val="es-ES"/>
        </w:rPr>
        <w:t>; Ainhoa M Armas-González</w:t>
      </w:r>
      <w:r w:rsidRPr="0026679D">
        <w:rPr>
          <w:rFonts w:ascii="Times New Roman" w:hAnsi="Times New Roman" w:cs="Times New Roman"/>
          <w:b/>
          <w:vertAlign w:val="superscript"/>
          <w:lang w:val="es-ES"/>
        </w:rPr>
        <w:t>1</w:t>
      </w:r>
      <w:r w:rsidRPr="0026679D">
        <w:rPr>
          <w:rFonts w:ascii="Times New Roman" w:hAnsi="Times New Roman" w:cs="Times New Roman"/>
          <w:b/>
          <w:lang w:val="es-ES"/>
        </w:rPr>
        <w:t>; Amina Benserghine-Karmossi</w:t>
      </w:r>
      <w:r w:rsidRPr="0026679D">
        <w:rPr>
          <w:rFonts w:ascii="Times New Roman" w:hAnsi="Times New Roman" w:cs="Times New Roman"/>
          <w:b/>
          <w:vertAlign w:val="superscript"/>
          <w:lang w:val="es-ES"/>
        </w:rPr>
        <w:t>1</w:t>
      </w:r>
      <w:r w:rsidRPr="0026679D">
        <w:rPr>
          <w:rFonts w:ascii="Times New Roman" w:hAnsi="Times New Roman" w:cs="Times New Roman"/>
          <w:b/>
          <w:lang w:val="es-ES"/>
        </w:rPr>
        <w:t>; Ricardo Bernárdez-Vilaboa</w:t>
      </w:r>
      <w:r w:rsidRPr="0026679D">
        <w:rPr>
          <w:rFonts w:ascii="Times New Roman" w:hAnsi="Times New Roman" w:cs="Times New Roman"/>
          <w:b/>
          <w:vertAlign w:val="superscript"/>
          <w:lang w:val="es-ES"/>
        </w:rPr>
        <w:t>1</w:t>
      </w:r>
      <w:r w:rsidRPr="0026679D">
        <w:rPr>
          <w:rFonts w:ascii="Times New Roman" w:hAnsi="Times New Roman" w:cs="Times New Roman"/>
          <w:b/>
          <w:lang w:val="es-ES"/>
        </w:rPr>
        <w:t>; F. Javier Povedano-Montero</w:t>
      </w:r>
      <w:r w:rsidRPr="0026679D">
        <w:rPr>
          <w:rFonts w:ascii="Times New Roman" w:hAnsi="Times New Roman" w:cs="Times New Roman"/>
          <w:b/>
          <w:vertAlign w:val="superscript"/>
          <w:lang w:val="es-ES"/>
        </w:rPr>
        <w:t>1</w:t>
      </w:r>
      <w:r>
        <w:rPr>
          <w:rFonts w:ascii="Times New Roman" w:hAnsi="Times New Roman" w:cs="Times New Roman"/>
          <w:b/>
          <w:vertAlign w:val="superscript"/>
          <w:lang w:val="es-ES"/>
        </w:rPr>
        <w:t>,</w:t>
      </w:r>
      <w:r w:rsidRPr="0026679D">
        <w:rPr>
          <w:rFonts w:ascii="Times New Roman" w:hAnsi="Times New Roman" w:cs="Times New Roman"/>
          <w:b/>
          <w:vertAlign w:val="superscript"/>
          <w:lang w:val="es-ES"/>
        </w:rPr>
        <w:t>3*</w:t>
      </w:r>
    </w:p>
    <w:p w14:paraId="7CC0A807" w14:textId="60BA67C5" w:rsidR="006B026C" w:rsidRPr="0026679D" w:rsidRDefault="006B026C" w:rsidP="006B026C">
      <w:pPr>
        <w:rPr>
          <w:rFonts w:ascii="Times New Roman" w:hAnsi="Times New Roman" w:cs="Times New Roman"/>
        </w:rPr>
      </w:pPr>
      <w:r w:rsidRPr="0026679D">
        <w:rPr>
          <w:rFonts w:ascii="Times New Roman" w:hAnsi="Times New Roman" w:cs="Times New Roman"/>
          <w:vertAlign w:val="superscript"/>
        </w:rPr>
        <w:t>1</w:t>
      </w:r>
      <w:r w:rsidRPr="0026679D">
        <w:rPr>
          <w:rFonts w:ascii="Times New Roman" w:hAnsi="Times New Roman" w:cs="Times New Roman"/>
        </w:rPr>
        <w:tab/>
        <w:t xml:space="preserve">Department of Optics and Optometry, Faculty of Optics and Optometry, Universidad Complutense de Madrid, 28037 Madrid, Spain; </w:t>
      </w:r>
      <w:proofErr w:type="gramStart"/>
      <w:r w:rsidRPr="0026679D">
        <w:rPr>
          <w:rFonts w:ascii="Times New Roman" w:hAnsi="Times New Roman" w:cs="Times New Roman"/>
        </w:rPr>
        <w:t>jcedrun@ucm.es  (</w:t>
      </w:r>
      <w:proofErr w:type="gramEnd"/>
      <w:r w:rsidRPr="0026679D">
        <w:rPr>
          <w:rFonts w:ascii="Times New Roman" w:hAnsi="Times New Roman" w:cs="Times New Roman"/>
        </w:rPr>
        <w:t>J.E.C.-S.) ; ricardob@ucm.es (R.B.-V.) ; laursa24@ucm.es (L.S.-A.); mmedin13@ucm.es (M.M.-G); carlaote@ucm.es (C.O-C</w:t>
      </w:r>
      <w:r w:rsidR="0005511F">
        <w:rPr>
          <w:rFonts w:ascii="Times New Roman" w:hAnsi="Times New Roman" w:cs="Times New Roman"/>
        </w:rPr>
        <w:t>.</w:t>
      </w:r>
      <w:r w:rsidRPr="0026679D">
        <w:rPr>
          <w:rFonts w:ascii="Times New Roman" w:hAnsi="Times New Roman" w:cs="Times New Roman"/>
        </w:rPr>
        <w:t>); franpove@ucm.es (F.J.P.-M.)</w:t>
      </w:r>
    </w:p>
    <w:p w14:paraId="05FAFF18" w14:textId="77777777" w:rsidR="006B026C" w:rsidRPr="0026679D" w:rsidRDefault="006B026C" w:rsidP="006B026C">
      <w:pPr>
        <w:rPr>
          <w:rFonts w:ascii="Times New Roman" w:hAnsi="Times New Roman" w:cs="Times New Roman"/>
        </w:rPr>
      </w:pPr>
      <w:r w:rsidRPr="0026679D">
        <w:rPr>
          <w:rFonts w:ascii="Times New Roman" w:hAnsi="Times New Roman" w:cs="Times New Roman"/>
          <w:vertAlign w:val="superscript"/>
        </w:rPr>
        <w:t>2</w:t>
      </w:r>
      <w:r w:rsidRPr="0026679D">
        <w:rPr>
          <w:rFonts w:ascii="Times New Roman" w:hAnsi="Times New Roman" w:cs="Times New Roman"/>
        </w:rPr>
        <w:tab/>
        <w:t>Applied Vision Research Group, Faculty of Optics and Optometry, Universidad Complutense de Madrid, 28037 Madrid, Spain.</w:t>
      </w:r>
    </w:p>
    <w:p w14:paraId="0918FA96" w14:textId="5DA7DAA8" w:rsidR="006B026C" w:rsidRPr="0026679D" w:rsidRDefault="006B026C" w:rsidP="006B026C">
      <w:pPr>
        <w:rPr>
          <w:rFonts w:ascii="Times New Roman" w:hAnsi="Times New Roman" w:cs="Times New Roman"/>
        </w:rPr>
      </w:pPr>
      <w:r w:rsidRPr="0026679D">
        <w:rPr>
          <w:rFonts w:ascii="Times New Roman" w:hAnsi="Times New Roman" w:cs="Times New Roman"/>
          <w:vertAlign w:val="superscript"/>
        </w:rPr>
        <w:t xml:space="preserve">3 </w:t>
      </w:r>
      <w:r>
        <w:rPr>
          <w:rFonts w:ascii="Times New Roman" w:hAnsi="Times New Roman" w:cs="Times New Roman"/>
          <w:vertAlign w:val="superscript"/>
        </w:rPr>
        <w:t xml:space="preserve">               </w:t>
      </w:r>
      <w:r w:rsidRPr="0026679D">
        <w:rPr>
          <w:rFonts w:ascii="Times New Roman" w:hAnsi="Times New Roman" w:cs="Times New Roman"/>
        </w:rPr>
        <w:t xml:space="preserve">Hospital Doce de </w:t>
      </w:r>
      <w:proofErr w:type="spellStart"/>
      <w:r w:rsidRPr="0026679D">
        <w:rPr>
          <w:rFonts w:ascii="Times New Roman" w:hAnsi="Times New Roman" w:cs="Times New Roman"/>
        </w:rPr>
        <w:t>Octubre</w:t>
      </w:r>
      <w:proofErr w:type="spellEnd"/>
      <w:r w:rsidRPr="0026679D">
        <w:rPr>
          <w:rFonts w:ascii="Times New Roman" w:hAnsi="Times New Roman" w:cs="Times New Roman"/>
        </w:rPr>
        <w:t xml:space="preserve"> Research Institute(i+12),</w:t>
      </w:r>
      <w:r w:rsidR="00513216">
        <w:rPr>
          <w:rFonts w:ascii="Times New Roman" w:hAnsi="Times New Roman" w:cs="Times New Roman"/>
        </w:rPr>
        <w:t xml:space="preserve"> </w:t>
      </w:r>
      <w:r w:rsidRPr="0026679D">
        <w:rPr>
          <w:rFonts w:ascii="Times New Roman" w:hAnsi="Times New Roman" w:cs="Times New Roman"/>
        </w:rPr>
        <w:t>28041</w:t>
      </w:r>
      <w:r w:rsidR="00513216">
        <w:rPr>
          <w:rFonts w:ascii="Times New Roman" w:hAnsi="Times New Roman" w:cs="Times New Roman"/>
        </w:rPr>
        <w:t xml:space="preserve"> </w:t>
      </w:r>
      <w:r w:rsidRPr="0026679D">
        <w:rPr>
          <w:rFonts w:ascii="Times New Roman" w:hAnsi="Times New Roman" w:cs="Times New Roman"/>
        </w:rPr>
        <w:t>Madrid, Spain</w:t>
      </w:r>
    </w:p>
    <w:p w14:paraId="1E520F2E" w14:textId="77777777" w:rsidR="006B026C" w:rsidRPr="0026679D" w:rsidRDefault="006B026C" w:rsidP="006B026C">
      <w:pPr>
        <w:rPr>
          <w:rFonts w:ascii="Times New Roman" w:hAnsi="Times New Roman" w:cs="Times New Roman"/>
        </w:rPr>
      </w:pPr>
      <w:r w:rsidRPr="0026679D">
        <w:rPr>
          <w:rFonts w:ascii="Times New Roman" w:hAnsi="Times New Roman" w:cs="Times New Roman"/>
          <w:b/>
        </w:rPr>
        <w:t>*</w:t>
      </w:r>
      <w:r w:rsidRPr="0026679D">
        <w:rPr>
          <w:rFonts w:ascii="Times New Roman" w:hAnsi="Times New Roman" w:cs="Times New Roman"/>
        </w:rPr>
        <w:tab/>
        <w:t>Correspondence: franpove@ucm.es</w:t>
      </w:r>
    </w:p>
    <w:p w14:paraId="0B8D1465" w14:textId="77777777" w:rsidR="006B026C" w:rsidRDefault="006B026C" w:rsidP="006B026C">
      <w:pPr>
        <w:jc w:val="both"/>
        <w:rPr>
          <w:rFonts w:ascii="Times New Roman" w:hAnsi="Times New Roman" w:cs="Times New Roman"/>
          <w:b/>
          <w:bCs/>
          <w:sz w:val="28"/>
          <w:szCs w:val="28"/>
        </w:rPr>
      </w:pPr>
    </w:p>
    <w:p w14:paraId="3C2919FC" w14:textId="050AD0C7" w:rsidR="002D2E6D" w:rsidRPr="006B026C" w:rsidRDefault="002D2E6D" w:rsidP="006B026C">
      <w:pPr>
        <w:jc w:val="center"/>
        <w:rPr>
          <w:rFonts w:ascii="Times New Roman" w:hAnsi="Times New Roman" w:cs="Times New Roman"/>
          <w:b/>
          <w:bCs/>
          <w:sz w:val="24"/>
          <w:szCs w:val="24"/>
        </w:rPr>
      </w:pPr>
      <w:r w:rsidRPr="006B026C">
        <w:rPr>
          <w:rFonts w:ascii="Times New Roman" w:hAnsi="Times New Roman" w:cs="Times New Roman"/>
          <w:b/>
          <w:bCs/>
          <w:sz w:val="24"/>
          <w:szCs w:val="24"/>
        </w:rPr>
        <w:t>Supplementary Material</w:t>
      </w:r>
    </w:p>
    <w:p w14:paraId="7B266424" w14:textId="27757FEA" w:rsidR="0016036A" w:rsidRPr="002D2E6D" w:rsidRDefault="000D6C7C" w:rsidP="00963675">
      <w:r w:rsidRPr="002D2E6D">
        <w:drawing>
          <wp:inline distT="0" distB="0" distL="0" distR="0" wp14:anchorId="187732B5" wp14:editId="3C2A0B64">
            <wp:extent cx="5715000" cy="4620534"/>
            <wp:effectExtent l="0" t="0" r="0" b="8890"/>
            <wp:docPr id="15117454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659" cy="4634003"/>
                    </a:xfrm>
                    <a:prstGeom prst="rect">
                      <a:avLst/>
                    </a:prstGeom>
                    <a:noFill/>
                  </pic:spPr>
                </pic:pic>
              </a:graphicData>
            </a:graphic>
          </wp:inline>
        </w:drawing>
      </w:r>
    </w:p>
    <w:p w14:paraId="155FCA93" w14:textId="416F98D0" w:rsidR="002D2E6D" w:rsidRPr="002D2E6D" w:rsidRDefault="007F1D20" w:rsidP="002D2E6D">
      <w:pPr>
        <w:jc w:val="both"/>
        <w:rPr>
          <w:rFonts w:ascii="Times New Roman" w:hAnsi="Times New Roman" w:cs="Times New Roman"/>
        </w:rPr>
      </w:pPr>
      <w:r w:rsidRPr="007F1D20">
        <w:rPr>
          <w:rFonts w:ascii="Times New Roman" w:hAnsi="Times New Roman" w:cs="Times New Roman"/>
          <w:b/>
          <w:bCs/>
        </w:rPr>
        <w:t>Online Resource 1</w:t>
      </w:r>
      <w:r w:rsidR="002D2E6D" w:rsidRPr="002D2E6D">
        <w:rPr>
          <w:rFonts w:ascii="Times New Roman" w:hAnsi="Times New Roman" w:cs="Times New Roman"/>
          <w:b/>
          <w:bCs/>
        </w:rPr>
        <w:t xml:space="preserve"> Example of preferred retinal locus identification and eccentricity measurement using MAIA microperimetry in an eye with Stargardt disease.</w:t>
      </w:r>
      <w:r w:rsidR="002D2E6D" w:rsidRPr="002D2E6D">
        <w:rPr>
          <w:rFonts w:ascii="Times New Roman" w:hAnsi="Times New Roman" w:cs="Times New Roman"/>
        </w:rPr>
        <w:t xml:space="preserve"> The estimated former foveal location is indicated by the yellow marker, and the active preferred retinal locus (PRL) is shown by the fixation cluster. The distance between the former foveal location and the </w:t>
      </w:r>
      <w:r w:rsidR="002D2E6D" w:rsidRPr="002D2E6D">
        <w:rPr>
          <w:rFonts w:ascii="Times New Roman" w:hAnsi="Times New Roman" w:cs="Times New Roman"/>
        </w:rPr>
        <w:lastRenderedPageBreak/>
        <w:t>PRL (</w:t>
      </w:r>
      <m:oMath>
        <m:sSub>
          <m:sSubPr>
            <m:ctrlPr>
              <w:rPr>
                <w:rFonts w:ascii="Cambria Math" w:hAnsi="Cambria Math" w:cs="Times New Roman"/>
              </w:rPr>
            </m:ctrlPr>
          </m:sSubPr>
          <m:e>
            <m:r>
              <w:rPr>
                <w:rFonts w:ascii="Cambria Math" w:hAnsi="Cambria Math" w:cs="Times New Roman"/>
              </w:rPr>
              <m:t>d</m:t>
            </m:r>
          </m:e>
          <m:sub>
            <m:r>
              <m:rPr>
                <m:sty m:val="p"/>
              </m:rPr>
              <w:rPr>
                <w:rFonts w:ascii="Cambria Math" w:hAnsi="Cambria Math" w:cs="Times New Roman"/>
              </w:rPr>
              <m:t>PRL</m:t>
            </m:r>
          </m:sub>
        </m:sSub>
      </m:oMath>
      <w:r w:rsidR="002D2E6D" w:rsidRPr="002D2E6D">
        <w:rPr>
          <w:rFonts w:ascii="Times New Roman" w:hAnsi="Times New Roman" w:cs="Times New Roman"/>
        </w:rPr>
        <w:t>) was 7°. The inner and outer purple ellipses represent the bivariate contour ellipse areas containing 63% (BCEA63) and 95% (BCEA95) of the fixation points, respectively. The numerical values indicate retinal sensitivity in decibels, whereas points with sensitivity below the measurable range delineate the central scotoma.</w:t>
      </w:r>
    </w:p>
    <w:p w14:paraId="05943BA8" w14:textId="77777777" w:rsidR="002D2E6D" w:rsidRPr="002D2E6D" w:rsidRDefault="002D2E6D" w:rsidP="002D2E6D">
      <w:pPr>
        <w:jc w:val="both"/>
        <w:rPr>
          <w:rFonts w:ascii="Times New Roman" w:hAnsi="Times New Roman" w:cs="Times New Roman"/>
        </w:rPr>
      </w:pPr>
    </w:p>
    <w:p w14:paraId="6FA92227" w14:textId="77777777" w:rsidR="002D2E6D" w:rsidRPr="002D2E6D" w:rsidRDefault="002D2E6D" w:rsidP="002D2E6D">
      <w:pPr>
        <w:jc w:val="both"/>
        <w:rPr>
          <w:rFonts w:ascii="Times New Roman" w:hAnsi="Times New Roman" w:cs="Times New Roman"/>
        </w:rPr>
      </w:pPr>
    </w:p>
    <w:p w14:paraId="20C767DA" w14:textId="6EF5FC88" w:rsidR="002D2E6D" w:rsidRDefault="002D2E6D" w:rsidP="002D2E6D">
      <w:pPr>
        <w:jc w:val="center"/>
        <w:rPr>
          <w:rFonts w:ascii="Times New Roman" w:hAnsi="Times New Roman" w:cs="Times New Roman"/>
        </w:rPr>
      </w:pPr>
      <w:r w:rsidRPr="002D2E6D">
        <w:rPr>
          <w:rFonts w:ascii="Times New Roman" w:hAnsi="Times New Roman" w:cs="Times New Roman"/>
        </w:rPr>
        <w:drawing>
          <wp:inline distT="0" distB="0" distL="0" distR="0" wp14:anchorId="650B04C0" wp14:editId="19D1CE88">
            <wp:extent cx="3855720" cy="4669452"/>
            <wp:effectExtent l="0" t="0" r="0" b="0"/>
            <wp:docPr id="5751655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4049" cy="4679539"/>
                    </a:xfrm>
                    <a:prstGeom prst="rect">
                      <a:avLst/>
                    </a:prstGeom>
                    <a:noFill/>
                    <a:ln>
                      <a:noFill/>
                    </a:ln>
                  </pic:spPr>
                </pic:pic>
              </a:graphicData>
            </a:graphic>
          </wp:inline>
        </w:drawing>
      </w:r>
    </w:p>
    <w:p w14:paraId="4B2C6348" w14:textId="59EBD67D" w:rsidR="002D2E6D" w:rsidRPr="002D2E6D" w:rsidRDefault="007F1D20" w:rsidP="002D2E6D">
      <w:pPr>
        <w:jc w:val="both"/>
        <w:rPr>
          <w:rFonts w:ascii="Times New Roman" w:hAnsi="Times New Roman" w:cs="Times New Roman"/>
        </w:rPr>
      </w:pPr>
      <w:r w:rsidRPr="007F1D20">
        <w:rPr>
          <w:rFonts w:ascii="Times New Roman" w:hAnsi="Times New Roman" w:cs="Times New Roman"/>
          <w:b/>
          <w:bCs/>
        </w:rPr>
        <w:t xml:space="preserve">Online Resource </w:t>
      </w:r>
      <w:r>
        <w:rPr>
          <w:rFonts w:ascii="Times New Roman" w:hAnsi="Times New Roman" w:cs="Times New Roman"/>
          <w:b/>
          <w:bCs/>
        </w:rPr>
        <w:t>2</w:t>
      </w:r>
      <w:r w:rsidR="002D2E6D" w:rsidRPr="002D2E6D">
        <w:rPr>
          <w:rFonts w:ascii="Times New Roman" w:hAnsi="Times New Roman" w:cs="Times New Roman"/>
          <w:b/>
          <w:bCs/>
        </w:rPr>
        <w:t xml:space="preserve"> Flow diagram of participant and eye inclusion.</w:t>
      </w:r>
      <w:r w:rsidR="002D2E6D" w:rsidRPr="002D2E6D">
        <w:rPr>
          <w:rFonts w:ascii="Times New Roman" w:hAnsi="Times New Roman" w:cs="Times New Roman"/>
        </w:rPr>
        <w:t xml:space="preserve"> A total of 43 participants were enrolled, including 14 with Stargardt disease and 29 with age-related macular degeneration (AMD), corresponding to 86 potentially eligible eyes. One eye was excluded because fixation and visual measurements were not evaluable. The final eye-level sample comprised 85 eyes: 28 with Stargardt disease, 18 with neovascular AMD, and 39 with non-neovascular AMD. Participant-level analyses included demographic characteristics, reading speed, and DADV score, whereas eye-level analyses included visual acuity, preferred retinal locus location, PRL eccentricity (</w:t>
      </w:r>
      <w:proofErr w:type="spellStart"/>
      <w:r w:rsidR="002D2E6D" w:rsidRPr="002D2E6D">
        <w:rPr>
          <w:rFonts w:ascii="Times New Roman" w:hAnsi="Times New Roman" w:cs="Times New Roman"/>
        </w:rPr>
        <w:t>dPRL</w:t>
      </w:r>
      <w:proofErr w:type="spellEnd"/>
      <w:r w:rsidR="002D2E6D" w:rsidRPr="002D2E6D">
        <w:rPr>
          <w:rFonts w:ascii="Times New Roman" w:hAnsi="Times New Roman" w:cs="Times New Roman"/>
        </w:rPr>
        <w:t>), P1, P2, BCEA63, and BCEA95.</w:t>
      </w:r>
    </w:p>
    <w:sectPr w:rsidR="002D2E6D" w:rsidRPr="002D2E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E37B1"/>
    <w:multiLevelType w:val="hybridMultilevel"/>
    <w:tmpl w:val="8EDE42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59140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88B"/>
    <w:rsid w:val="0005511F"/>
    <w:rsid w:val="000D6C7C"/>
    <w:rsid w:val="0016036A"/>
    <w:rsid w:val="001721D3"/>
    <w:rsid w:val="002D2E6D"/>
    <w:rsid w:val="0032171D"/>
    <w:rsid w:val="00513216"/>
    <w:rsid w:val="006B026C"/>
    <w:rsid w:val="007F1D20"/>
    <w:rsid w:val="00963675"/>
    <w:rsid w:val="00C13C29"/>
    <w:rsid w:val="00C375B0"/>
    <w:rsid w:val="00D948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5010"/>
  <w15:chartTrackingRefBased/>
  <w15:docId w15:val="{74AD6EC1-9DE5-497A-81DF-763044EA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D948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948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9488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9488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9488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9488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488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488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488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488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9488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9488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9488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9488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9488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488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488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488B"/>
    <w:rPr>
      <w:rFonts w:eastAsiaTheme="majorEastAsia" w:cstheme="majorBidi"/>
      <w:color w:val="272727" w:themeColor="text1" w:themeTint="D8"/>
    </w:rPr>
  </w:style>
  <w:style w:type="paragraph" w:styleId="Ttulo">
    <w:name w:val="Title"/>
    <w:basedOn w:val="Normal"/>
    <w:next w:val="Normal"/>
    <w:link w:val="TtuloCar"/>
    <w:uiPriority w:val="10"/>
    <w:qFormat/>
    <w:rsid w:val="00D948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488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488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488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488B"/>
    <w:pPr>
      <w:spacing w:before="160"/>
      <w:jc w:val="center"/>
    </w:pPr>
    <w:rPr>
      <w:i/>
      <w:iCs/>
      <w:color w:val="404040" w:themeColor="text1" w:themeTint="BF"/>
    </w:rPr>
  </w:style>
  <w:style w:type="character" w:customStyle="1" w:styleId="CitaCar">
    <w:name w:val="Cita Car"/>
    <w:basedOn w:val="Fuentedeprrafopredeter"/>
    <w:link w:val="Cita"/>
    <w:uiPriority w:val="29"/>
    <w:rsid w:val="00D9488B"/>
    <w:rPr>
      <w:i/>
      <w:iCs/>
      <w:color w:val="404040" w:themeColor="text1" w:themeTint="BF"/>
    </w:rPr>
  </w:style>
  <w:style w:type="paragraph" w:styleId="Prrafodelista">
    <w:name w:val="List Paragraph"/>
    <w:basedOn w:val="Normal"/>
    <w:uiPriority w:val="34"/>
    <w:qFormat/>
    <w:rsid w:val="00D9488B"/>
    <w:pPr>
      <w:ind w:left="720"/>
      <w:contextualSpacing/>
    </w:pPr>
  </w:style>
  <w:style w:type="character" w:styleId="nfasisintenso">
    <w:name w:val="Intense Emphasis"/>
    <w:basedOn w:val="Fuentedeprrafopredeter"/>
    <w:uiPriority w:val="21"/>
    <w:qFormat/>
    <w:rsid w:val="00D9488B"/>
    <w:rPr>
      <w:i/>
      <w:iCs/>
      <w:color w:val="0F4761" w:themeColor="accent1" w:themeShade="BF"/>
    </w:rPr>
  </w:style>
  <w:style w:type="paragraph" w:styleId="Citadestacada">
    <w:name w:val="Intense Quote"/>
    <w:basedOn w:val="Normal"/>
    <w:next w:val="Normal"/>
    <w:link w:val="CitadestacadaCar"/>
    <w:uiPriority w:val="30"/>
    <w:qFormat/>
    <w:rsid w:val="00D948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9488B"/>
    <w:rPr>
      <w:i/>
      <w:iCs/>
      <w:color w:val="0F4761" w:themeColor="accent1" w:themeShade="BF"/>
    </w:rPr>
  </w:style>
  <w:style w:type="character" w:styleId="Referenciaintensa">
    <w:name w:val="Intense Reference"/>
    <w:basedOn w:val="Fuentedeprrafopredeter"/>
    <w:uiPriority w:val="32"/>
    <w:qFormat/>
    <w:rsid w:val="00D948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345</Words>
  <Characters>1903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POVEDANO MONTERO</dc:creator>
  <cp:keywords/>
  <dc:description/>
  <cp:lastModifiedBy>FRANCISCO JAVIER POVEDANO MONTERO</cp:lastModifiedBy>
  <cp:revision>5</cp:revision>
  <dcterms:created xsi:type="dcterms:W3CDTF">2026-07-28T07:14:00Z</dcterms:created>
  <dcterms:modified xsi:type="dcterms:W3CDTF">2026-07-29T19:47:00Z</dcterms:modified>
</cp:coreProperties>
</file>