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13069D">
      <w:pPr>
        <w:keepNext/>
        <w:keepLines/>
        <w:pageBreakBefore w:val="0"/>
        <w:numPr>
          <w:ilvl w:val="0"/>
          <w:numId w:val="0"/>
        </w:numPr>
        <w:pBdr>
          <w:bottom w:val="single" w:color="auto" w:sz="4" w:space="1"/>
        </w:pBdr>
        <w:kinsoku/>
        <w:wordWrap/>
        <w:overflowPunct/>
        <w:topLinePunct w:val="0"/>
        <w:bidi w:val="0"/>
        <w:spacing w:before="480" w:line="480" w:lineRule="auto"/>
        <w:ind w:leftChars="0"/>
        <w:textAlignment w:val="auto"/>
        <w:outlineLvl w:val="0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en-US" w:bidi="ar-SA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en-US" w:bidi="ar-SA"/>
        </w:rPr>
        <w:t>Supplementary Table S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 w:bidi="ar-SA"/>
        </w:rPr>
        <w:t>1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en-US" w:bidi="ar-SA"/>
        </w:rPr>
        <w:t>. Achievement of intensive LDL-C targets during follow-up</w:t>
      </w:r>
    </w:p>
    <w:tbl>
      <w:tblPr>
        <w:tblStyle w:val="3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4"/>
        <w:gridCol w:w="970"/>
        <w:gridCol w:w="3932"/>
      </w:tblGrid>
      <w:tr w14:paraId="76CD27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049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206D5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pacing w:before="100" w:after="10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Assessment time point</w:t>
            </w:r>
          </w:p>
        </w:tc>
        <w:tc>
          <w:tcPr>
            <w:tcW w:w="584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AF46F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pacing w:before="100" w:after="10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N</w:t>
            </w:r>
          </w:p>
        </w:tc>
        <w:tc>
          <w:tcPr>
            <w:tcW w:w="2365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B89FD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pacing w:before="100" w:after="10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LDL-C &lt; 1.8 mmol/L, n (%)</w:t>
            </w:r>
          </w:p>
        </w:tc>
      </w:tr>
      <w:tr w14:paraId="3E693F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49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06C86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pacing w:before="100" w:after="10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Baseline</w:t>
            </w:r>
          </w:p>
        </w:tc>
        <w:tc>
          <w:tcPr>
            <w:tcW w:w="584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B6C3A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pacing w:before="100" w:after="10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1,941</w:t>
            </w:r>
          </w:p>
        </w:tc>
        <w:tc>
          <w:tcPr>
            <w:tcW w:w="2365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0F068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pacing w:before="100" w:after="10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4.2%</w:t>
            </w:r>
          </w:p>
        </w:tc>
      </w:tr>
      <w:tr w14:paraId="1DDBB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8D10C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pacing w:before="100" w:after="10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6-month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D0EAB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pacing w:before="100" w:after="10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1,163</w:t>
            </w:r>
          </w:p>
        </w:tc>
        <w:tc>
          <w:tcPr>
            <w:tcW w:w="2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A8AD0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pacing w:before="100" w:after="10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4.5%</w:t>
            </w:r>
          </w:p>
        </w:tc>
      </w:tr>
      <w:tr w14:paraId="0C5AED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29D1E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pacing w:before="100" w:after="10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12-month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F498E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pacing w:before="100" w:after="10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654</w:t>
            </w:r>
          </w:p>
        </w:tc>
        <w:tc>
          <w:tcPr>
            <w:tcW w:w="2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AF712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pacing w:before="100" w:after="10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5.7%</w:t>
            </w:r>
          </w:p>
        </w:tc>
      </w:tr>
      <w:tr w14:paraId="353DEC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7256D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pacing w:before="100" w:after="10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18-month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EC880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pacing w:before="100" w:after="10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62</w:t>
            </w:r>
          </w:p>
        </w:tc>
        <w:tc>
          <w:tcPr>
            <w:tcW w:w="2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A1107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pacing w:before="100" w:after="10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9.6%</w:t>
            </w:r>
          </w:p>
        </w:tc>
      </w:tr>
      <w:tr w14:paraId="438801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  <w:jc w:val="center"/>
        </w:trPr>
        <w:tc>
          <w:tcPr>
            <w:tcW w:w="2049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0AB22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pacing w:before="100" w:after="10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24-month</w:t>
            </w:r>
          </w:p>
        </w:tc>
        <w:tc>
          <w:tcPr>
            <w:tcW w:w="584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300AB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pacing w:before="100" w:after="10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8</w:t>
            </w:r>
          </w:p>
        </w:tc>
        <w:tc>
          <w:tcPr>
            <w:tcW w:w="2365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A2C15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pacing w:before="100" w:after="10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0%</w:t>
            </w:r>
          </w:p>
        </w:tc>
      </w:tr>
      <w:tr w14:paraId="15A0A1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5000" w:type="pct"/>
            <w:gridSpan w:val="3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01C57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lang w:val="en-US" w:eastAsia="zh-CN"/>
              </w:rPr>
              <w:t>Achievement of LDL-C &lt;1.8 mmol/L was evaluated as an intensive lipid-lowering target regardless of baseline cardiovascular risk category. Estimates at later assessment points should be interpreted cautiously because of limited sample sizes.</w:t>
            </w:r>
          </w:p>
          <w:p w14:paraId="7CDD1FC3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lang w:val="en-US" w:eastAsia="en-US"/>
              </w:rPr>
              <w:t>Abbreviations: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lang w:val="en-US" w:eastAsia="zh-CN"/>
              </w:rPr>
              <w:t>LDL-C, low-density lipoprotein cholesterol.</w:t>
            </w:r>
          </w:p>
        </w:tc>
      </w:tr>
    </w:tbl>
    <w:p w14:paraId="33A98389">
      <w:pPr>
        <w:pageBreakBefore w:val="0"/>
        <w:kinsoku/>
        <w:wordWrap/>
        <w:overflowPunct/>
        <w:topLinePunct w:val="0"/>
        <w:bidi w:val="0"/>
        <w:spacing w:line="480" w:lineRule="auto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</w:p>
    <w:p w14:paraId="4CAA492C">
      <w:pPr>
        <w:pageBreakBefore w:val="0"/>
        <w:kinsoku/>
        <w:wordWrap/>
        <w:overflowPunct/>
        <w:topLinePunct w:val="0"/>
        <w:bidi w:val="0"/>
        <w:spacing w:line="480" w:lineRule="auto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</w:p>
    <w:p w14:paraId="28360D98">
      <w:pPr>
        <w:pStyle w:val="2"/>
        <w:pageBreakBefore w:val="0"/>
        <w:kinsoku/>
        <w:wordWrap/>
        <w:overflowPunct/>
        <w:topLinePunct w:val="0"/>
        <w:bidi w:val="0"/>
        <w:spacing w:line="480" w:lineRule="auto"/>
        <w:textAlignment w:val="auto"/>
        <w:rPr>
          <w:rFonts w:hint="default" w:ascii="Times New Roman" w:hAnsi="Times New Roman" w:cs="Times New Roman"/>
          <w:sz w:val="24"/>
          <w:szCs w:val="24"/>
          <w:lang w:val="en-US" w:eastAsia="en-US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en-US"/>
        </w:rPr>
        <w:t>Supplementary Table S2. Changes in comprehensive cardiometabolic control during follow-up</w:t>
      </w:r>
    </w:p>
    <w:tbl>
      <w:tblPr>
        <w:tblStyle w:val="3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4"/>
        <w:gridCol w:w="950"/>
        <w:gridCol w:w="4132"/>
      </w:tblGrid>
      <w:tr w14:paraId="4780D4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941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45FDA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pacing w:before="100" w:after="10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Assessment time point</w:t>
            </w:r>
          </w:p>
        </w:tc>
        <w:tc>
          <w:tcPr>
            <w:tcW w:w="572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A14BA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pacing w:before="100" w:after="10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N</w:t>
            </w:r>
          </w:p>
        </w:tc>
        <w:tc>
          <w:tcPr>
            <w:tcW w:w="2486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A57DC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pacing w:before="100" w:after="10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Comprehensive control (%)</w:t>
            </w:r>
          </w:p>
        </w:tc>
      </w:tr>
      <w:tr w14:paraId="2D76A8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41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3974B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pacing w:before="100" w:after="10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Baseline</w:t>
            </w:r>
          </w:p>
        </w:tc>
        <w:tc>
          <w:tcPr>
            <w:tcW w:w="572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03E31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pacing w:before="100" w:after="10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1,710</w:t>
            </w:r>
          </w:p>
        </w:tc>
        <w:tc>
          <w:tcPr>
            <w:tcW w:w="2486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E2F63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pacing w:before="100" w:after="10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18.6%</w:t>
            </w:r>
          </w:p>
        </w:tc>
      </w:tr>
      <w:tr w14:paraId="02CAA1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5AF42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pacing w:before="100" w:after="10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6-month assessment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0E4A6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pacing w:before="100" w:after="10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889</w:t>
            </w:r>
          </w:p>
        </w:tc>
        <w:tc>
          <w:tcPr>
            <w:tcW w:w="24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DA483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pacing w:before="100" w:after="10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29.5%</w:t>
            </w:r>
          </w:p>
        </w:tc>
      </w:tr>
      <w:tr w14:paraId="2BE03B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3CA79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pacing w:before="100" w:after="10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12-month assessment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BF44C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pacing w:before="100" w:after="10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920</w:t>
            </w:r>
          </w:p>
        </w:tc>
        <w:tc>
          <w:tcPr>
            <w:tcW w:w="24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15426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pacing w:before="100" w:after="10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29%</w:t>
            </w:r>
          </w:p>
        </w:tc>
      </w:tr>
      <w:tr w14:paraId="6C95F0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41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41A69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pacing w:before="100" w:after="10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24-month assessment</w:t>
            </w:r>
          </w:p>
        </w:tc>
        <w:tc>
          <w:tcPr>
            <w:tcW w:w="572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F5825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pacing w:before="100" w:after="10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170</w:t>
            </w:r>
          </w:p>
        </w:tc>
        <w:tc>
          <w:tcPr>
            <w:tcW w:w="2486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73A27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pacing w:before="100" w:after="10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28.8%</w:t>
            </w:r>
          </w:p>
        </w:tc>
      </w:tr>
      <w:tr w14:paraId="68B5E6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3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27345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lang w:eastAsia="en-US"/>
              </w:rPr>
              <w:t>Comprehensive cardiometabolic control was defined as simultaneous achievement of recommended targets for blood pressure (SBP &lt;140 mmHg and DBP &lt;90 mmHg), FBG (4.4–7.0 mmol/L), and LDL-C (risk-stratified targets according to the 2024 Chinese Guidelines for the Management of Dyslipidemia).</w:t>
            </w:r>
          </w:p>
        </w:tc>
      </w:tr>
    </w:tbl>
    <w:p w14:paraId="007B63F9">
      <w:pPr>
        <w:pageBreakBefore w:val="0"/>
        <w:kinsoku/>
        <w:wordWrap/>
        <w:overflowPunct/>
        <w:topLinePunct w:val="0"/>
        <w:bidi w:val="0"/>
        <w:spacing w:line="480" w:lineRule="auto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</w:p>
    <w:p w14:paraId="4404924B">
      <w:pPr>
        <w:pageBreakBefore w:val="0"/>
        <w:widowControl/>
        <w:kinsoku/>
        <w:wordWrap/>
        <w:overflowPunct/>
        <w:topLinePunct w:val="0"/>
        <w:bidi w:val="0"/>
        <w:spacing w:line="480" w:lineRule="auto"/>
        <w:jc w:val="left"/>
        <w:textAlignment w:val="auto"/>
        <w:rPr>
          <w:rFonts w:hint="default" w:ascii="Times New Roman" w:hAnsi="Times New Roman" w:eastAsia="宋体" w:cs="Times New Roman"/>
          <w:kern w:val="0"/>
          <w:sz w:val="24"/>
          <w:szCs w:val="24"/>
          <w:lang w:eastAsia="en-US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en-US" w:bidi="ar-SA"/>
        </w:rPr>
        <w:t>Supplementary Table S3. Changes in cardiovascular risk categories from baseline to final follow-up</w:t>
      </w:r>
    </w:p>
    <w:tbl>
      <w:tblPr>
        <w:tblStyle w:val="3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7"/>
        <w:gridCol w:w="2286"/>
        <w:gridCol w:w="3183"/>
      </w:tblGrid>
      <w:tr w14:paraId="2F305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708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A3F9D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pacing w:before="100" w:after="10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Risk category</w:t>
            </w:r>
          </w:p>
        </w:tc>
        <w:tc>
          <w:tcPr>
            <w:tcW w:w="1376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FD215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pacing w:before="100" w:after="10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Baseline n (%)</w:t>
            </w:r>
          </w:p>
        </w:tc>
        <w:tc>
          <w:tcPr>
            <w:tcW w:w="1915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48A40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pacing w:before="100" w:after="10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Final follow-up n (%)</w:t>
            </w:r>
          </w:p>
        </w:tc>
      </w:tr>
      <w:tr w14:paraId="01318C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08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16E8C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pacing w:before="100" w:after="10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Low risk</w:t>
            </w:r>
          </w:p>
        </w:tc>
        <w:tc>
          <w:tcPr>
            <w:tcW w:w="1376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BDAF6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pacing w:before="100" w:after="10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,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908 (81.1)</w:t>
            </w:r>
          </w:p>
        </w:tc>
        <w:tc>
          <w:tcPr>
            <w:tcW w:w="1915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A0864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pacing w:before="100" w:after="10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,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942 (81.6)</w:t>
            </w:r>
          </w:p>
        </w:tc>
      </w:tr>
      <w:tr w14:paraId="090179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70519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pacing w:before="100" w:after="10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Moderate risk</w:t>
            </w:r>
          </w:p>
        </w:tc>
        <w:tc>
          <w:tcPr>
            <w:tcW w:w="1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3ED0C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pacing w:before="100" w:after="10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247 (3.4)</w:t>
            </w:r>
          </w:p>
        </w:tc>
        <w:tc>
          <w:tcPr>
            <w:tcW w:w="19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465BB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pacing w:before="100" w:after="10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583 (8)</w:t>
            </w:r>
          </w:p>
        </w:tc>
      </w:tr>
      <w:tr w14:paraId="7F0041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145E7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pacing w:before="100" w:after="10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High risk</w:t>
            </w:r>
          </w:p>
        </w:tc>
        <w:tc>
          <w:tcPr>
            <w:tcW w:w="1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856DE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pacing w:before="100" w:after="10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1077 (14.8)</w:t>
            </w:r>
          </w:p>
        </w:tc>
        <w:tc>
          <w:tcPr>
            <w:tcW w:w="19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6C57D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pacing w:before="100" w:after="10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711 (9.8)</w:t>
            </w:r>
          </w:p>
        </w:tc>
      </w:tr>
      <w:tr w14:paraId="7B3555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563F2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pacing w:before="100" w:after="10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Very high risk</w:t>
            </w:r>
          </w:p>
        </w:tc>
        <w:tc>
          <w:tcPr>
            <w:tcW w:w="13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B1E38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pacing w:before="100" w:after="10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22 (0.3)</w:t>
            </w:r>
          </w:p>
        </w:tc>
        <w:tc>
          <w:tcPr>
            <w:tcW w:w="19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3272A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pacing w:before="100" w:after="10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24 (0.3)</w:t>
            </w:r>
          </w:p>
        </w:tc>
      </w:tr>
      <w:tr w14:paraId="73EC09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08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ABF85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pacing w:before="100" w:after="10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Extremely high risk</w:t>
            </w:r>
          </w:p>
        </w:tc>
        <w:tc>
          <w:tcPr>
            <w:tcW w:w="1376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862ED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pacing w:before="100" w:after="10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32 (0.4)</w:t>
            </w:r>
          </w:p>
        </w:tc>
        <w:tc>
          <w:tcPr>
            <w:tcW w:w="1915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B0624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pacing w:before="100" w:after="10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26 (0.4)</w:t>
            </w:r>
          </w:p>
        </w:tc>
      </w:tr>
      <w:tr w14:paraId="4D1C8E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3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D78B9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lang w:eastAsia="en-US"/>
              </w:rPr>
              <w:t>Cardiovascular risk categories were determined according to the Chinese ASCVD risk assessment algorithm. Final follow-up categories were assigned based on the latest available risk assessment during routine clinical management.</w:t>
            </w:r>
          </w:p>
        </w:tc>
      </w:tr>
    </w:tbl>
    <w:p w14:paraId="20894732">
      <w:pPr>
        <w:pageBreakBefore w:val="0"/>
        <w:widowControl/>
        <w:kinsoku/>
        <w:wordWrap/>
        <w:overflowPunct/>
        <w:topLinePunct w:val="0"/>
        <w:bidi w:val="0"/>
        <w:spacing w:line="480" w:lineRule="auto"/>
        <w:jc w:val="left"/>
        <w:textAlignment w:val="auto"/>
        <w:rPr>
          <w:rFonts w:hint="default" w:ascii="Times New Roman" w:hAnsi="Times New Roman" w:eastAsia="宋体" w:cs="Times New Roman"/>
          <w:kern w:val="0"/>
          <w:sz w:val="24"/>
          <w:szCs w:val="24"/>
          <w:lang w:eastAsia="en-US"/>
        </w:rPr>
      </w:pPr>
    </w:p>
    <w:p w14:paraId="639BDD97">
      <w:pPr>
        <w:keepNext/>
        <w:keepLines/>
        <w:pageBreakBefore w:val="0"/>
        <w:numPr>
          <w:ilvl w:val="0"/>
          <w:numId w:val="0"/>
        </w:numPr>
        <w:pBdr>
          <w:bottom w:val="single" w:color="auto" w:sz="4" w:space="1"/>
        </w:pBdr>
        <w:kinsoku/>
        <w:wordWrap/>
        <w:overflowPunct/>
        <w:topLinePunct w:val="0"/>
        <w:bidi w:val="0"/>
        <w:spacing w:before="480" w:line="480" w:lineRule="auto"/>
        <w:ind w:leftChars="0"/>
        <w:textAlignment w:val="auto"/>
        <w:outlineLvl w:val="0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en-US" w:bidi="ar-SA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en-US" w:bidi="ar-SA"/>
        </w:rPr>
        <w:t>Supplementary Table S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 w:bidi="ar-SA"/>
        </w:rPr>
        <w:t>4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en-US" w:bidi="ar-SA"/>
        </w:rPr>
        <w:t>. Blood pressure control outcomes by medication adherence</w:t>
      </w:r>
    </w:p>
    <w:tbl>
      <w:tblPr>
        <w:tblStyle w:val="3"/>
        <w:tblW w:w="4996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658"/>
        <w:gridCol w:w="1032"/>
        <w:gridCol w:w="1032"/>
        <w:gridCol w:w="1032"/>
        <w:gridCol w:w="993"/>
        <w:gridCol w:w="1135"/>
        <w:gridCol w:w="954"/>
      </w:tblGrid>
      <w:tr w14:paraId="7F3D4D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877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1400A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48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Adherence</w:t>
            </w:r>
          </w:p>
        </w:tc>
        <w:tc>
          <w:tcPr>
            <w:tcW w:w="389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1EAC7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480" w:lineRule="auto"/>
              <w:ind w:left="100" w:right="10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N</w:t>
            </w: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65585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480" w:lineRule="auto"/>
              <w:ind w:left="100" w:right="10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Baseline SBP (mmHg)</w:t>
            </w: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7CF44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480" w:lineRule="auto"/>
              <w:ind w:left="100" w:right="10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Last SBP (mmHg)</w:t>
            </w:r>
          </w:p>
        </w:tc>
        <w:tc>
          <w:tcPr>
            <w:tcW w:w="677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ACAC8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480" w:lineRule="auto"/>
              <w:ind w:left="100" w:right="10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SBP change (mmHg)</w:t>
            </w:r>
          </w:p>
        </w:tc>
        <w:tc>
          <w:tcPr>
            <w:tcW w:w="587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CB267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480" w:lineRule="auto"/>
              <w:ind w:left="100" w:right="10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Control rate at baseline (%)</w:t>
            </w:r>
          </w:p>
        </w:tc>
        <w:tc>
          <w:tcPr>
            <w:tcW w:w="671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1412C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480" w:lineRule="auto"/>
              <w:ind w:left="100" w:right="10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Control rate at last follow-up (%)</w:t>
            </w:r>
          </w:p>
        </w:tc>
        <w:tc>
          <w:tcPr>
            <w:tcW w:w="577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D91F9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480" w:lineRule="auto"/>
              <w:ind w:left="100" w:right="10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Change in control rate (%)</w:t>
            </w:r>
          </w:p>
        </w:tc>
      </w:tr>
      <w:tr w14:paraId="1FAD5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77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E0A14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48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Non-adherent</w:t>
            </w:r>
          </w:p>
        </w:tc>
        <w:tc>
          <w:tcPr>
            <w:tcW w:w="389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BC5CC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480" w:lineRule="auto"/>
              <w:ind w:left="100" w:right="10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493</w:t>
            </w: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A1EFA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480" w:lineRule="auto"/>
              <w:ind w:left="100" w:right="10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128.8 ± 13</w:t>
            </w: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CFBEE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480" w:lineRule="auto"/>
              <w:ind w:left="100" w:right="10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127.8 ± 11.9</w:t>
            </w:r>
          </w:p>
        </w:tc>
        <w:tc>
          <w:tcPr>
            <w:tcW w:w="677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820B4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480" w:lineRule="auto"/>
              <w:ind w:left="100" w:right="10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.0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 xml:space="preserve"> ± 13.1</w:t>
            </w:r>
          </w:p>
        </w:tc>
        <w:tc>
          <w:tcPr>
            <w:tcW w:w="587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8C6DD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480" w:lineRule="auto"/>
              <w:ind w:left="100" w:right="10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82.8</w:t>
            </w:r>
          </w:p>
        </w:tc>
        <w:tc>
          <w:tcPr>
            <w:tcW w:w="671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8525C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480" w:lineRule="auto"/>
              <w:ind w:left="100" w:right="10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85.8</w:t>
            </w:r>
          </w:p>
        </w:tc>
        <w:tc>
          <w:tcPr>
            <w:tcW w:w="577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20142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480" w:lineRule="auto"/>
              <w:ind w:left="100" w:right="10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.0</w:t>
            </w:r>
          </w:p>
        </w:tc>
      </w:tr>
      <w:tr w14:paraId="0EA4A3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3402A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48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Adherent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82FEB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480" w:lineRule="auto"/>
              <w:ind w:left="100" w:right="10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6780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A7599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480" w:lineRule="auto"/>
              <w:ind w:left="100" w:right="10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128.6 ± 10.7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9D14B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480" w:lineRule="auto"/>
              <w:ind w:left="100" w:right="10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129 ± 11.1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8FD09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480" w:lineRule="auto"/>
              <w:ind w:left="100" w:right="10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-0.4 ± 13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223A6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480" w:lineRule="auto"/>
              <w:ind w:left="100" w:right="10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88.2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259C5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480" w:lineRule="auto"/>
              <w:ind w:left="100" w:right="10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85.9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D6E9A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480" w:lineRule="auto"/>
              <w:ind w:left="100" w:right="10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-2.2</w:t>
            </w:r>
          </w:p>
        </w:tc>
      </w:tr>
      <w:tr w14:paraId="23545C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7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891BC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480" w:lineRule="auto"/>
              <w:ind w:left="100" w:right="10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/>
                <w:iCs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P value</w:t>
            </w:r>
            <w:r>
              <w:rPr>
                <w:rFonts w:hint="default" w:ascii="Times New Roman" w:hAnsi="Times New Roman" w:eastAsia="Arial" w:cs="Times New Roman"/>
                <w:b w:val="0"/>
                <w:i/>
                <w:iCs/>
                <w:strike w:val="0"/>
                <w:color w:val="000000"/>
                <w:kern w:val="0"/>
                <w:sz w:val="24"/>
                <w:szCs w:val="24"/>
                <w:u w:val="none"/>
                <w:vertAlign w:val="superscript"/>
                <w:lang w:eastAsia="en-US"/>
              </w:rPr>
              <w:t>†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86090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480" w:lineRule="auto"/>
              <w:ind w:left="100" w:right="10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509B2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480" w:lineRule="auto"/>
              <w:ind w:left="100" w:right="10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FD162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480" w:lineRule="auto"/>
              <w:ind w:left="100" w:right="10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252D7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480" w:lineRule="auto"/>
              <w:ind w:left="100" w:right="10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0.026</w:t>
            </w:r>
          </w:p>
        </w:tc>
        <w:tc>
          <w:tcPr>
            <w:tcW w:w="58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A722D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480" w:lineRule="auto"/>
              <w:ind w:left="100" w:right="10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F47F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480" w:lineRule="auto"/>
              <w:ind w:left="100" w:right="10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BB299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480" w:lineRule="auto"/>
              <w:ind w:left="100" w:right="10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</w:p>
        </w:tc>
      </w:tr>
      <w:tr w14:paraId="545B5A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8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3095F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lang w:eastAsia="en-US"/>
              </w:rPr>
              <w:t>Data are presented as mean ± SD.</w:t>
            </w:r>
          </w:p>
          <w:p w14:paraId="32DB5D67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lang w:eastAsia="en-US"/>
              </w:rPr>
              <w:t>SBP change was calculated as baseline SBP minus last follow-up SBP, with positive values indicating reduction in SBP.</w:t>
            </w:r>
          </w:p>
          <w:p w14:paraId="2275E824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lang w:eastAsia="en-US"/>
              </w:rPr>
              <w:t>†</w:t>
            </w:r>
            <w:r>
              <w:rPr>
                <w:rFonts w:hint="default" w:ascii="Times New Roman" w:hAnsi="Times New Roman" w:eastAsia="Arial" w:cs="Times New Roman"/>
                <w:b w:val="0"/>
                <w:i/>
                <w:iCs/>
                <w:strike w:val="0"/>
                <w:color w:val="000000"/>
                <w:sz w:val="24"/>
                <w:szCs w:val="24"/>
                <w:u w:val="none"/>
                <w:lang w:eastAsia="en-US"/>
              </w:rPr>
              <w:t>P value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lang w:eastAsia="en-US"/>
              </w:rPr>
              <w:t xml:space="preserve"> was derived from an independent samples t-test comparing SBP changes between adherence groups. After adjustment for baseline SBP, age, and sex using ANCOVA, the between-group difference was not statistically significant (</w:t>
            </w:r>
            <w:r>
              <w:rPr>
                <w:rFonts w:hint="default" w:ascii="Times New Roman" w:hAnsi="Times New Roman" w:eastAsia="Arial" w:cs="Times New Roman"/>
                <w:b w:val="0"/>
                <w:i/>
                <w:iCs/>
                <w:strike w:val="0"/>
                <w:color w:val="000000"/>
                <w:sz w:val="24"/>
                <w:szCs w:val="24"/>
                <w:u w:val="none"/>
                <w:lang w:eastAsia="en-US"/>
              </w:rPr>
              <w:t xml:space="preserve">P 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lang w:eastAsia="en-US"/>
              </w:rPr>
              <w:t>= 0.382).</w:t>
            </w:r>
          </w:p>
          <w:p w14:paraId="082E28C9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lang w:eastAsia="en-US"/>
              </w:rPr>
              <w:t>BP control was defined as SBP &lt;140 mmHg and DBP &lt;90 mmHg.</w:t>
            </w:r>
          </w:p>
        </w:tc>
      </w:tr>
    </w:tbl>
    <w:p w14:paraId="7BDCB038">
      <w:pPr>
        <w:pageBreakBefore w:val="0"/>
        <w:kinsoku/>
        <w:wordWrap/>
        <w:overflowPunct/>
        <w:topLinePunct w:val="0"/>
        <w:bidi w:val="0"/>
        <w:spacing w:line="480" w:lineRule="auto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</w:p>
    <w:p w14:paraId="4D727063">
      <w:pPr>
        <w:keepNext/>
        <w:keepLines/>
        <w:pageBreakBefore w:val="0"/>
        <w:numPr>
          <w:ilvl w:val="0"/>
          <w:numId w:val="0"/>
        </w:numPr>
        <w:pBdr>
          <w:bottom w:val="single" w:color="auto" w:sz="4" w:space="1"/>
        </w:pBdr>
        <w:kinsoku/>
        <w:wordWrap/>
        <w:overflowPunct/>
        <w:topLinePunct w:val="0"/>
        <w:bidi w:val="0"/>
        <w:spacing w:before="480" w:line="480" w:lineRule="auto"/>
        <w:ind w:leftChars="0"/>
        <w:textAlignment w:val="auto"/>
        <w:outlineLvl w:val="0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en-US" w:bidi="ar-SA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en-US" w:bidi="ar-SA"/>
        </w:rPr>
        <w:t>Supplementary Table S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 w:bidi="ar-SA"/>
        </w:rPr>
        <w:t>5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en-US" w:bidi="ar-SA"/>
        </w:rPr>
        <w:t>. Sensitivity analyses for longitudinal blood pressure trajectories</w:t>
      </w:r>
    </w:p>
    <w:tbl>
      <w:tblPr>
        <w:tblStyle w:val="3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5"/>
        <w:gridCol w:w="552"/>
        <w:gridCol w:w="2203"/>
        <w:gridCol w:w="708"/>
        <w:gridCol w:w="2184"/>
        <w:gridCol w:w="714"/>
      </w:tblGrid>
      <w:tr w14:paraId="056AC4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171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3010A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Analysis</w:t>
            </w:r>
          </w:p>
        </w:tc>
        <w:tc>
          <w:tcPr>
            <w:tcW w:w="332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D104E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N</w:t>
            </w:r>
          </w:p>
        </w:tc>
        <w:tc>
          <w:tcPr>
            <w:tcW w:w="1326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C3737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E</w:t>
            </w:r>
            <w:r>
              <w:rPr>
                <w:rFonts w:hint="default" w:ascii="Times New Roman" w:hAnsi="Times New Roman" w:eastAsia="Times New Roman" w:cs="Times New Roman"/>
                <w:b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stimated SBP change during follow-up</w:t>
            </w:r>
            <w:r>
              <w:rPr>
                <w:rFonts w:hint="default" w:ascii="Times New Roman" w:hAnsi="Times New Roman" w:eastAsia="Times New Roman" w:cs="Times New Roman"/>
                <w:b/>
                <w:i/>
                <w:iCs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β</w:t>
            </w:r>
            <w:r>
              <w:rPr>
                <w:rFonts w:hint="default" w:ascii="Times New Roman" w:hAnsi="Times New Roman" w:eastAsia="Times New Roman" w:cs="Times New Roman"/>
                <w:b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 xml:space="preserve"> (95% CI)</w:t>
            </w:r>
          </w:p>
        </w:tc>
        <w:tc>
          <w:tcPr>
            <w:tcW w:w="426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5E217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/>
                <w:iCs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P value</w:t>
            </w:r>
          </w:p>
        </w:tc>
        <w:tc>
          <w:tcPr>
            <w:tcW w:w="1315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EE40F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 xml:space="preserve">Estimated DBP change during follow-up </w:t>
            </w:r>
            <w:r>
              <w:rPr>
                <w:rFonts w:hint="default" w:ascii="Times New Roman" w:hAnsi="Times New Roman" w:eastAsia="Times New Roman" w:cs="Times New Roman"/>
                <w:b/>
                <w:i/>
                <w:iCs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β</w:t>
            </w:r>
            <w:r>
              <w:rPr>
                <w:rFonts w:hint="default" w:ascii="Times New Roman" w:hAnsi="Times New Roman" w:eastAsia="Times New Roman" w:cs="Times New Roman"/>
                <w:b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 xml:space="preserve"> (95% CI)</w:t>
            </w:r>
          </w:p>
        </w:tc>
        <w:tc>
          <w:tcPr>
            <w:tcW w:w="427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A0A77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/>
                <w:iCs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P value</w:t>
            </w:r>
          </w:p>
        </w:tc>
      </w:tr>
      <w:tr w14:paraId="1BC2FD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1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A1B83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bookmarkStart w:id="0" w:name="_GoBack" w:colFirst="0" w:colLast="0"/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Primary analysis</w:t>
            </w:r>
          </w:p>
        </w:tc>
        <w:tc>
          <w:tcPr>
            <w:tcW w:w="332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9C879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7,286</w:t>
            </w:r>
          </w:p>
        </w:tc>
        <w:tc>
          <w:tcPr>
            <w:tcW w:w="1326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38ABC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0.15 (-0.82 to 1.13)</w:t>
            </w:r>
          </w:p>
        </w:tc>
        <w:tc>
          <w:tcPr>
            <w:tcW w:w="426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39C37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&lt;0.001</w:t>
            </w:r>
          </w:p>
        </w:tc>
        <w:tc>
          <w:tcPr>
            <w:tcW w:w="1315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06DC3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-0.4 (-1.02 to 0.23)</w:t>
            </w:r>
          </w:p>
        </w:tc>
        <w:tc>
          <w:tcPr>
            <w:tcW w:w="427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6B6EF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&lt;0.001</w:t>
            </w:r>
          </w:p>
        </w:tc>
      </w:tr>
      <w:tr w14:paraId="51B869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5E1E3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Follow-up restricted to ≤24 months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D7CA1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7,286</w:t>
            </w:r>
          </w:p>
        </w:tc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57A80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0.15 (-0.83 to 1.12)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CA8E9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&lt;0.001</w:t>
            </w:r>
          </w:p>
        </w:tc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4677E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-0.41 (-1.03 to 0.22)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6F90E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&lt;0.001</w:t>
            </w:r>
          </w:p>
        </w:tc>
      </w:tr>
      <w:tr w14:paraId="4D2A28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31A26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Restricted to ≥12 months follow-up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588ED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4,449</w:t>
            </w:r>
          </w:p>
        </w:tc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BDE18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0.27 (-0.73 to 1.27)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AFDFC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&lt;0.001</w:t>
            </w:r>
          </w:p>
        </w:tc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676BE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-0.38 (-1.02 to 0.26)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5AC81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&lt;0.001</w:t>
            </w:r>
          </w:p>
        </w:tc>
      </w:tr>
      <w:tr w14:paraId="136583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1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FF83C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Restricted to uncontrolled BP at baseline</w:t>
            </w:r>
          </w:p>
        </w:tc>
        <w:tc>
          <w:tcPr>
            <w:tcW w:w="332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EA420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969</w:t>
            </w:r>
          </w:p>
        </w:tc>
        <w:tc>
          <w:tcPr>
            <w:tcW w:w="1326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F84B8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-12.43 (-16.62 to -8.25)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DA5A1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&lt;0.001</w:t>
            </w:r>
          </w:p>
        </w:tc>
        <w:tc>
          <w:tcPr>
            <w:tcW w:w="1315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8185F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-7.11 (-9.86 to -4.37)</w:t>
            </w:r>
          </w:p>
        </w:tc>
        <w:tc>
          <w:tcPr>
            <w:tcW w:w="42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C3D89">
            <w:pPr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  <w:t>&lt;0.001</w:t>
            </w:r>
          </w:p>
        </w:tc>
      </w:tr>
      <w:bookmarkEnd w:id="0"/>
      <w:tr w14:paraId="498723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6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852D0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/>
                <w:iCs/>
                <w:strike w:val="0"/>
                <w:color w:val="000000"/>
                <w:sz w:val="24"/>
                <w:szCs w:val="24"/>
                <w:u w:val="none"/>
                <w:lang w:val="en-US" w:eastAsia="zh-CN"/>
              </w:rPr>
              <w:t>β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coefficients represent estimated longitudinal changes in SBP and DBP derived from linear mixed-effects models with follow-up time as a categorical fixed effect and participant-specific random intercepts. Models were adjusted for age, sex, and baseline blood pressure.</w:t>
            </w:r>
          </w:p>
          <w:p w14:paraId="3E1156AD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bidi w:val="0"/>
              <w:snapToGrid w:val="0"/>
              <w:spacing w:before="100" w:after="10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kern w:val="0"/>
                <w:sz w:val="24"/>
                <w:szCs w:val="24"/>
                <w:u w:val="none"/>
                <w:lang w:eastAsia="en-US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lang w:val="en-US" w:eastAsia="en-US"/>
              </w:rPr>
              <w:t>Abbreviations: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lang w:val="en-US" w:eastAsia="zh-CN"/>
              </w:rPr>
              <w:t>SBP, systolic blood pressure; DBP, diastolic blood pressure; CI, confidence interval; BP, blood pressure.</w:t>
            </w:r>
          </w:p>
        </w:tc>
      </w:tr>
    </w:tbl>
    <w:p w14:paraId="0FA691D0">
      <w:pPr>
        <w:pageBreakBefore w:val="0"/>
        <w:widowControl/>
        <w:kinsoku/>
        <w:wordWrap/>
        <w:overflowPunct/>
        <w:topLinePunct w:val="0"/>
        <w:bidi w:val="0"/>
        <w:spacing w:line="480" w:lineRule="auto"/>
        <w:jc w:val="left"/>
        <w:textAlignment w:val="auto"/>
        <w:rPr>
          <w:rFonts w:hint="default" w:ascii="Times New Roman" w:hAnsi="Times New Roman" w:eastAsia="宋体" w:cs="Times New Roman"/>
          <w:kern w:val="0"/>
          <w:sz w:val="24"/>
          <w:szCs w:val="24"/>
          <w:lang w:eastAsia="en-US"/>
        </w:rPr>
      </w:pPr>
    </w:p>
    <w:p w14:paraId="63C6B5CB">
      <w:pPr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0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FE2DAE"/>
    <w:rsid w:val="48FE2DAE"/>
    <w:rsid w:val="528F117E"/>
    <w:rsid w:val="6EDB5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2026-07-20T11:41:00Z</dcterms:created>
  <dc:creator>lkk</dc:creator>
  <cp:lastModifiedBy>lkk</cp:lastModifiedBy>
  <dcterms:modified xsi:type="dcterms:W3CDTF">2026-07-20T11:44:11Z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B13E1377744B4FE48DD03B0E91DB2FC0_11</vt:lpwstr>
  </property>
  <property fmtid="{D5CDD505-2E9C-101B-9397-08002B2CF9AE}" pid="4" name="KSOTemplateDocerSaveRecord">
    <vt:lpwstr>eyJoZGlkIjoiMzEwNTM5NzYwMDRjMzkwZTVkZjY2ODkwMGIxNGU0OTUiLCJ1c2VySWQiOiIzNzM1Mjk4MzEifQ==</vt:lpwstr>
  </property>
</Properties>
</file>