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C3EB9D">
      <w:pPr>
        <w:jc w:val="left"/>
        <w:rPr>
          <w:rFonts w:hint="default" w:ascii="Times New Roman" w:hAnsi="Times New Roman" w:eastAsia="宋体" w:cs="Times New Roman"/>
          <w:b w:val="0"/>
          <w:bCs w:val="0"/>
          <w:kern w:val="0"/>
          <w:sz w:val="24"/>
          <w:szCs w:val="22"/>
          <w:lang w:eastAsia="en-US" w:bidi="en-US"/>
        </w:rPr>
      </w:pPr>
      <w:bookmarkStart w:id="0" w:name="_GoBack"/>
      <w:bookmarkEnd w:id="0"/>
      <w:r>
        <w:rPr>
          <w:rFonts w:ascii="Times New Roman" w:hAnsi="Times New Roman" w:eastAsia="Times New Roman"/>
          <w:b/>
          <w:i w:val="0"/>
          <w:sz w:val="24"/>
        </w:rPr>
        <w:t>Supplementary Table 1. Baseline characteristics of the independent hospital-based external validation cohort</w:t>
      </w:r>
    </w:p>
    <w:tbl>
      <w:tblPr>
        <w:tblStyle w:val="32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</w:tblPr>
      <w:tblGrid>
        <w:gridCol w:w="2630"/>
        <w:gridCol w:w="2317"/>
        <w:gridCol w:w="2317"/>
        <w:gridCol w:w="2312"/>
      </w:tblGrid>
      <w:tr w14:paraId="0BFAB3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tblHeader w:val="true"/>
          <w:cantSplit/>
        </w:trPr>
        <w:tc>
          <w:tcPr>
            <w:tcW w:w="2340" w:type="dxa"/>
            <w:tcBorders>
              <w:top w:val="single" w:color="auto" w:sz="12" w:space="0"/>
              <w:left w:val="nil"/>
              <w:bottom w:val="single" w:color="auto" w:sz="8" w:space="0"/>
              <w:right w:val="nil"/>
            </w:tcBorders>
            <w:vAlign w:val="center"/>
          </w:tcPr>
          <w:p>
            <w:pPr>
              <w:spacing w:after="0" w:line="240" w:lineRule="auto"/>
            </w:pPr>
            <w:r/>
            <w:r>
              <w:rPr>
                <w:rFonts w:ascii="Times New Roman" w:hAnsi="Times New Roman" w:eastAsia="Times New Roman"/>
                <w:b/>
                <w:sz w:val="17"/>
              </w:rPr>
              <w:t>Variables</w:t>
            </w:r>
          </w:p>
        </w:tc>
        <w:tc>
          <w:tcPr>
            <w:tcW w:w="2340" w:type="dxa"/>
            <w:tcBorders>
              <w:top w:val="single" w:color="auto" w:sz="12" w:space="0"/>
              <w:left w:val="nil"/>
              <w:bottom w:val="single" w:color="auto" w:sz="8" w:space="0"/>
              <w:right w:val="nil"/>
            </w:tcBorders>
            <w:vAlign w:val="center"/>
          </w:tcPr>
          <w:p>
            <w:pPr>
              <w:spacing w:after="0" w:line="240" w:lineRule="auto"/>
            </w:pPr>
            <w:r/>
            <w:r>
              <w:rPr>
                <w:rFonts w:ascii="Times New Roman" w:hAnsi="Times New Roman" w:eastAsia="Times New Roman"/>
                <w:b/>
                <w:sz w:val="17"/>
              </w:rPr>
              <w:t>Without broad sleep health disturbance</w:t>
            </w:r>
          </w:p>
        </w:tc>
        <w:tc>
          <w:tcPr>
            <w:tcW w:w="2340" w:type="dxa"/>
            <w:tcBorders>
              <w:top w:val="single" w:color="auto" w:sz="12" w:space="0"/>
              <w:left w:val="nil"/>
              <w:bottom w:val="single" w:color="auto" w:sz="8" w:space="0"/>
              <w:right w:val="nil"/>
            </w:tcBorders>
            <w:vAlign w:val="center"/>
          </w:tcPr>
          <w:p>
            <w:pPr>
              <w:spacing w:after="0" w:line="240" w:lineRule="auto"/>
            </w:pPr>
            <w:r/>
            <w:r>
              <w:rPr>
                <w:rFonts w:ascii="Times New Roman" w:hAnsi="Times New Roman" w:eastAsia="Times New Roman"/>
                <w:b/>
                <w:sz w:val="17"/>
              </w:rPr>
              <w:t>With broad sleep health disturbance</w:t>
            </w:r>
          </w:p>
        </w:tc>
        <w:tc>
          <w:tcPr>
            <w:tcW w:w="2340" w:type="dxa"/>
            <w:tcBorders>
              <w:top w:val="single" w:color="auto" w:sz="12" w:space="0"/>
              <w:left w:val="nil"/>
              <w:bottom w:val="single" w:color="auto" w:sz="8" w:space="0"/>
              <w:right w:val="nil"/>
            </w:tcBorders>
            <w:vAlign w:val="center"/>
          </w:tcPr>
          <w:p>
            <w:pPr>
              <w:spacing w:after="0" w:line="240" w:lineRule="auto"/>
            </w:pPr>
            <w:r/>
            <w:r>
              <w:rPr>
                <w:rFonts w:ascii="Times New Roman" w:hAnsi="Times New Roman" w:eastAsia="Times New Roman"/>
                <w:b/>
                <w:sz w:val="17"/>
              </w:rPr>
              <w:t>P value</w:t>
            </w:r>
          </w:p>
        </w:tc>
      </w:tr>
      <w:tr w14:paraId="662C54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single" w:color="auto" w:sz="8" w:space="0"/>
              <w:left w:val="nil"/>
              <w:bottom w:val="nil"/>
              <w:right w:val="nil"/>
            </w:tcBorders>
            <w:shd w:fill="FFFFFF"/>
          </w:tcPr>
          <w:p w14:paraId="55FB2953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Age (years)</w:t>
            </w:r>
          </w:p>
        </w:tc>
        <w:tc>
          <w:tcPr>
            <w:tcW w:w="2340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top"/>
            <w:shd w:fill="FFFFFF"/>
          </w:tcPr>
          <w:p w14:paraId="6BFE83AF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6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 (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60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.00, 7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)</w:t>
            </w:r>
          </w:p>
        </w:tc>
        <w:tc>
          <w:tcPr>
            <w:tcW w:w="2340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top"/>
            <w:shd w:fill="FFFFFF"/>
          </w:tcPr>
          <w:p w14:paraId="5E316B18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58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 (5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 xml:space="preserve">.00, 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66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.25)</w:t>
            </w:r>
          </w:p>
        </w:tc>
        <w:tc>
          <w:tcPr>
            <w:tcW w:w="2340" w:type="dxa"/>
            <w:tcBorders>
              <w:top w:val="single" w:color="auto" w:sz="8" w:space="0"/>
              <w:left w:val="nil"/>
              <w:bottom w:val="nil"/>
              <w:right w:val="nil"/>
            </w:tcBorders>
            <w:shd w:fill="FFFFFF"/>
          </w:tcPr>
          <w:p w14:paraId="2E3F2A92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&lt;0.001</w:t>
            </w:r>
          </w:p>
        </w:tc>
      </w:tr>
      <w:tr w14:paraId="52E5C8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02C1702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Gender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2200530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7A822F5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84811BD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0.915</w:t>
            </w:r>
          </w:p>
        </w:tc>
      </w:tr>
      <w:tr w14:paraId="37AAFB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E84F0D7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Male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2873B14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6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 xml:space="preserve"> (3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23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1DB7C7D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49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 xml:space="preserve"> (3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03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BEA6C1F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0CD090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4EC5AEA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Female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FA3BC52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14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 xml:space="preserve"> (6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77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2395221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95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 xml:space="preserve"> (6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97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75D1235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1B60BC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971920C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Education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43FC887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BE6BFD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EE784B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0.698</w:t>
            </w:r>
          </w:p>
        </w:tc>
      </w:tr>
      <w:tr w14:paraId="04E699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68FF82F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Less than high school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466E7B8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47 (26.7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7B1F264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36 (25.0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0C8D33E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5415C4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47A9308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High school or equivalent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F0AAAEF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71 (40.3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C8CFE01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54 (37.5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8028A76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6BA90A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B175CA7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More than high school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1F07EA1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58 (3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96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1100546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54 (37.5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6D5B98E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7C3691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66814A9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Marital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62E9DF6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9233305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C33FDD6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0.055</w:t>
            </w:r>
          </w:p>
        </w:tc>
      </w:tr>
      <w:tr w14:paraId="6B7EE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4F27FEB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Never married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9173BB7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 (2.8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823AAD6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9 (6.2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D02071E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33C7BB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E2092F3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Married/Partner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644CB2D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112 (63.6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BA81499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74 (51.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39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3629B38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28C8A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DB4AF06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Widowed/Divorced/Separated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21AD215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59 (33.5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B3480F9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61 (42.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36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04A6A03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2A7DA6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EACE3A7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PIR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95B52E5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0B5F026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44B6CBD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0.017</w:t>
            </w:r>
          </w:p>
        </w:tc>
      </w:tr>
      <w:tr w14:paraId="15932B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EE4951A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&lt; 1.3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14774E7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50 (28.4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648305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63 (43.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75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27984E4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1D01B5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0125FAC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1.3-3.5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F0F6248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73 (41.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48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E0DB068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48 (33.3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99A6586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491C27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BC29B7E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&gt;3.5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464D16D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53 (30.1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81932A9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33 (22.9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42AE46F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48C3C0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6A77595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Smoking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B0F75F4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B876C9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F61EAB6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0.440</w:t>
            </w:r>
          </w:p>
        </w:tc>
      </w:tr>
      <w:tr w14:paraId="00630D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ED8B4FA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Never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C440182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118 (67.0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9E89D0C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93 (64.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58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7CEE1E6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0F08E7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4E7424F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Former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FD8BC7C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27 (15.3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81C1FEC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18 (12.5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39F59F3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5F4084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318E598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Current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D47F5DF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31 (17.6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5BA3FBB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33 (22.9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448CDE7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244328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4AAD9A3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Drinking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2434FDB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44B2887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C27C182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0.084</w:t>
            </w:r>
          </w:p>
        </w:tc>
      </w:tr>
      <w:tr w14:paraId="6EC777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37364CB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Never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A2115C8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74 (42.0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FD8889F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50 (34.7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CD7B679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6D9501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9453C54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Former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9995023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13 (7.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39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8CEAF71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21 (14.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58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95DE79B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7E0B73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D696506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Current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B06108B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89 (50.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57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3D26255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73 (50.7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3E6E215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170405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06EBC4A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BMI (kg/m2)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6A57452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125FE08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C2D746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0.068</w:t>
            </w:r>
          </w:p>
        </w:tc>
      </w:tr>
      <w:tr w14:paraId="56EB73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67FFA83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&lt; 25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F21B0B0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70 (39.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77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380EE95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45 (31.2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D482A11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2409FA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7F845A0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25-30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828DED7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69 (39.2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DD37BB7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53 (36.8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023C147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0679D3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D0D1942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&gt;= 30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7124BDD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37 (21.0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0437EE7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46 (31.9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A5FC981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1B8EEE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CA1DE60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Gout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15E5994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401FF2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FAC6483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0.556</w:t>
            </w:r>
          </w:p>
        </w:tc>
      </w:tr>
      <w:tr w14:paraId="23A300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ADA0F8B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No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AEEFED8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161 (91.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48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66F9B3E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128 (88.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9%)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E0254E3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271D9F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D2333A1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Yes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FAB9631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15 (8.5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05B43F3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16 (11.1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C893C53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785501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426FBFB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CVD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C76577D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12C691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397B0DE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0.553</w:t>
            </w:r>
          </w:p>
        </w:tc>
      </w:tr>
      <w:tr w14:paraId="13D25A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10D9CF4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No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9BF3B00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139 (7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98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1A1FE09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113 (78.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47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B37C958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38E5A0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6ED0BB3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Yes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02FE09B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37 (21.0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B5D3DE7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31 (21.5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F769F59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734A19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21D14C5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Hypertension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E3F815E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EE41494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DAC6981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0.098</w:t>
            </w:r>
          </w:p>
        </w:tc>
      </w:tr>
      <w:tr w14:paraId="328623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F64F409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No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0348B4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68 (38.6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38BFBD6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42 (29.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17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03AE825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368871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3C3C549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Yes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F0FB82F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108 (61.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36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BEEF98C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102 (70.8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FF2278C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7A8F10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5105B81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Diabetes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74BF3F1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D513C9B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81A05DC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0.243</w:t>
            </w:r>
          </w:p>
        </w:tc>
      </w:tr>
      <w:tr w14:paraId="7ABA91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C6941A8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No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9C42C19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129 (73.3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5E2B516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96 (66.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67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5C51EBC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1BBE89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B323CA9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Yes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82EA412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47 (26.7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0DF057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48 (33.3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335B60B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195FC4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F860D53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Cancer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D2962E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F5EFEFB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4CA2E69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0.691</w:t>
            </w:r>
          </w:p>
        </w:tc>
      </w:tr>
      <w:tr w14:paraId="3260D2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B523B86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No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57FDD77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140 (79.5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61BA13E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118 (81.9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5BDEA2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2CD4EE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F9962FC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Yes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88BEEFC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36 (20.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C11A291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26 (18.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06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2799D4C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425FE5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3F10830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Depression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6F0D5DC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140954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CECDCBF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&lt;0.001</w:t>
            </w:r>
          </w:p>
        </w:tc>
      </w:tr>
      <w:tr w14:paraId="1A5712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E96163E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No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C5B0255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162 (92.0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E9D53C2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110 (76.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39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1DE2126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1233CE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859758D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Yes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5A55D26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14 (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7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95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D7BA7D7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34 (23.6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4B4A5CE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59CA30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4B2E80C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Physical function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47DCE6F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7AFB861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46CEF28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0.057</w:t>
            </w:r>
          </w:p>
        </w:tc>
      </w:tr>
      <w:tr w14:paraId="03B4D3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D3033A4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No functional limitation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0F83F7E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27 (15.3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DA80228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10 (6.9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2026290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3E692D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856AE04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Mild functional limitation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B4636E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7 (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98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9AB342C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12 (8.3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4C0D40E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538392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41EF69D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Moderate functional limitation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46D9831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69 (39.2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C7692E2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59 (4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97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B06A728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1EE2BD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38B83B4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Severe functional limitation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FF00FEB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73 (41.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48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93EB7F8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63 (43.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75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AC27E8E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1A4568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26AE89D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Physical activity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2F13673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5714111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14526E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0.343</w:t>
            </w:r>
          </w:p>
        </w:tc>
      </w:tr>
      <w:tr w14:paraId="078263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43DA515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Inactive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4262F51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100 (56.8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CB2EF1C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72 (50.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588A70C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6E6C21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200A45D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Insufficient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C8FE353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42 (23.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86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25B7190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35 (24.3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EA4A9A4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0F30F8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5501DD3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Active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A5B1090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34 (19.3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608563B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37 (25.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69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%)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84ED97B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661226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6436F97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Sleep duration (hours)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53E9F1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7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.00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 xml:space="preserve"> (7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.00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, 8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.00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23A8C07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6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.00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 xml:space="preserve"> (4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.00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, 7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.00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2F89E32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&lt;0.001</w:t>
            </w:r>
          </w:p>
        </w:tc>
      </w:tr>
      <w:tr w14:paraId="6E09A3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21B455F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Laboratory parameters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7C364F8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A1E032B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DA2A6C8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</w:p>
        </w:tc>
      </w:tr>
      <w:tr w14:paraId="76968E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0E1B124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High-Density Lipoprotein (mmoL/L)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A21189B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29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 xml:space="preserve"> (0.98, 1.6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3CF41BC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1.29 (1.02, 1.6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ADCA02A">
            <w:pPr>
              <w:widowControl w:val="0"/>
              <w:spacing w:after="0" w:line="240" w:lineRule="auto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0.71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</w:t>
            </w:r>
          </w:p>
        </w:tc>
      </w:tr>
      <w:tr w14:paraId="4A03E8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364CECA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Total Cholesterol (mmol/L)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FAF9560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4.87 (4.09, 5.68)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1D6F9F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4.97 (4.15, 5.55)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BE2CC05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0.662</w:t>
            </w:r>
          </w:p>
        </w:tc>
      </w:tr>
      <w:tr w14:paraId="044EBB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0C1CA0E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Creatinine (umol/L)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A67D9C1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0.86 (0.68, 1.09)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E67E5E8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0.90 (0.79, 1.0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EF507E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0.173</w:t>
            </w:r>
          </w:p>
        </w:tc>
      </w:tr>
      <w:tr w14:paraId="2923B6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34F6ED8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Uric acid (umol/L)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88D99F9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343.90 (286.10, 402.00)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33A06C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342.60 (286.90, 391.70)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5B8E016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0.787</w:t>
            </w:r>
          </w:p>
        </w:tc>
      </w:tr>
      <w:tr w14:paraId="2B4810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1016273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Ca (mmol/L)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A90EBC0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2.33 (2.26, 2.40)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A1706A1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2.34 (2.26, 2.40)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5FA8E90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0.941</w:t>
            </w:r>
          </w:p>
        </w:tc>
      </w:tr>
      <w:tr w14:paraId="5FD9EB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ADFA6E3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Phosphorus (mmol/L)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8DC8AD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1.19 (1.06, 1.28)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4F94026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1.21 (1.09, 1.32)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A4A2303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0.098</w:t>
            </w:r>
          </w:p>
        </w:tc>
      </w:tr>
      <w:tr w14:paraId="3C0D26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356365EC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Alanine Aminotransferase (U/L)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2BAAAEF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 xml:space="preserve">0 (15.00, 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29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FADBF09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21.00 (14.00, 28.00)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C94995E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0.389</w:t>
            </w:r>
          </w:p>
        </w:tc>
      </w:tr>
      <w:tr w14:paraId="3B0905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6E6A39B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Aspartate Aminotransferase (U/L)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250D855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23.00 (1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7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.00, 3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.00)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0085E55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 (17.00, 3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25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B4DBDF0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0.488</w:t>
            </w:r>
          </w:p>
        </w:tc>
      </w:tr>
      <w:tr w14:paraId="3A1E52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2763D4C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White Blood Cell (1000 cells/uL)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BBF617A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6.5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 xml:space="preserve"> (5.1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, 7.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89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0DE8794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6.3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 xml:space="preserve"> (4.94, 7.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88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D8365C2">
            <w:pPr>
              <w:widowControl w:val="0"/>
              <w:spacing w:after="0" w:line="240" w:lineRule="auto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0.62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</w:t>
            </w:r>
          </w:p>
        </w:tc>
      </w:tr>
      <w:tr w14:paraId="19B3C9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BB1C2BA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Lymphocyte (1000 cells/uL)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E2AAD08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1.89 (1.44, 2.37)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4642A4D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1.85 (1.3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7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, 2.3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B014A17">
            <w:pPr>
              <w:widowControl w:val="0"/>
              <w:spacing w:after="0" w:line="240" w:lineRule="auto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0.58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8</w:t>
            </w:r>
          </w:p>
        </w:tc>
      </w:tr>
      <w:tr w14:paraId="3A06EB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CAB1CB1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Neutrophil (1000 cells/uL)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1967CE5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3.7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 xml:space="preserve"> (2.89, 4.83)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64B5ABC1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3.7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 xml:space="preserve"> (2.9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7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, 5.0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2488DF9D">
            <w:pPr>
              <w:widowControl w:val="0"/>
              <w:spacing w:after="0" w:line="240" w:lineRule="auto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0.45</w:t>
            </w:r>
            <w:r>
              <w:rPr>
                <w:rFonts w:hint="eastAsia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3</w:t>
            </w:r>
          </w:p>
        </w:tc>
      </w:tr>
      <w:tr w14:paraId="7723D8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094F3051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Red Blood Cell (1000000 cells/uL)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7AFE6C7B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4.40 (4.03, 4.68)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47211300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4.47 (4.17, 4.76)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fill="FFFFFF"/>
          </w:tcPr>
          <w:p w14:paraId="19A262FF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0.159</w:t>
            </w:r>
          </w:p>
        </w:tc>
      </w:tr>
      <w:tr w14:paraId="7BADA1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  <w:cantSplit/>
        </w:trPr>
        <w:tc>
          <w:tcPr>
            <w:tcW w:w="2340" w:type="dxa"/>
            <w:tcBorders>
              <w:top w:val="nil"/>
              <w:left w:val="nil"/>
              <w:bottom w:val="single" w:color="auto" w:sz="12" w:space="0"/>
              <w:right w:val="nil"/>
            </w:tcBorders>
            <w:shd w:fill="FFFFFF"/>
          </w:tcPr>
          <w:p w14:paraId="315BB4E4"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Hemoglobin (g/dL)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12" w:space="0"/>
              <w:right w:val="nil"/>
            </w:tcBorders>
            <w:shd w:fill="FFFFFF"/>
          </w:tcPr>
          <w:p w14:paraId="0675CF01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13.13 (12.02, 13.97)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12" w:space="0"/>
              <w:right w:val="nil"/>
            </w:tcBorders>
            <w:shd w:fill="FFFFFF"/>
          </w:tcPr>
          <w:p w14:paraId="35ABC40C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12.59 (11.67, 13.76)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12" w:space="0"/>
              <w:right w:val="nil"/>
            </w:tcBorders>
            <w:shd w:fill="FFFFFF"/>
          </w:tcPr>
          <w:p w14:paraId="23BE9147"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 w:eastAsia="Times New Roman"/>
                <w:kern w:val="2"/>
                <w:sz w:val="17"/>
                <w:szCs w:val="20"/>
                <w:lang w:val="en-US" w:eastAsia="zh-CN"/>
              </w:rPr>
              <w:t>0.090</w:t>
            </w:r>
          </w:p>
        </w:tc>
      </w:tr>
    </w:tbl>
    <w:p w14:paraId="01C5AF62">
      <w:pPr>
        <w:rPr>
          <w:rFonts w:hint="eastAsia" w:ascii="Times New Roman" w:hAnsi="Times New Roman"/>
          <w:i/>
          <w:sz w:val="16"/>
        </w:rPr>
      </w:pPr>
    </w:p>
    <w:p w14:paraId="7D9E1831">
      <w:pPr>
        <w:spacing w:line="240" w:lineRule="auto"/>
      </w:pPr>
      <w:r>
        <w:rPr>
          <w:rFonts w:ascii="Times New Roman" w:hAnsi="Times New Roman" w:eastAsia="Times New Roman"/>
          <w:b w:val="0"/>
          <w:i w:val="0"/>
          <w:sz w:val="18"/>
        </w:rPr>
        <w:t>PIR, poverty income ratio; BMI, body mass index; CVD, cardiovascular disease. Continuous variables are expressed as median (interquartile range), and categorical variables as frequency (percentage). P values were calculated using the Mann–Whitney U test for continuous variables and the chi-square test or Fisher exact test for categorical variables, as appropriate.</w:t>
      </w:r>
    </w:p>
    <w:sectPr>
      <w:footerReference w:type="default" r:id="rId9"/>
      <w:pgSz w:w="11906" w:h="16838"/>
      <w:pgMar w:top="1134" w:right="1134" w:bottom="1134" w:left="1134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Kozuka Mincho Pr6N R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WAstr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WAstro">
    <w:panose1 w:val="02000400000000000000"/>
    <w:charset w:val="00"/>
    <w:family w:val="auto"/>
    <w:pitch w:val="default"/>
    <w:sig w:usb0="00000003" w:usb1="00000000" w:usb2="00000000" w:usb3="00000000" w:csb0="00000001" w:csb1="00000000"/>
  </w:font>
  <w:font w:name="Kozuka Mincho Pr6N R">
    <w:panose1 w:val="02020400000000000000"/>
    <w:charset w:val="80"/>
    <w:family w:val="auto"/>
    <w:pitch w:val="default"/>
    <w:sig w:usb0="000002D7" w:usb1="2AC73C11" w:usb2="00000012" w:usb3="00000000" w:csb0="2002009F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sz w:val="18"/>
      </w:rPr>
      <w:t xml:space="preserve">Page </w:t>
      <w:fldChar w:fldCharType="begin"/>
      <w:instrText xml:space="preserve">PAGE</w:instrText>
      <w:fldChar w:fldCharType="end"/>
    </w:r>
    <w:r>
      <w:rPr>
        <w:rFonts w:ascii="Times New Roman" w:hAnsi="Times New Roman"/>
        <w:sz w:val="18"/>
      </w:rPr>
      <w:t xml:space="preserve"> of </w:t>
      <w:fldChar w:fldCharType="begin"/>
      <w:instrText xml:space="preserve">NUMPAGES</w:instrText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FFD27B6"/>
    <w:rsid w:val="11C76EBC"/>
    <w:rsid w:val="194C013A"/>
    <w:rsid w:val="667F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40" w:lineRule="auto"/>
    </w:pPr>
    <w:rPr>
      <w:rFonts w:ascii="Times New Roman" w:hAnsi="Times New Roman" w:eastAsia="Times New Roman" w:cstheme="minorBidi"/>
      <w:sz w:val="20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499</Words>
  <Characters>2793</Characters>
  <Lines>0</Lines>
  <Paragraphs>0</Paragraphs>
  <TotalTime>334</TotalTime>
  <ScaleCrop>false</ScaleCrop>
  <LinksUpToDate>false</LinksUpToDate>
  <CharactersWithSpaces>3232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黑火</cp:lastModifiedBy>
  <dcterms:modified xsi:type="dcterms:W3CDTF">2026-05-24T10:59:40Z</dcterms:modified>
  <cp:revision>1</cp:revision>
  <dc:title>Additional file 1: Supplementary Table 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eyJoZGlkIjoiODk5YWEwN2YwMmEzMjIwYWVmZDdlMDRiYzI0YTZkNjYiLCJ1c2VySWQiOiIyNzc4MzgwNzQifQ==</vt:lpwstr>
  </property>
  <property fmtid="{D5CDD505-2E9C-101B-9397-08002B2CF9AE}" pid="3" name="KSOProductBuildVer">
    <vt:lpwstr>2052-12.1.0.25865</vt:lpwstr>
  </property>
  <property fmtid="{D5CDD505-2E9C-101B-9397-08002B2CF9AE}" pid="4" name="ICV">
    <vt:lpwstr>B2C8949610DD48E592DAAA577FF00AA1_12</vt:lpwstr>
  </property>
</Properties>
</file>