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suppressAutoHyphens w:val="true"/>
        <w:bidi w:val="0"/>
        <w:spacing w:lineRule="auto" w:line="276" w:before="0" w:after="200"/>
        <w:ind w:firstLine="360"/>
        <w:jc w:val="left"/>
        <w:rPr>
          <w:b/>
          <w:b/>
          <w:bCs/>
          <w:lang w:val="en-US"/>
        </w:rPr>
      </w:pPr>
      <w:r>
        <w:rPr>
          <w:b/>
          <w:bCs/>
          <w:lang w:val="en-US"/>
        </w:rPr>
      </w:r>
    </w:p>
    <w:p>
      <w:pPr>
        <w:pStyle w:val="Normal"/>
        <w:ind w:firstLine="360"/>
        <w:rPr>
          <w:lang w:val="en-US"/>
        </w:rPr>
      </w:pPr>
      <w:r>
        <w:rPr>
          <w:lang w:val="en-US"/>
        </w:rPr>
        <w:t>Supplementary table 1 : Deciles of concentration of total Cu (mg kg</w:t>
      </w:r>
      <w:r>
        <w:rPr>
          <w:vertAlign w:val="superscript"/>
          <w:lang w:val="en-US"/>
        </w:rPr>
        <w:t>-1</w:t>
      </w:r>
      <w:r>
        <w:rPr>
          <w:lang w:val="en-US"/>
        </w:rPr>
        <w:t>), Cu in solution (µg L</w:t>
      </w:r>
      <w:r>
        <w:rPr>
          <w:vertAlign w:val="superscript"/>
          <w:lang w:val="en-US"/>
        </w:rPr>
        <w:t>-1</w:t>
      </w:r>
      <w:r>
        <w:rPr>
          <w:lang w:val="en-US"/>
        </w:rPr>
        <w:t>) and pCu (-log(free Cu)) for the outliers of total Cu (total Cu&gt;30mg kg</w:t>
      </w:r>
      <w:r>
        <w:rPr>
          <w:vertAlign w:val="superscript"/>
          <w:lang w:val="en-US"/>
        </w:rPr>
        <w:t>-1</w:t>
      </w:r>
      <w:r>
        <w:rPr>
          <w:lang w:val="en-US"/>
        </w:rPr>
        <w:t>), Cu in solution (Cu in solution &gt; 10.71µg L-1) and free Cu (pCu&lt;(-0.45)).</w:t>
      </w:r>
    </w:p>
    <w:tbl>
      <w:tblPr>
        <w:tblStyle w:val="Grilledutableau"/>
        <w:tblW w:w="10135"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1456"/>
        <w:gridCol w:w="1239"/>
        <w:gridCol w:w="1242"/>
        <w:gridCol w:w="1238"/>
        <w:gridCol w:w="1242"/>
        <w:gridCol w:w="1238"/>
        <w:gridCol w:w="1241"/>
        <w:gridCol w:w="1237"/>
      </w:tblGrid>
      <w:tr>
        <w:trPr>
          <w:trHeight w:val="288" w:hRule="atLeast"/>
        </w:trPr>
        <w:tc>
          <w:tcPr>
            <w:tcW w:w="1456" w:type="dxa"/>
            <w:tcBorders/>
          </w:tcPr>
          <w:p>
            <w:pPr>
              <w:pStyle w:val="Normal"/>
              <w:widowControl/>
              <w:suppressAutoHyphens w:val="true"/>
              <w:spacing w:lineRule="auto" w:line="240" w:before="0" w:after="0"/>
              <w:ind w:firstLine="360"/>
              <w:jc w:val="left"/>
              <w:rPr>
                <w:lang w:val="en-US"/>
              </w:rPr>
            </w:pPr>
            <w:r>
              <w:rPr>
                <w:rFonts w:eastAsia="Calibri" w:cs=""/>
                <w:kern w:val="0"/>
                <w:sz w:val="22"/>
                <w:szCs w:val="22"/>
                <w:lang w:val="en-US" w:eastAsia="en-US" w:bidi="ar-SA"/>
              </w:rPr>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5%</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10%</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15%</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20%</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25%</w:t>
            </w:r>
          </w:p>
        </w:tc>
      </w:tr>
      <w:tr>
        <w:trPr>
          <w:trHeight w:val="288" w:hRule="atLeast"/>
        </w:trPr>
        <w:tc>
          <w:tcPr>
            <w:tcW w:w="6417" w:type="dxa"/>
            <w:gridSpan w:val="5"/>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total &gt;36.8 mg.kg-1</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c>
          <w:tcPr>
            <w:tcW w:w="2478" w:type="dxa"/>
            <w:gridSpan w:val="2"/>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r>
      <w:tr>
        <w:trPr>
          <w:trHeight w:val="288" w:hRule="atLeast"/>
        </w:trPr>
        <w:tc>
          <w:tcPr>
            <w:tcW w:w="1456"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available</w:t>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2.2</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6.5</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7.8</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8.6</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9.1</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9.6</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10.1</w:t>
            </w:r>
          </w:p>
        </w:tc>
      </w:tr>
      <w:tr>
        <w:trPr>
          <w:trHeight w:val="288" w:hRule="atLeast"/>
        </w:trPr>
        <w:tc>
          <w:tcPr>
            <w:tcW w:w="1456"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w:t>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-1.6</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-0.3</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0.6</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0.8</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1.0</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1.1</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1.3</w:t>
            </w:r>
          </w:p>
        </w:tc>
      </w:tr>
      <w:tr>
        <w:trPr>
          <w:trHeight w:val="288" w:hRule="atLeast"/>
        </w:trPr>
        <w:tc>
          <w:tcPr>
            <w:tcW w:w="6417" w:type="dxa"/>
            <w:gridSpan w:val="5"/>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available&gt;10.71 µg.L-1</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c>
          <w:tcPr>
            <w:tcW w:w="2478" w:type="dxa"/>
            <w:gridSpan w:val="2"/>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r>
      <w:tr>
        <w:trPr>
          <w:trHeight w:val="288" w:hRule="atLeast"/>
        </w:trPr>
        <w:tc>
          <w:tcPr>
            <w:tcW w:w="1456"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total</w:t>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13.5</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19.3</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23.6</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26.6</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28.9</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31.0</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33.0</w:t>
            </w:r>
          </w:p>
        </w:tc>
      </w:tr>
      <w:tr>
        <w:trPr>
          <w:trHeight w:val="276" w:hRule="atLeast"/>
        </w:trPr>
        <w:tc>
          <w:tcPr>
            <w:tcW w:w="1456"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w:t>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-1.7</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-0.6</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0.1</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0.4</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0.7</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0.8</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1.0</w:t>
            </w:r>
          </w:p>
        </w:tc>
      </w:tr>
      <w:tr>
        <w:trPr>
          <w:trHeight w:val="276" w:hRule="atLeast"/>
        </w:trPr>
        <w:tc>
          <w:tcPr>
            <w:tcW w:w="6417" w:type="dxa"/>
            <w:gridSpan w:val="5"/>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 (pCu)&lt;-0.45</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c>
          <w:tcPr>
            <w:tcW w:w="2478" w:type="dxa"/>
            <w:gridSpan w:val="2"/>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r>
      <w:tr>
        <w:trPr>
          <w:trHeight w:val="288" w:hRule="atLeast"/>
        </w:trPr>
        <w:tc>
          <w:tcPr>
            <w:tcW w:w="1456"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total</w:t>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2.2</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4.1</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5.6</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6.5</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7.0</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7.6</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8.1</w:t>
            </w:r>
          </w:p>
        </w:tc>
      </w:tr>
      <w:tr>
        <w:trPr>
          <w:trHeight w:val="288" w:hRule="atLeast"/>
        </w:trPr>
        <w:tc>
          <w:tcPr>
            <w:tcW w:w="1456"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w:t>
            </w:r>
          </w:p>
        </w:tc>
        <w:tc>
          <w:tcPr>
            <w:tcW w:w="1239"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0.6</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1.2</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1.4</w:t>
            </w:r>
          </w:p>
        </w:tc>
        <w:tc>
          <w:tcPr>
            <w:tcW w:w="1242"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1.5</w:t>
            </w:r>
          </w:p>
        </w:tc>
        <w:tc>
          <w:tcPr>
            <w:tcW w:w="1238"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1.6</w:t>
            </w:r>
          </w:p>
        </w:tc>
        <w:tc>
          <w:tcPr>
            <w:tcW w:w="1241"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1.7</w:t>
            </w:r>
          </w:p>
        </w:tc>
        <w:tc>
          <w:tcPr>
            <w:tcW w:w="123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1.8</w:t>
            </w:r>
          </w:p>
        </w:tc>
      </w:tr>
    </w:tbl>
    <w:p>
      <w:pPr>
        <w:pStyle w:val="Normal"/>
        <w:ind w:firstLine="360"/>
        <w:rPr>
          <w:lang w:val="en-US"/>
        </w:rPr>
      </w:pPr>
      <w:r>
        <w:rPr>
          <w:lang w:val="en-US"/>
        </w:rPr>
      </w:r>
    </w:p>
    <w:p>
      <w:pPr>
        <w:pStyle w:val="Normal"/>
        <w:ind w:firstLine="360"/>
        <w:rPr>
          <w:lang w:val="en-US"/>
        </w:rPr>
      </w:pPr>
      <w:r>
        <w:rPr>
          <w:lang w:val="en-US"/>
        </w:rPr>
      </w:r>
    </w:p>
    <w:tbl>
      <w:tblPr>
        <w:tblStyle w:val="Grilledutableau"/>
        <w:tblW w:w="1018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317"/>
        <w:gridCol w:w="705"/>
        <w:gridCol w:w="701"/>
        <w:gridCol w:w="705"/>
        <w:gridCol w:w="701"/>
        <w:gridCol w:w="705"/>
        <w:gridCol w:w="701"/>
        <w:gridCol w:w="703"/>
        <w:gridCol w:w="705"/>
        <w:gridCol w:w="701"/>
        <w:gridCol w:w="705"/>
        <w:gridCol w:w="830"/>
      </w:tblGrid>
      <w:tr>
        <w:trPr>
          <w:trHeight w:val="500"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40%</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50%</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60%</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70%</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75%</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80%</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85%</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90%</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95%</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99%</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100%</w:t>
            </w:r>
          </w:p>
        </w:tc>
      </w:tr>
      <w:tr>
        <w:trPr>
          <w:trHeight w:val="500" w:hRule="atLeast"/>
        </w:trPr>
        <w:tc>
          <w:tcPr>
            <w:tcW w:w="10179" w:type="dxa"/>
            <w:gridSpan w:val="12"/>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total &gt;36.8 mg.kg</w:t>
            </w:r>
            <w:r>
              <w:rPr>
                <w:rFonts w:eastAsia="Calibri" w:cs=""/>
                <w:kern w:val="0"/>
                <w:sz w:val="22"/>
                <w:szCs w:val="22"/>
                <w:vertAlign w:val="superscript"/>
                <w:lang w:val="fr-FR" w:eastAsia="en-US" w:bidi="ar-SA"/>
              </w:rPr>
              <w:t>-1</w:t>
            </w:r>
          </w:p>
        </w:tc>
      </w:tr>
      <w:tr>
        <w:trPr>
          <w:trHeight w:val="500"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available</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11.4</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12.3</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13.2</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14.3</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14.9</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15.6</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16.5</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17.8</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20.0</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24.7</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45.0</w:t>
            </w:r>
          </w:p>
        </w:tc>
      </w:tr>
      <w:tr>
        <w:trPr>
          <w:trHeight w:val="500"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1.6</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1.8</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2.0</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2.1</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2.2</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2.3</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2.4</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2.5</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2.6</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2.8</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3.3</w:t>
            </w:r>
          </w:p>
        </w:tc>
      </w:tr>
      <w:tr>
        <w:trPr>
          <w:trHeight w:val="500" w:hRule="atLeast"/>
        </w:trPr>
        <w:tc>
          <w:tcPr>
            <w:tcW w:w="10179" w:type="dxa"/>
            <w:gridSpan w:val="12"/>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available&gt;10.71 µg.L</w:t>
            </w:r>
            <w:r>
              <w:rPr>
                <w:rFonts w:eastAsia="Calibri" w:cs=""/>
                <w:kern w:val="0"/>
                <w:sz w:val="22"/>
                <w:szCs w:val="22"/>
                <w:vertAlign w:val="superscript"/>
                <w:lang w:val="fr-FR" w:eastAsia="en-US" w:bidi="ar-SA"/>
              </w:rPr>
              <w:t>-1</w:t>
            </w:r>
          </w:p>
        </w:tc>
      </w:tr>
      <w:tr>
        <w:trPr>
          <w:trHeight w:val="500"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total</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37.8</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40.7</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43.6</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47.0</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49.0</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51.3</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54.0</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57.8</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64.4</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79.2</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128.2</w:t>
            </w:r>
          </w:p>
        </w:tc>
      </w:tr>
      <w:tr>
        <w:trPr>
          <w:trHeight w:val="479"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1.5</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1.7</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1.9</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2.1</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2.2</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2.3</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2.4</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2.5</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2.6</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2.8</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3.1</w:t>
            </w:r>
          </w:p>
        </w:tc>
      </w:tr>
      <w:tr>
        <w:trPr>
          <w:trHeight w:val="479" w:hRule="atLeast"/>
        </w:trPr>
        <w:tc>
          <w:tcPr>
            <w:tcW w:w="10179" w:type="dxa"/>
            <w:gridSpan w:val="12"/>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 (pCu)&lt;-0.45</w:t>
            </w:r>
          </w:p>
        </w:tc>
      </w:tr>
      <w:tr>
        <w:trPr>
          <w:trHeight w:val="500"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total</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9.5</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10.5</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11.7</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13.5</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14.6</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15.9</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17.7</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20.3</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24.2</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35.3</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90.3</w:t>
            </w:r>
          </w:p>
        </w:tc>
      </w:tr>
      <w:tr>
        <w:trPr>
          <w:trHeight w:val="500" w:hRule="atLeast"/>
        </w:trPr>
        <w:tc>
          <w:tcPr>
            <w:tcW w:w="2317" w:type="dxa"/>
            <w:tcBorders/>
          </w:tcPr>
          <w:p>
            <w:pPr>
              <w:pStyle w:val="Normal"/>
              <w:widowControl/>
              <w:suppressAutoHyphens w:val="true"/>
              <w:spacing w:lineRule="auto" w:line="240" w:before="0" w:after="0"/>
              <w:ind w:firstLine="360"/>
              <w:jc w:val="left"/>
              <w:rPr>
                <w:rFonts w:ascii="Calibri" w:hAnsi="Calibri" w:eastAsia="Calibri"/>
              </w:rPr>
            </w:pPr>
            <w:r>
              <w:rPr>
                <w:rFonts w:eastAsia="Calibri" w:cs=""/>
                <w:kern w:val="0"/>
                <w:sz w:val="22"/>
                <w:szCs w:val="22"/>
                <w:lang w:val="fr-FR" w:eastAsia="en-US" w:bidi="ar-SA"/>
              </w:rPr>
              <w:t>Cu bio-available</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2.1</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2.3</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2.7</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3.5</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4.0</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4.6</w:t>
            </w:r>
          </w:p>
        </w:tc>
        <w:tc>
          <w:tcPr>
            <w:tcW w:w="703"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5.2</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6.1</w:t>
            </w:r>
          </w:p>
        </w:tc>
        <w:tc>
          <w:tcPr>
            <w:tcW w:w="701"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7.8</w:t>
            </w:r>
          </w:p>
        </w:tc>
        <w:tc>
          <w:tcPr>
            <w:tcW w:w="705"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12.3</w:t>
            </w:r>
          </w:p>
        </w:tc>
        <w:tc>
          <w:tcPr>
            <w:tcW w:w="830" w:type="dxa"/>
            <w:tcBorders/>
          </w:tcPr>
          <w:p>
            <w:pPr>
              <w:pStyle w:val="Normal"/>
              <w:widowControl/>
              <w:suppressAutoHyphens w:val="true"/>
              <w:spacing w:lineRule="auto" w:line="240" w:before="0" w:after="0"/>
              <w:jc w:val="left"/>
              <w:rPr>
                <w:rFonts w:ascii="Calibri" w:hAnsi="Calibri" w:eastAsia="Calibri"/>
              </w:rPr>
            </w:pPr>
            <w:r>
              <w:rPr>
                <w:rFonts w:eastAsia="Calibri" w:cs=""/>
                <w:kern w:val="0"/>
                <w:sz w:val="22"/>
                <w:szCs w:val="22"/>
                <w:lang w:val="fr-FR" w:eastAsia="en-US" w:bidi="ar-SA"/>
              </w:rPr>
              <w:t>35.6</w:t>
            </w:r>
          </w:p>
        </w:tc>
      </w:tr>
    </w:tbl>
    <w:p>
      <w:pPr>
        <w:pStyle w:val="Normal"/>
        <w:ind w:firstLine="360"/>
        <w:rPr>
          <w:lang w:val="en-US"/>
        </w:rPr>
      </w:pPr>
      <w:r>
        <w:rPr>
          <w:lang w:val="en-US"/>
        </w:rPr>
      </w:r>
    </w:p>
    <w:p>
      <w:pPr>
        <w:pStyle w:val="Normal"/>
        <w:rPr>
          <w:lang w:val="en-US"/>
        </w:rPr>
      </w:pPr>
      <w:r>
        <w:rPr>
          <w:lang w:val="en-US"/>
        </w:rPr>
        <w:t>Supplementary table 2 : Percentiles for the difference to the median of total Cu (in % of the median value)</w:t>
      </w:r>
    </w:p>
    <w:tbl>
      <w:tblPr>
        <w:tblpPr w:bottomFromText="0" w:horzAnchor="margin" w:leftFromText="141" w:rightFromText="141" w:tblpX="0" w:tblpY="162" w:topFromText="0" w:vertAnchor="text"/>
        <w:tblW w:w="9182" w:type="dxa"/>
        <w:jc w:val="left"/>
        <w:tblInd w:w="-5" w:type="dxa"/>
        <w:tblLayout w:type="fixed"/>
        <w:tblCellMar>
          <w:top w:w="0" w:type="dxa"/>
          <w:left w:w="70" w:type="dxa"/>
          <w:bottom w:w="0" w:type="dxa"/>
          <w:right w:w="70" w:type="dxa"/>
        </w:tblCellMar>
        <w:tblLook w:firstRow="0" w:noVBand="0" w:lastRow="0" w:firstColumn="0" w:lastColumn="0" w:noHBand="0" w:val="0000"/>
      </w:tblPr>
      <w:tblGrid>
        <w:gridCol w:w="3326"/>
        <w:gridCol w:w="659"/>
        <w:gridCol w:w="661"/>
        <w:gridCol w:w="660"/>
        <w:gridCol w:w="658"/>
        <w:gridCol w:w="660"/>
        <w:gridCol w:w="660"/>
        <w:gridCol w:w="662"/>
        <w:gridCol w:w="660"/>
        <w:gridCol w:w="575"/>
      </w:tblGrid>
      <w:tr>
        <w:trPr>
          <w:trHeight w:val="194" w:hRule="atLeast"/>
        </w:trPr>
        <w:tc>
          <w:tcPr>
            <w:tcW w:w="33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sz w:val="18"/>
                <w:szCs w:val="18"/>
              </w:rPr>
              <w:t>decile</w:t>
            </w:r>
          </w:p>
        </w:tc>
        <w:tc>
          <w:tcPr>
            <w:tcW w:w="6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0%</w:t>
            </w:r>
          </w:p>
        </w:tc>
        <w:tc>
          <w:tcPr>
            <w:tcW w:w="66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5%</w:t>
            </w:r>
          </w:p>
        </w:tc>
        <w:tc>
          <w:tcPr>
            <w:tcW w:w="65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10%</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15%</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20%</w:t>
            </w:r>
          </w:p>
        </w:tc>
        <w:tc>
          <w:tcPr>
            <w:tcW w:w="66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25%</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40%</w:t>
            </w:r>
          </w:p>
        </w:tc>
        <w:tc>
          <w:tcPr>
            <w:tcW w:w="5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50%</w:t>
            </w:r>
          </w:p>
        </w:tc>
      </w:tr>
      <w:tr>
        <w:trPr>
          <w:trHeight w:val="194" w:hRule="atLeast"/>
        </w:trPr>
        <w:tc>
          <w:tcPr>
            <w:tcW w:w="33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lang w:val="en-US"/>
              </w:rPr>
            </w:pPr>
            <w:r>
              <w:rPr>
                <w:sz w:val="18"/>
                <w:szCs w:val="18"/>
                <w:lang w:val="en-US"/>
              </w:rPr>
              <w:t>percentage of variation with median</w:t>
            </w:r>
          </w:p>
        </w:tc>
        <w:tc>
          <w:tcPr>
            <w:tcW w:w="6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-93.9</w:t>
            </w:r>
          </w:p>
        </w:tc>
        <w:tc>
          <w:tcPr>
            <w:tcW w:w="66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-74.0</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-61.9</w:t>
            </w:r>
          </w:p>
        </w:tc>
        <w:tc>
          <w:tcPr>
            <w:tcW w:w="65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-52.7</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-45.3</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-38.8</w:t>
            </w:r>
          </w:p>
        </w:tc>
        <w:tc>
          <w:tcPr>
            <w:tcW w:w="66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-32.7</w:t>
            </w:r>
          </w:p>
        </w:tc>
        <w:tc>
          <w:tcPr>
            <w:tcW w:w="6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-14.1</w:t>
            </w:r>
          </w:p>
        </w:tc>
        <w:tc>
          <w:tcPr>
            <w:tcW w:w="5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0.0</w:t>
            </w:r>
          </w:p>
        </w:tc>
      </w:tr>
    </w:tbl>
    <w:p>
      <w:pPr>
        <w:pStyle w:val="Normal"/>
        <w:rPr>
          <w:lang w:val="en-US"/>
        </w:rPr>
      </w:pPr>
      <w:r>
        <w:rPr>
          <w:lang w:val="en-US"/>
        </w:rPr>
      </w:r>
    </w:p>
    <w:tbl>
      <w:tblPr>
        <w:tblpPr w:bottomFromText="0" w:horzAnchor="margin" w:leftFromText="141" w:rightFromText="141" w:tblpX="0" w:tblpY="291" w:topFromText="0" w:vertAnchor="text"/>
        <w:tblW w:w="10134" w:type="dxa"/>
        <w:jc w:val="left"/>
        <w:tblInd w:w="-5" w:type="dxa"/>
        <w:tblLayout w:type="fixed"/>
        <w:tblCellMar>
          <w:top w:w="0" w:type="dxa"/>
          <w:left w:w="70" w:type="dxa"/>
          <w:bottom w:w="0" w:type="dxa"/>
          <w:right w:w="70" w:type="dxa"/>
        </w:tblCellMar>
        <w:tblLook w:firstRow="0" w:noVBand="0" w:lastRow="0" w:firstColumn="0" w:lastColumn="0" w:noHBand="0" w:val="0000"/>
      </w:tblPr>
      <w:tblGrid>
        <w:gridCol w:w="3709"/>
        <w:gridCol w:w="652"/>
        <w:gridCol w:w="657"/>
        <w:gridCol w:w="653"/>
        <w:gridCol w:w="655"/>
        <w:gridCol w:w="657"/>
        <w:gridCol w:w="786"/>
        <w:gridCol w:w="790"/>
        <w:gridCol w:w="786"/>
        <w:gridCol w:w="788"/>
      </w:tblGrid>
      <w:tr>
        <w:trPr>
          <w:trHeight w:val="250" w:hRule="atLeast"/>
        </w:trPr>
        <w:tc>
          <w:tcPr>
            <w:tcW w:w="370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rPr>
            </w:pPr>
            <w:r>
              <w:rPr>
                <w:sz w:val="18"/>
                <w:szCs w:val="18"/>
              </w:rPr>
              <w:t>decile</w:t>
            </w:r>
          </w:p>
        </w:tc>
        <w:tc>
          <w:tcPr>
            <w:tcW w:w="65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60%</w:t>
            </w:r>
          </w:p>
        </w:tc>
        <w:tc>
          <w:tcPr>
            <w:tcW w:w="65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70%</w:t>
            </w:r>
          </w:p>
        </w:tc>
        <w:tc>
          <w:tcPr>
            <w:tcW w:w="6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75%</w:t>
            </w:r>
          </w:p>
        </w:tc>
        <w:tc>
          <w:tcPr>
            <w:tcW w:w="6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80%</w:t>
            </w:r>
          </w:p>
        </w:tc>
        <w:tc>
          <w:tcPr>
            <w:tcW w:w="65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85%</w:t>
            </w:r>
          </w:p>
        </w:tc>
        <w:tc>
          <w:tcPr>
            <w:tcW w:w="7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90%</w:t>
            </w:r>
          </w:p>
        </w:tc>
        <w:tc>
          <w:tcPr>
            <w:tcW w:w="79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95%</w:t>
            </w:r>
          </w:p>
        </w:tc>
        <w:tc>
          <w:tcPr>
            <w:tcW w:w="7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99%</w:t>
            </w:r>
          </w:p>
        </w:tc>
        <w:tc>
          <w:tcPr>
            <w:tcW w:w="78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100%</w:t>
            </w:r>
          </w:p>
        </w:tc>
      </w:tr>
      <w:tr>
        <w:trPr>
          <w:trHeight w:val="250" w:hRule="atLeast"/>
        </w:trPr>
        <w:tc>
          <w:tcPr>
            <w:tcW w:w="370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lang w:val="en-US"/>
              </w:rPr>
            </w:pPr>
            <w:r>
              <w:rPr>
                <w:sz w:val="18"/>
                <w:szCs w:val="18"/>
                <w:lang w:val="en-US"/>
              </w:rPr>
              <w:t>percentage of variation with median</w:t>
            </w:r>
          </w:p>
        </w:tc>
        <w:tc>
          <w:tcPr>
            <w:tcW w:w="65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16.2</w:t>
            </w:r>
          </w:p>
        </w:tc>
        <w:tc>
          <w:tcPr>
            <w:tcW w:w="65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35.8</w:t>
            </w:r>
          </w:p>
        </w:tc>
        <w:tc>
          <w:tcPr>
            <w:tcW w:w="6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48.3</w:t>
            </w:r>
          </w:p>
        </w:tc>
        <w:tc>
          <w:tcPr>
            <w:tcW w:w="6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63.9</w:t>
            </w:r>
          </w:p>
        </w:tc>
        <w:tc>
          <w:tcPr>
            <w:tcW w:w="65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83.9</w:t>
            </w:r>
          </w:p>
        </w:tc>
        <w:tc>
          <w:tcPr>
            <w:tcW w:w="7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114.8</w:t>
            </w:r>
          </w:p>
        </w:tc>
        <w:tc>
          <w:tcPr>
            <w:tcW w:w="79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178.6</w:t>
            </w:r>
          </w:p>
        </w:tc>
        <w:tc>
          <w:tcPr>
            <w:tcW w:w="7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296.7</w:t>
            </w:r>
          </w:p>
        </w:tc>
        <w:tc>
          <w:tcPr>
            <w:tcW w:w="78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cs="Calibri"/>
                <w:color w:val="000000"/>
                <w:sz w:val="20"/>
                <w:szCs w:val="20"/>
              </w:rPr>
            </w:pPr>
            <w:r>
              <w:rPr>
                <w:rFonts w:cs="Calibri"/>
                <w:color w:val="000000"/>
                <w:sz w:val="20"/>
                <w:szCs w:val="20"/>
              </w:rPr>
              <w:t>883.6</w:t>
            </w:r>
          </w:p>
        </w:tc>
      </w:tr>
    </w:tbl>
    <w:p>
      <w:pPr>
        <w:pStyle w:val="Normal"/>
        <w:rPr>
          <w:lang w:val="en-US"/>
        </w:rPr>
      </w:pPr>
      <w:r>
        <w:rPr>
          <w:lang w:val="en-US"/>
        </w:rPr>
      </w:r>
    </w:p>
    <w:p>
      <w:pPr>
        <w:pStyle w:val="Normal"/>
        <w:rPr>
          <w:lang w:val="en-US"/>
        </w:rPr>
      </w:pPr>
      <w:r>
        <w:rPr>
          <w:lang w:val="en-US"/>
        </w:rPr>
      </w:r>
    </w:p>
    <w:p>
      <w:pPr>
        <w:pStyle w:val="Normal"/>
        <w:rPr>
          <w:lang w:val="en-US"/>
        </w:rPr>
      </w:pPr>
      <w:r>
        <w:rPr>
          <w:lang w:val="en-US"/>
        </w:rPr>
        <w:t>Supplementary table 3 : Percentiles for the difference to the median of Cu in solution (in % of the median value)</w:t>
      </w:r>
    </w:p>
    <w:tbl>
      <w:tblPr>
        <w:tblStyle w:val="Grilledutableau"/>
        <w:tblW w:w="1009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185"/>
        <w:gridCol w:w="787"/>
        <w:gridCol w:w="787"/>
        <w:gridCol w:w="789"/>
        <w:gridCol w:w="787"/>
        <w:gridCol w:w="787"/>
        <w:gridCol w:w="787"/>
        <w:gridCol w:w="787"/>
        <w:gridCol w:w="785"/>
        <w:gridCol w:w="609"/>
      </w:tblGrid>
      <w:tr>
        <w:trPr>
          <w:trHeight w:val="274" w:hRule="atLeast"/>
        </w:trPr>
        <w:tc>
          <w:tcPr>
            <w:tcW w:w="3185"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decile</w:t>
            </w:r>
          </w:p>
        </w:tc>
        <w:tc>
          <w:tcPr>
            <w:tcW w:w="787"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0%</w:t>
            </w:r>
          </w:p>
        </w:tc>
        <w:tc>
          <w:tcPr>
            <w:tcW w:w="787"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1%</w:t>
            </w:r>
          </w:p>
        </w:tc>
        <w:tc>
          <w:tcPr>
            <w:tcW w:w="789"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5%</w:t>
            </w:r>
          </w:p>
        </w:tc>
        <w:tc>
          <w:tcPr>
            <w:tcW w:w="787"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10%</w:t>
            </w:r>
          </w:p>
        </w:tc>
        <w:tc>
          <w:tcPr>
            <w:tcW w:w="787"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15%</w:t>
            </w:r>
          </w:p>
        </w:tc>
        <w:tc>
          <w:tcPr>
            <w:tcW w:w="787"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20%</w:t>
            </w:r>
          </w:p>
        </w:tc>
        <w:tc>
          <w:tcPr>
            <w:tcW w:w="787"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25%</w:t>
            </w:r>
          </w:p>
        </w:tc>
        <w:tc>
          <w:tcPr>
            <w:tcW w:w="785"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40%</w:t>
            </w:r>
          </w:p>
        </w:tc>
        <w:tc>
          <w:tcPr>
            <w:tcW w:w="609" w:type="dxa"/>
            <w:tcBorders/>
            <w:vAlign w:val="center"/>
          </w:tcPr>
          <w:p>
            <w:pPr>
              <w:pStyle w:val="Normal"/>
              <w:widowControl/>
              <w:suppressAutoHyphens w:val="true"/>
              <w:spacing w:lineRule="auto" w:line="240" w:before="0" w:after="0"/>
              <w:jc w:val="center"/>
              <w:rPr>
                <w:sz w:val="20"/>
                <w:szCs w:val="20"/>
              </w:rPr>
            </w:pPr>
            <w:r>
              <w:rPr>
                <w:rFonts w:eastAsia="Calibri" w:cs=""/>
                <w:kern w:val="0"/>
                <w:sz w:val="20"/>
                <w:szCs w:val="20"/>
                <w:lang w:val="fr-FR" w:eastAsia="en-US" w:bidi="ar-SA"/>
              </w:rPr>
              <w:t>50%</w:t>
            </w:r>
          </w:p>
        </w:tc>
      </w:tr>
      <w:tr>
        <w:trPr>
          <w:trHeight w:val="274" w:hRule="atLeast"/>
        </w:trPr>
        <w:tc>
          <w:tcPr>
            <w:tcW w:w="3185" w:type="dxa"/>
            <w:tcBorders/>
            <w:vAlign w:val="center"/>
          </w:tcPr>
          <w:p>
            <w:pPr>
              <w:pStyle w:val="Normal"/>
              <w:widowControl/>
              <w:suppressAutoHyphens w:val="true"/>
              <w:spacing w:lineRule="auto" w:line="240" w:before="0" w:after="0"/>
              <w:jc w:val="center"/>
              <w:rPr>
                <w:sz w:val="20"/>
                <w:szCs w:val="20"/>
                <w:lang w:val="en-US"/>
              </w:rPr>
            </w:pPr>
            <w:r>
              <w:rPr>
                <w:rFonts w:eastAsia="Calibri" w:cs=""/>
                <w:kern w:val="0"/>
                <w:sz w:val="20"/>
                <w:szCs w:val="20"/>
                <w:lang w:val="en-US" w:eastAsia="en-US" w:bidi="ar-SA"/>
              </w:rPr>
              <w:t>percentage of variation with median</w:t>
            </w:r>
          </w:p>
        </w:tc>
        <w:tc>
          <w:tcPr>
            <w:tcW w:w="787"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-94.06</w:t>
            </w:r>
          </w:p>
        </w:tc>
        <w:tc>
          <w:tcPr>
            <w:tcW w:w="787"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-79.87</w:t>
            </w:r>
          </w:p>
        </w:tc>
        <w:tc>
          <w:tcPr>
            <w:tcW w:w="789"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-69.84</w:t>
            </w:r>
          </w:p>
        </w:tc>
        <w:tc>
          <w:tcPr>
            <w:tcW w:w="787"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-62.64</w:t>
            </w:r>
          </w:p>
        </w:tc>
        <w:tc>
          <w:tcPr>
            <w:tcW w:w="787"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-56.86</w:t>
            </w:r>
          </w:p>
        </w:tc>
        <w:tc>
          <w:tcPr>
            <w:tcW w:w="787"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-51.39</w:t>
            </w:r>
          </w:p>
        </w:tc>
        <w:tc>
          <w:tcPr>
            <w:tcW w:w="787"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-45.63</w:t>
            </w:r>
          </w:p>
        </w:tc>
        <w:tc>
          <w:tcPr>
            <w:tcW w:w="785"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-21.69</w:t>
            </w:r>
          </w:p>
        </w:tc>
        <w:tc>
          <w:tcPr>
            <w:tcW w:w="609" w:type="dxa"/>
            <w:tcBorders/>
            <w:vAlign w:val="bottom"/>
          </w:tcPr>
          <w:p>
            <w:pPr>
              <w:pStyle w:val="Normal"/>
              <w:widowControl/>
              <w:suppressAutoHyphens w:val="true"/>
              <w:spacing w:lineRule="auto" w:line="240" w:before="0" w:after="0"/>
              <w:jc w:val="center"/>
              <w:rPr>
                <w:sz w:val="20"/>
                <w:szCs w:val="20"/>
              </w:rPr>
            </w:pPr>
            <w:r>
              <w:rPr>
                <w:rFonts w:eastAsia="Calibri" w:cs=""/>
                <w:color w:val="000000"/>
                <w:kern w:val="0"/>
                <w:lang w:val="fr-FR" w:eastAsia="en-US" w:bidi="ar-SA"/>
              </w:rPr>
              <w:t>0.00</w:t>
            </w:r>
          </w:p>
        </w:tc>
      </w:tr>
    </w:tbl>
    <w:p>
      <w:pPr>
        <w:pStyle w:val="Normal"/>
        <w:rPr>
          <w:lang w:val="en-US"/>
        </w:rPr>
      </w:pPr>
      <w:r>
        <w:rPr>
          <w:lang w:val="en-US"/>
        </w:rPr>
      </w:r>
    </w:p>
    <w:tbl>
      <w:tblPr>
        <w:tblW w:w="10028" w:type="dxa"/>
        <w:jc w:val="left"/>
        <w:tblInd w:w="0" w:type="dxa"/>
        <w:tblLayout w:type="fixed"/>
        <w:tblCellMar>
          <w:top w:w="0" w:type="dxa"/>
          <w:left w:w="70" w:type="dxa"/>
          <w:bottom w:w="0" w:type="dxa"/>
          <w:right w:w="70" w:type="dxa"/>
        </w:tblCellMar>
        <w:tblLook w:firstRow="1" w:noVBand="1" w:lastRow="0" w:firstColumn="1" w:lastColumn="0" w:noHBand="0" w:val="04a0"/>
      </w:tblPr>
      <w:tblGrid>
        <w:gridCol w:w="3257"/>
        <w:gridCol w:w="672"/>
        <w:gridCol w:w="674"/>
        <w:gridCol w:w="674"/>
        <w:gridCol w:w="674"/>
        <w:gridCol w:w="792"/>
        <w:gridCol w:w="794"/>
        <w:gridCol w:w="792"/>
        <w:gridCol w:w="792"/>
        <w:gridCol w:w="906"/>
      </w:tblGrid>
      <w:tr>
        <w:trPr>
          <w:trHeight w:val="416" w:hRule="atLeast"/>
        </w:trPr>
        <w:tc>
          <w:tcPr>
            <w:tcW w:w="325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sz w:val="20"/>
                <w:szCs w:val="20"/>
              </w:rPr>
              <w:t>decile</w:t>
            </w:r>
          </w:p>
        </w:tc>
        <w:tc>
          <w:tcPr>
            <w:tcW w:w="67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60%</w:t>
            </w:r>
          </w:p>
        </w:tc>
        <w:tc>
          <w:tcPr>
            <w:tcW w:w="6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70%</w:t>
            </w:r>
          </w:p>
        </w:tc>
        <w:tc>
          <w:tcPr>
            <w:tcW w:w="6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75%</w:t>
            </w:r>
          </w:p>
        </w:tc>
        <w:tc>
          <w:tcPr>
            <w:tcW w:w="67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80%</w:t>
            </w:r>
          </w:p>
        </w:tc>
        <w:tc>
          <w:tcPr>
            <w:tcW w:w="7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85%</w:t>
            </w:r>
          </w:p>
        </w:tc>
        <w:tc>
          <w:tcPr>
            <w:tcW w:w="79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90%</w:t>
            </w:r>
          </w:p>
        </w:tc>
        <w:tc>
          <w:tcPr>
            <w:tcW w:w="7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95%</w:t>
            </w:r>
          </w:p>
        </w:tc>
        <w:tc>
          <w:tcPr>
            <w:tcW w:w="79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99%</w:t>
            </w:r>
          </w:p>
        </w:tc>
        <w:tc>
          <w:tcPr>
            <w:tcW w:w="90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rFonts w:eastAsia="Times New Roman" w:cs="Calibri"/>
                <w:color w:val="000000"/>
                <w:sz w:val="20"/>
                <w:szCs w:val="20"/>
                <w:lang w:eastAsia="fr-FR"/>
              </w:rPr>
              <w:t>100%</w:t>
            </w:r>
          </w:p>
        </w:tc>
      </w:tr>
      <w:tr>
        <w:trPr>
          <w:trHeight w:val="403" w:hRule="atLeast"/>
        </w:trPr>
        <w:tc>
          <w:tcPr>
            <w:tcW w:w="325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Calibri" w:hAnsi="Calibri" w:eastAsia="Times New Roman" w:cs="Calibri"/>
                <w:color w:val="000000"/>
                <w:sz w:val="20"/>
                <w:szCs w:val="20"/>
                <w:lang w:val="en-US" w:eastAsia="fr-FR"/>
              </w:rPr>
            </w:pPr>
            <w:r>
              <w:rPr>
                <w:sz w:val="20"/>
                <w:szCs w:val="20"/>
                <w:lang w:val="en-US"/>
              </w:rPr>
              <w:t>percentage of variation with median</w:t>
            </w:r>
          </w:p>
        </w:tc>
        <w:tc>
          <w:tcPr>
            <w:tcW w:w="67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24.16</w:t>
            </w:r>
          </w:p>
        </w:tc>
        <w:tc>
          <w:tcPr>
            <w:tcW w:w="67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51.33</w:t>
            </w:r>
          </w:p>
        </w:tc>
        <w:tc>
          <w:tcPr>
            <w:tcW w:w="67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67.97</w:t>
            </w:r>
          </w:p>
        </w:tc>
        <w:tc>
          <w:tcPr>
            <w:tcW w:w="67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88.41</w:t>
            </w:r>
          </w:p>
        </w:tc>
        <w:tc>
          <w:tcPr>
            <w:tcW w:w="79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115.01</w:t>
            </w:r>
          </w:p>
        </w:tc>
        <w:tc>
          <w:tcPr>
            <w:tcW w:w="79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152.81</w:t>
            </w:r>
          </w:p>
        </w:tc>
        <w:tc>
          <w:tcPr>
            <w:tcW w:w="79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218.88</w:t>
            </w:r>
          </w:p>
        </w:tc>
        <w:tc>
          <w:tcPr>
            <w:tcW w:w="79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364.60</w:t>
            </w:r>
          </w:p>
        </w:tc>
        <w:tc>
          <w:tcPr>
            <w:tcW w:w="90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240" w:before="0" w:after="0"/>
              <w:jc w:val="center"/>
              <w:rPr>
                <w:rFonts w:ascii="Calibri" w:hAnsi="Calibri" w:eastAsia="Times New Roman" w:cs="Calibri"/>
                <w:color w:val="000000"/>
                <w:sz w:val="20"/>
                <w:szCs w:val="20"/>
                <w:lang w:eastAsia="fr-FR"/>
              </w:rPr>
            </w:pPr>
            <w:r>
              <w:rPr>
                <w:color w:val="000000"/>
              </w:rPr>
              <w:t>1241.25</w:t>
            </w:r>
          </w:p>
        </w:tc>
      </w:tr>
    </w:tbl>
    <w:p>
      <w:pPr>
        <w:pStyle w:val="Normal"/>
        <w:rPr>
          <w:lang w:val="en-US"/>
        </w:rPr>
      </w:pPr>
      <w:r>
        <w:rPr>
          <w:lang w:val="en-US"/>
        </w:rPr>
      </w:r>
    </w:p>
    <w:p>
      <w:pPr>
        <w:pStyle w:val="Normal"/>
        <w:rPr>
          <w:lang w:val="en-US"/>
        </w:rPr>
      </w:pPr>
      <w:r>
        <w:rPr>
          <w:lang w:val="en-US"/>
        </w:rPr>
        <w:t>Supplementary table 4 : Percentiles for the difference to the median of free Cu (in % of the median value)</w:t>
      </w:r>
    </w:p>
    <w:p>
      <w:pPr>
        <w:pStyle w:val="Normal"/>
        <w:rPr>
          <w:lang w:val="en-US"/>
        </w:rPr>
      </w:pPr>
      <w:r>
        <w:fldChar w:fldCharType="begin"/>
      </w:r>
      <w:r>
        <w:rPr/>
        <w:instrText>LINK Excel.SheetBinaryMacroEnabled.12 C:\\Users\\Potapota\\Documents\\soil_data\\diffMed_cu_lb.csv diffMed_cu_lb!L9C5:L10C22 \a \f 5 \h  \* MERGEFORMAT</w:instrText>
      </w:r>
      <w:r>
        <w:rPr/>
      </w:r>
      <w:r>
        <w:rPr/>
        <w:fldChar w:fldCharType="separate"/>
      </w:r>
      <w:r>
        <w:rPr/>
      </w:r>
    </w:p>
    <w:p>
      <w:pPr>
        <w:pStyle w:val="Normal"/>
        <w:rPr>
          <w:lang w:val="en-US"/>
        </w:rPr>
      </w:pPr>
      <w:r>
        <w:rPr>
          <w:lang w:val="en-US"/>
        </w:rPr>
      </w:r>
    </w:p>
    <w:tbl>
      <w:tblPr>
        <w:tblStyle w:val="Grilledutableau"/>
        <w:tblW w:w="957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692"/>
        <w:gridCol w:w="783"/>
        <w:gridCol w:w="787"/>
        <w:gridCol w:w="783"/>
        <w:gridCol w:w="787"/>
        <w:gridCol w:w="783"/>
        <w:gridCol w:w="785"/>
        <w:gridCol w:w="787"/>
        <w:gridCol w:w="783"/>
        <w:gridCol w:w="607"/>
      </w:tblGrid>
      <w:tr>
        <w:trPr>
          <w:trHeight w:val="342" w:hRule="atLeast"/>
        </w:trPr>
        <w:tc>
          <w:tcPr>
            <w:tcW w:w="2692" w:type="dxa"/>
            <w:tcBorders/>
            <w:vAlign w:val="center"/>
          </w:tcPr>
          <w:p>
            <w:pPr>
              <w:pStyle w:val="Normal"/>
              <w:widowControl w:val="false"/>
              <w:spacing w:before="0" w:after="200"/>
              <w:jc w:val="center"/>
              <w:rPr>
                <w:sz w:val="18"/>
                <w:szCs w:val="18"/>
                <w:lang w:val="en-US"/>
              </w:rPr>
            </w:pPr>
            <w:r>
              <w:rPr>
                <w:sz w:val="18"/>
                <w:szCs w:val="18"/>
                <w:lang w:val="en-US"/>
              </w:rPr>
              <w:t>decile</w:t>
            </w:r>
          </w:p>
        </w:tc>
        <w:tc>
          <w:tcPr>
            <w:tcW w:w="783" w:type="dxa"/>
            <w:tcBorders/>
          </w:tcPr>
          <w:p>
            <w:pPr>
              <w:pStyle w:val="Normal"/>
              <w:widowControl w:val="false"/>
              <w:spacing w:before="0" w:after="200"/>
              <w:jc w:val="center"/>
              <w:rPr>
                <w:lang w:val="en-US"/>
              </w:rPr>
            </w:pPr>
            <w:r>
              <w:rPr>
                <w:sz w:val="18"/>
                <w:szCs w:val="18"/>
                <w:lang w:val="en-US"/>
              </w:rPr>
              <w:t>0%</w:t>
            </w:r>
          </w:p>
        </w:tc>
        <w:tc>
          <w:tcPr>
            <w:tcW w:w="787" w:type="dxa"/>
            <w:tcBorders/>
          </w:tcPr>
          <w:p>
            <w:pPr>
              <w:pStyle w:val="Normal"/>
              <w:widowControl w:val="false"/>
              <w:spacing w:before="0" w:after="200"/>
              <w:jc w:val="center"/>
              <w:rPr>
                <w:sz w:val="18"/>
                <w:szCs w:val="18"/>
                <w:lang w:val="en-US"/>
              </w:rPr>
            </w:pPr>
            <w:r>
              <w:rPr>
                <w:sz w:val="18"/>
                <w:szCs w:val="18"/>
                <w:lang w:val="en-US"/>
              </w:rPr>
              <w:t>1%</w:t>
            </w:r>
          </w:p>
        </w:tc>
        <w:tc>
          <w:tcPr>
            <w:tcW w:w="783" w:type="dxa"/>
            <w:tcBorders/>
          </w:tcPr>
          <w:p>
            <w:pPr>
              <w:pStyle w:val="Normal"/>
              <w:widowControl w:val="false"/>
              <w:spacing w:before="0" w:after="200"/>
              <w:jc w:val="center"/>
              <w:rPr>
                <w:sz w:val="18"/>
                <w:szCs w:val="18"/>
                <w:lang w:val="en-US"/>
              </w:rPr>
            </w:pPr>
            <w:r>
              <w:rPr>
                <w:sz w:val="18"/>
                <w:szCs w:val="18"/>
                <w:lang w:val="en-US"/>
              </w:rPr>
              <w:t>5%</w:t>
            </w:r>
          </w:p>
        </w:tc>
        <w:tc>
          <w:tcPr>
            <w:tcW w:w="787" w:type="dxa"/>
            <w:tcBorders/>
          </w:tcPr>
          <w:p>
            <w:pPr>
              <w:pStyle w:val="Normal"/>
              <w:widowControl w:val="false"/>
              <w:spacing w:before="0" w:after="200"/>
              <w:jc w:val="center"/>
              <w:rPr>
                <w:sz w:val="18"/>
                <w:szCs w:val="18"/>
                <w:lang w:val="en-US"/>
              </w:rPr>
            </w:pPr>
            <w:r>
              <w:rPr>
                <w:sz w:val="18"/>
                <w:szCs w:val="18"/>
                <w:lang w:val="en-US"/>
              </w:rPr>
              <w:t>10%</w:t>
            </w:r>
          </w:p>
        </w:tc>
        <w:tc>
          <w:tcPr>
            <w:tcW w:w="783" w:type="dxa"/>
            <w:tcBorders/>
          </w:tcPr>
          <w:p>
            <w:pPr>
              <w:pStyle w:val="Normal"/>
              <w:widowControl w:val="false"/>
              <w:spacing w:before="0" w:after="200"/>
              <w:jc w:val="center"/>
              <w:rPr>
                <w:sz w:val="18"/>
                <w:szCs w:val="18"/>
                <w:lang w:val="en-US"/>
              </w:rPr>
            </w:pPr>
            <w:r>
              <w:rPr>
                <w:sz w:val="18"/>
                <w:szCs w:val="18"/>
                <w:lang w:val="en-US"/>
              </w:rPr>
              <w:t>15%</w:t>
            </w:r>
          </w:p>
        </w:tc>
        <w:tc>
          <w:tcPr>
            <w:tcW w:w="785" w:type="dxa"/>
            <w:tcBorders/>
          </w:tcPr>
          <w:p>
            <w:pPr>
              <w:pStyle w:val="Normal"/>
              <w:widowControl w:val="false"/>
              <w:spacing w:before="0" w:after="200"/>
              <w:jc w:val="center"/>
              <w:rPr>
                <w:sz w:val="18"/>
                <w:szCs w:val="18"/>
                <w:lang w:val="en-US"/>
              </w:rPr>
            </w:pPr>
            <w:r>
              <w:rPr>
                <w:sz w:val="18"/>
                <w:szCs w:val="18"/>
                <w:lang w:val="en-US"/>
              </w:rPr>
              <w:t>20%</w:t>
            </w:r>
          </w:p>
        </w:tc>
        <w:tc>
          <w:tcPr>
            <w:tcW w:w="787" w:type="dxa"/>
            <w:tcBorders/>
          </w:tcPr>
          <w:p>
            <w:pPr>
              <w:pStyle w:val="Normal"/>
              <w:widowControl w:val="false"/>
              <w:spacing w:before="0" w:after="200"/>
              <w:jc w:val="center"/>
              <w:rPr>
                <w:sz w:val="18"/>
                <w:szCs w:val="18"/>
                <w:lang w:val="en-US"/>
              </w:rPr>
            </w:pPr>
            <w:r>
              <w:rPr>
                <w:sz w:val="18"/>
                <w:szCs w:val="18"/>
                <w:lang w:val="en-US"/>
              </w:rPr>
              <w:t>25%</w:t>
            </w:r>
          </w:p>
        </w:tc>
        <w:tc>
          <w:tcPr>
            <w:tcW w:w="783" w:type="dxa"/>
            <w:tcBorders/>
          </w:tcPr>
          <w:p>
            <w:pPr>
              <w:pStyle w:val="Normal"/>
              <w:widowControl w:val="false"/>
              <w:spacing w:before="0" w:after="200"/>
              <w:jc w:val="center"/>
              <w:rPr>
                <w:sz w:val="18"/>
                <w:szCs w:val="18"/>
                <w:lang w:val="en-US"/>
              </w:rPr>
            </w:pPr>
            <w:r>
              <w:rPr>
                <w:sz w:val="18"/>
                <w:szCs w:val="18"/>
                <w:lang w:val="en-US"/>
              </w:rPr>
              <w:t>40%</w:t>
            </w:r>
          </w:p>
        </w:tc>
        <w:tc>
          <w:tcPr>
            <w:tcW w:w="607" w:type="dxa"/>
            <w:tcBorders/>
          </w:tcPr>
          <w:p>
            <w:pPr>
              <w:pStyle w:val="Normal"/>
              <w:widowControl w:val="false"/>
              <w:spacing w:before="0" w:after="200"/>
              <w:jc w:val="center"/>
              <w:rPr>
                <w:sz w:val="18"/>
                <w:szCs w:val="18"/>
                <w:lang w:val="en-US"/>
              </w:rPr>
            </w:pPr>
            <w:r>
              <w:rPr>
                <w:sz w:val="18"/>
                <w:szCs w:val="18"/>
                <w:lang w:val="en-US"/>
              </w:rPr>
              <w:t>50%</w:t>
            </w:r>
          </w:p>
        </w:tc>
      </w:tr>
      <w:tr>
        <w:trPr>
          <w:trHeight w:val="342" w:hRule="atLeast"/>
        </w:trPr>
        <w:tc>
          <w:tcPr>
            <w:tcW w:w="2692" w:type="dxa"/>
            <w:tcBorders/>
            <w:vAlign w:val="center"/>
          </w:tcPr>
          <w:p>
            <w:pPr>
              <w:pStyle w:val="Normal"/>
              <w:widowControl w:val="false"/>
              <w:spacing w:before="0" w:after="200"/>
              <w:jc w:val="center"/>
              <w:rPr>
                <w:sz w:val="18"/>
                <w:szCs w:val="18"/>
                <w:lang w:val="en-US"/>
              </w:rPr>
            </w:pPr>
            <w:r>
              <w:rPr>
                <w:sz w:val="18"/>
                <w:szCs w:val="18"/>
                <w:lang w:val="en-US"/>
              </w:rPr>
              <w:t>percentage of variation with median</w:t>
            </w:r>
          </w:p>
        </w:tc>
        <w:tc>
          <w:tcPr>
            <w:tcW w:w="783" w:type="dxa"/>
            <w:tcBorders/>
            <w:vAlign w:val="bottom"/>
          </w:tcPr>
          <w:p>
            <w:pPr>
              <w:pStyle w:val="Normal"/>
              <w:widowControl w:val="false"/>
              <w:spacing w:before="0" w:after="200"/>
              <w:jc w:val="center"/>
              <w:rPr>
                <w:sz w:val="18"/>
                <w:szCs w:val="18"/>
                <w:lang w:val="en-US"/>
              </w:rPr>
            </w:pPr>
            <w:r>
              <w:rPr>
                <w:rFonts w:cs="Calibri"/>
                <w:color w:val="000000"/>
                <w:lang w:val="en-US"/>
              </w:rPr>
              <w:t>-99.94</w:t>
            </w:r>
          </w:p>
        </w:tc>
        <w:tc>
          <w:tcPr>
            <w:tcW w:w="787" w:type="dxa"/>
            <w:tcBorders/>
            <w:vAlign w:val="bottom"/>
          </w:tcPr>
          <w:p>
            <w:pPr>
              <w:pStyle w:val="Normal"/>
              <w:widowControl w:val="false"/>
              <w:spacing w:before="0" w:after="200"/>
              <w:jc w:val="center"/>
              <w:rPr>
                <w:sz w:val="18"/>
                <w:szCs w:val="18"/>
                <w:lang w:val="en-US"/>
              </w:rPr>
            </w:pPr>
            <w:r>
              <w:rPr>
                <w:rFonts w:cs="Calibri"/>
                <w:color w:val="000000"/>
                <w:lang w:val="en-US"/>
              </w:rPr>
              <w:t>-99.56</w:t>
            </w:r>
          </w:p>
        </w:tc>
        <w:tc>
          <w:tcPr>
            <w:tcW w:w="783" w:type="dxa"/>
            <w:tcBorders/>
            <w:vAlign w:val="bottom"/>
          </w:tcPr>
          <w:p>
            <w:pPr>
              <w:pStyle w:val="Normal"/>
              <w:widowControl w:val="false"/>
              <w:spacing w:before="0" w:after="200"/>
              <w:jc w:val="center"/>
              <w:rPr>
                <w:sz w:val="18"/>
                <w:szCs w:val="18"/>
                <w:lang w:val="en-US"/>
              </w:rPr>
            </w:pPr>
            <w:r>
              <w:rPr>
                <w:rFonts w:cs="Calibri"/>
                <w:color w:val="000000"/>
                <w:lang w:val="en-US"/>
              </w:rPr>
              <w:t>-98.42</w:t>
            </w:r>
          </w:p>
        </w:tc>
        <w:tc>
          <w:tcPr>
            <w:tcW w:w="787" w:type="dxa"/>
            <w:tcBorders/>
            <w:vAlign w:val="bottom"/>
          </w:tcPr>
          <w:p>
            <w:pPr>
              <w:pStyle w:val="Normal"/>
              <w:widowControl w:val="false"/>
              <w:spacing w:before="0" w:after="200"/>
              <w:jc w:val="center"/>
              <w:rPr>
                <w:sz w:val="18"/>
                <w:szCs w:val="18"/>
                <w:lang w:val="en-US"/>
              </w:rPr>
            </w:pPr>
            <w:r>
              <w:rPr>
                <w:rFonts w:cs="Calibri"/>
                <w:color w:val="000000"/>
                <w:lang w:val="en-US"/>
              </w:rPr>
              <w:t>-96.57</w:t>
            </w:r>
          </w:p>
        </w:tc>
        <w:tc>
          <w:tcPr>
            <w:tcW w:w="783" w:type="dxa"/>
            <w:tcBorders/>
            <w:vAlign w:val="bottom"/>
          </w:tcPr>
          <w:p>
            <w:pPr>
              <w:pStyle w:val="Normal"/>
              <w:widowControl w:val="false"/>
              <w:spacing w:before="0" w:after="200"/>
              <w:jc w:val="center"/>
              <w:rPr>
                <w:sz w:val="18"/>
                <w:szCs w:val="18"/>
                <w:lang w:val="en-US"/>
              </w:rPr>
            </w:pPr>
            <w:r>
              <w:rPr>
                <w:rFonts w:cs="Calibri"/>
                <w:color w:val="000000"/>
                <w:lang w:val="en-US"/>
              </w:rPr>
              <w:t>-93.84</w:t>
            </w:r>
          </w:p>
        </w:tc>
        <w:tc>
          <w:tcPr>
            <w:tcW w:w="785" w:type="dxa"/>
            <w:tcBorders/>
            <w:vAlign w:val="bottom"/>
          </w:tcPr>
          <w:p>
            <w:pPr>
              <w:pStyle w:val="Normal"/>
              <w:widowControl w:val="false"/>
              <w:spacing w:before="0" w:after="200"/>
              <w:jc w:val="center"/>
              <w:rPr>
                <w:sz w:val="18"/>
                <w:szCs w:val="18"/>
                <w:lang w:val="en-US"/>
              </w:rPr>
            </w:pPr>
            <w:r>
              <w:rPr>
                <w:rFonts w:cs="Calibri"/>
                <w:color w:val="000000"/>
                <w:lang w:val="en-US"/>
              </w:rPr>
              <w:t>-89.60</w:t>
            </w:r>
          </w:p>
        </w:tc>
        <w:tc>
          <w:tcPr>
            <w:tcW w:w="787" w:type="dxa"/>
            <w:tcBorders/>
            <w:vAlign w:val="bottom"/>
          </w:tcPr>
          <w:p>
            <w:pPr>
              <w:pStyle w:val="Normal"/>
              <w:widowControl w:val="false"/>
              <w:spacing w:before="0" w:after="200"/>
              <w:jc w:val="center"/>
              <w:rPr>
                <w:sz w:val="18"/>
                <w:szCs w:val="18"/>
                <w:lang w:val="en-US"/>
              </w:rPr>
            </w:pPr>
            <w:r>
              <w:rPr>
                <w:rFonts w:cs="Calibri"/>
                <w:color w:val="000000"/>
                <w:lang w:val="en-US"/>
              </w:rPr>
              <w:t>-83.19</w:t>
            </w:r>
          </w:p>
        </w:tc>
        <w:tc>
          <w:tcPr>
            <w:tcW w:w="783" w:type="dxa"/>
            <w:tcBorders/>
            <w:vAlign w:val="bottom"/>
          </w:tcPr>
          <w:p>
            <w:pPr>
              <w:pStyle w:val="Normal"/>
              <w:widowControl w:val="false"/>
              <w:spacing w:before="0" w:after="200"/>
              <w:jc w:val="center"/>
              <w:rPr>
                <w:sz w:val="18"/>
                <w:szCs w:val="18"/>
                <w:lang w:val="en-US"/>
              </w:rPr>
            </w:pPr>
            <w:r>
              <w:rPr>
                <w:rFonts w:cs="Calibri"/>
                <w:color w:val="000000"/>
                <w:lang w:val="en-US"/>
              </w:rPr>
              <w:t>-48.23</w:t>
            </w:r>
          </w:p>
        </w:tc>
        <w:tc>
          <w:tcPr>
            <w:tcW w:w="607" w:type="dxa"/>
            <w:tcBorders/>
            <w:vAlign w:val="bottom"/>
          </w:tcPr>
          <w:p>
            <w:pPr>
              <w:pStyle w:val="Normal"/>
              <w:widowControl w:val="false"/>
              <w:spacing w:before="0" w:after="200"/>
              <w:jc w:val="center"/>
              <w:rPr>
                <w:sz w:val="18"/>
                <w:szCs w:val="18"/>
                <w:lang w:val="en-US"/>
              </w:rPr>
            </w:pPr>
            <w:r>
              <w:rPr>
                <w:rFonts w:cs="Calibri"/>
                <w:color w:val="000000"/>
                <w:lang w:val="en-US"/>
              </w:rPr>
              <w:t>0.00</w:t>
            </w:r>
          </w:p>
        </w:tc>
      </w:tr>
    </w:tbl>
    <w:p>
      <w:pPr>
        <w:pStyle w:val="Normal"/>
        <w:rPr>
          <w:lang w:val="en-US"/>
        </w:rPr>
      </w:pPr>
      <w:r>
        <w:rPr/>
      </w:r>
      <w:r>
        <w:rPr/>
        <w:fldChar w:fldCharType="end"/>
      </w:r>
    </w:p>
    <w:tbl>
      <w:tblPr>
        <w:tblStyle w:val="Grilledutableau"/>
        <w:tblW w:w="1006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148"/>
        <w:gridCol w:w="718"/>
        <w:gridCol w:w="830"/>
        <w:gridCol w:w="830"/>
        <w:gridCol w:w="830"/>
        <w:gridCol w:w="829"/>
        <w:gridCol w:w="942"/>
        <w:gridCol w:w="939"/>
        <w:gridCol w:w="941"/>
        <w:gridCol w:w="1053"/>
      </w:tblGrid>
      <w:tr>
        <w:trPr>
          <w:trHeight w:val="263" w:hRule="atLeast"/>
        </w:trPr>
        <w:tc>
          <w:tcPr>
            <w:tcW w:w="2148"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decile</w:t>
            </w:r>
          </w:p>
        </w:tc>
        <w:tc>
          <w:tcPr>
            <w:tcW w:w="718"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60%</w:t>
            </w:r>
          </w:p>
        </w:tc>
        <w:tc>
          <w:tcPr>
            <w:tcW w:w="830"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70%</w:t>
            </w:r>
          </w:p>
        </w:tc>
        <w:tc>
          <w:tcPr>
            <w:tcW w:w="830"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75%</w:t>
            </w:r>
          </w:p>
        </w:tc>
        <w:tc>
          <w:tcPr>
            <w:tcW w:w="830"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80%</w:t>
            </w:r>
          </w:p>
        </w:tc>
        <w:tc>
          <w:tcPr>
            <w:tcW w:w="829"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85%</w:t>
            </w:r>
          </w:p>
        </w:tc>
        <w:tc>
          <w:tcPr>
            <w:tcW w:w="942"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90%</w:t>
            </w:r>
          </w:p>
        </w:tc>
        <w:tc>
          <w:tcPr>
            <w:tcW w:w="939"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95%</w:t>
            </w:r>
          </w:p>
        </w:tc>
        <w:tc>
          <w:tcPr>
            <w:tcW w:w="941"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99%</w:t>
            </w:r>
          </w:p>
        </w:tc>
        <w:tc>
          <w:tcPr>
            <w:tcW w:w="1053" w:type="dxa"/>
            <w:tcBorders/>
            <w:vAlign w:val="center"/>
          </w:tcPr>
          <w:p>
            <w:pPr>
              <w:pStyle w:val="Normal"/>
              <w:widowControl/>
              <w:suppressAutoHyphens w:val="true"/>
              <w:spacing w:lineRule="auto" w:line="240" w:before="0" w:after="0"/>
              <w:jc w:val="center"/>
              <w:rPr>
                <w:sz w:val="18"/>
                <w:szCs w:val="18"/>
              </w:rPr>
            </w:pPr>
            <w:r>
              <w:rPr>
                <w:rFonts w:eastAsia="Calibri" w:cs=""/>
                <w:kern w:val="0"/>
                <w:sz w:val="18"/>
                <w:szCs w:val="18"/>
                <w:lang w:val="fr-FR" w:eastAsia="en-US" w:bidi="ar-SA"/>
              </w:rPr>
              <w:t>100%</w:t>
            </w:r>
          </w:p>
        </w:tc>
      </w:tr>
      <w:tr>
        <w:trPr>
          <w:trHeight w:val="263" w:hRule="atLeast"/>
        </w:trPr>
        <w:tc>
          <w:tcPr>
            <w:tcW w:w="2148" w:type="dxa"/>
            <w:tcBorders/>
            <w:vAlign w:val="center"/>
          </w:tcPr>
          <w:p>
            <w:pPr>
              <w:pStyle w:val="Normal"/>
              <w:widowControl/>
              <w:suppressAutoHyphens w:val="true"/>
              <w:spacing w:lineRule="auto" w:line="240" w:before="0" w:after="0"/>
              <w:jc w:val="center"/>
              <w:rPr>
                <w:sz w:val="18"/>
                <w:szCs w:val="18"/>
                <w:lang w:val="en-US"/>
              </w:rPr>
            </w:pPr>
            <w:r>
              <w:rPr>
                <w:rFonts w:eastAsia="Calibri" w:cs=""/>
                <w:kern w:val="0"/>
                <w:sz w:val="18"/>
                <w:szCs w:val="18"/>
                <w:lang w:val="en-US" w:eastAsia="en-US" w:bidi="ar-SA"/>
              </w:rPr>
              <w:t>percentage of variation with median</w:t>
            </w:r>
          </w:p>
        </w:tc>
        <w:tc>
          <w:tcPr>
            <w:tcW w:w="718"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96.87</w:t>
            </w:r>
          </w:p>
        </w:tc>
        <w:tc>
          <w:tcPr>
            <w:tcW w:w="830"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286.23</w:t>
            </w:r>
          </w:p>
        </w:tc>
        <w:tc>
          <w:tcPr>
            <w:tcW w:w="830"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413.11</w:t>
            </w:r>
          </w:p>
        </w:tc>
        <w:tc>
          <w:tcPr>
            <w:tcW w:w="830"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564.47</w:t>
            </w:r>
          </w:p>
        </w:tc>
        <w:tc>
          <w:tcPr>
            <w:tcW w:w="829"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759.43</w:t>
            </w:r>
          </w:p>
        </w:tc>
        <w:tc>
          <w:tcPr>
            <w:tcW w:w="942"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1048.60</w:t>
            </w:r>
          </w:p>
        </w:tc>
        <w:tc>
          <w:tcPr>
            <w:tcW w:w="939"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1613.57</w:t>
            </w:r>
          </w:p>
        </w:tc>
        <w:tc>
          <w:tcPr>
            <w:tcW w:w="941"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3520.78</w:t>
            </w:r>
          </w:p>
        </w:tc>
        <w:tc>
          <w:tcPr>
            <w:tcW w:w="1053" w:type="dxa"/>
            <w:tcBorders/>
            <w:vAlign w:val="bottom"/>
          </w:tcPr>
          <w:p>
            <w:pPr>
              <w:pStyle w:val="Normal"/>
              <w:widowControl/>
              <w:suppressAutoHyphens w:val="true"/>
              <w:spacing w:lineRule="auto" w:line="240" w:before="0" w:after="0"/>
              <w:jc w:val="center"/>
              <w:rPr>
                <w:sz w:val="18"/>
                <w:szCs w:val="18"/>
              </w:rPr>
            </w:pPr>
            <w:r>
              <w:rPr>
                <w:rFonts w:eastAsia="Calibri" w:cs="Calibri"/>
                <w:color w:val="000000"/>
                <w:kern w:val="0"/>
                <w:lang w:val="fr-FR" w:eastAsia="en-US" w:bidi="ar-SA"/>
              </w:rPr>
              <w:t>61678.97</w:t>
            </w:r>
          </w:p>
        </w:tc>
      </w:tr>
    </w:tbl>
    <w:p>
      <w:pPr>
        <w:pStyle w:val="Normal"/>
        <w:rPr>
          <w:lang w:val="en-US"/>
        </w:rPr>
      </w:pPr>
      <w:r>
        <w:rPr>
          <w:lang w:val="en-US"/>
        </w:rPr>
      </w:r>
    </w:p>
    <w:p>
      <w:pPr>
        <w:pStyle w:val="Normal"/>
        <w:rPr>
          <w:lang w:val="en-US"/>
        </w:rPr>
      </w:pPr>
      <w:r>
        <w:rPr>
          <w:lang w:val="en-US"/>
        </w:rPr>
      </w:r>
    </w:p>
    <w:p>
      <w:pPr>
        <w:pStyle w:val="Normal"/>
        <w:rPr>
          <w:lang w:val="en-US"/>
        </w:rPr>
      </w:pPr>
      <w:r>
        <w:rPr/>
        <w:drawing>
          <wp:inline distT="0" distB="0" distL="0" distR="0">
            <wp:extent cx="6202680" cy="7846695"/>
            <wp:effectExtent l="0" t="0" r="0" b="0"/>
            <wp:docPr id="1"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6" descr=""/>
                    <pic:cNvPicPr>
                      <a:picLocks noChangeAspect="1" noChangeArrowheads="1"/>
                    </pic:cNvPicPr>
                  </pic:nvPicPr>
                  <pic:blipFill>
                    <a:blip r:embed="rId2"/>
                    <a:stretch>
                      <a:fillRect/>
                    </a:stretch>
                  </pic:blipFill>
                  <pic:spPr bwMode="auto">
                    <a:xfrm>
                      <a:off x="0" y="0"/>
                      <a:ext cx="6202680" cy="7846695"/>
                    </a:xfrm>
                    <a:prstGeom prst="rect">
                      <a:avLst/>
                    </a:prstGeom>
                  </pic:spPr>
                </pic:pic>
              </a:graphicData>
            </a:graphic>
          </wp:inline>
        </w:drawing>
      </w:r>
    </w:p>
    <w:p>
      <w:pPr>
        <w:pStyle w:val="Normal"/>
        <w:rPr>
          <w:lang w:eastAsia="fr-FR"/>
        </w:rPr>
      </w:pPr>
      <w:r>
        <w:rPr>
          <w:b/>
          <w:bCs/>
          <w:lang w:val="en-US"/>
        </w:rPr>
        <w:t>Supplementary Fig. 1</w:t>
      </w:r>
      <w:r>
        <w:rPr>
          <w:lang w:val="en-US"/>
        </w:rPr>
        <w:t xml:space="preserve"> : Corga map of Europe from https://esdac.jrc.ec.europa.eu/content/topsoil-soil-organic-carbon-lucas-eu25 </w:t>
      </w:r>
      <w:r>
        <w:fldChar w:fldCharType="begin"/>
      </w:r>
      <w:r>
        <w:rPr>
          <w:lang w:val="en-US"/>
        </w:rPr>
        <w:instrText>ADDIN CSL_CITATION { "citationItems" : [ { "id" : "ITEM-1", "itemData" : { "DOI" : "10.1111/ejss.12193", "ISSN" : "13652389", "abstract" : "Summary: There is an increasing demand for up-to-date soil organic carbon (OC) data for global environmental and climatic modelling. The aim of this study was to create a map of topsoil OC content at the European scale by applying digital soil mapping techniques to the first European harmonized geo-referenced topsoil (0-20 cm) database, which arises from the Land use/Cover Area frame statistical Survey (LUCAS). A map of the associated uncertainty was also produced to support careful use of the predicted OC contents. A generalized additive model (GAM) was fitted on 85% of the dataset (R2 = 0.29), using OC content as dependent variable a backward stepwise approach selected slope, land cover, temperature, net primary productivity, latitude and longitude as suitable covariates. The validation of the model (performed on 15% of the data-set) gave an overall R2 of 0.27 and an R2 of 0.21 for mineral soils and 0.06 for organic soils. Organic C content in most organic soils was under-predicted, probably because of the imposed unimodal distribution of our model, whose mean is tilted towards the prevalent mineral soils. This was also confirmed by the poor prediction in Scandinavia (where organic soils are more frequent), which gave an R2 of 0.09, whilst the prediction performance (R2) in non-Scandinavian countries was 0.28. The map of predicted OC content had the smallest values in Mediterranean countries and in croplands across Europe, whereas largest OC contents were predicted in wetlands, woodlands and mountainous areas. The map of the predictions' standard error had large uncertainty in northern latitudes, wetlands, moors and heathlands, whereas small uncertainty was mostly found in croplands. The map produced gives the most updated general picture of topsoil OC content at the European Union scale.", "author" : [ { "dropping-particle" : "", "family" : "Brogniez", "given" : "D.", "non-dropping-particle" : "de", "parse-names" : false, "suffix" : "" }, { "dropping-particle" : "", "family" : "Ballabio", "given" : "C.", "non-dropping-particle" : "", "parse-names" : false, "suffix" : "" }, { "dropping-particle" : "", "family" : "Stevens", "given" : "A.", "non-dropping-particle" : "", "parse-names" : false, "suffix" : "" }, { "dropping-particle" : "", "family" : "Jones", "given" : "R. J.A.", "non-dropping-particle" : "", "parse-names" : false, "suffix" : "" }, { "dropping-particle" : "", "family" : "Montanarella", "given" : "L.", "non-dropping-particle" : "", "parse-names" : false, "suffix" : "" }, { "dropping-particle" : "", "family" : "Wesemael", "given" : "B.", "non-dropping-particle" : "van", "parse-names" : false, "suffix" : "" } ], "container-title" : "European Journal of Soil Science", "id" : "ITEM-1", "issued" : { "date-parts" : [ [ "2015" ] ] }, "title" : "A map of the topsoil organic carbon content of Europe generated by a generalized additive model", "type" : "article-journal" }, "uris" : [ "http://www.mendeley.com/documents/?uuid=588dce1c-fc41-4d5d-82ad-4c7a32e596c6" ] } ], "mendeley" : { "formattedCitation" : "(de Brogniez et al., 2015)", "plainTextFormattedCitation" : "(de Brogniez et al., 2015)", "previouslyFormattedCitation" : "(de Brogniez et al., 2015)" }, "properties" : { "noteIndex" : 0 }, "schema" : "https://github.com/citation-style-language/schema/raw/master/csl-citation.json" }</w:instrText>
      </w:r>
      <w:r>
        <w:rPr>
          <w:lang w:val="en-US"/>
        </w:rPr>
      </w:r>
      <w:r>
        <w:rPr>
          <w:lang w:val="en-US"/>
        </w:rPr>
        <w:fldChar w:fldCharType="separate"/>
      </w:r>
      <w:r>
        <w:rPr>
          <w:lang w:val="en-US"/>
        </w:rPr>
        <w:t>(de Brogniez et al., 2015)</w:t>
      </w:r>
      <w:r>
        <w:rPr>
          <w:lang w:val="en-US"/>
        </w:rPr>
      </w:r>
      <w:r>
        <w:rPr>
          <w:lang w:val="en-US"/>
        </w:rPr>
        <w:fldChar w:fldCharType="end"/>
      </w:r>
      <w:r>
        <w:rPr>
          <w:lang w:val="en-US"/>
        </w:rPr>
        <w:t>.</w:t>
      </w:r>
      <w:r>
        <w:rPr>
          <w:lang w:eastAsia="fr-FR"/>
        </w:rPr>
        <w:t xml:space="preserve"> </w:t>
      </w:r>
    </w:p>
    <w:p>
      <w:pPr>
        <w:pStyle w:val="Normal"/>
        <w:rPr>
          <w:lang w:val="en-US"/>
        </w:rPr>
      </w:pPr>
      <w:r>
        <w:rPr>
          <w:lang w:val="en-US"/>
        </w:rPr>
      </w:r>
    </w:p>
    <w:p>
      <w:pPr>
        <w:pStyle w:val="Normal"/>
        <w:rPr>
          <w:lang w:val="en-US"/>
        </w:rPr>
      </w:pPr>
      <w:r>
        <w:rPr>
          <w:lang w:val="en-US"/>
        </w:rPr>
      </w:r>
    </w:p>
    <w:p>
      <w:pPr>
        <w:pStyle w:val="Normal"/>
        <w:rPr>
          <w:lang w:val="en-US"/>
        </w:rPr>
      </w:pPr>
      <w:r>
        <w:rPr/>
        <w:drawing>
          <wp:inline distT="0" distB="0" distL="0" distR="0">
            <wp:extent cx="5521960" cy="7132955"/>
            <wp:effectExtent l="0" t="0" r="0" b="0"/>
            <wp:docPr id="2"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
                    <pic:cNvPicPr>
                      <a:picLocks noChangeAspect="1" noChangeArrowheads="1"/>
                    </pic:cNvPicPr>
                  </pic:nvPicPr>
                  <pic:blipFill>
                    <a:blip r:embed="rId3"/>
                    <a:stretch>
                      <a:fillRect/>
                    </a:stretch>
                  </pic:blipFill>
                  <pic:spPr bwMode="auto">
                    <a:xfrm>
                      <a:off x="0" y="0"/>
                      <a:ext cx="5521960" cy="7132955"/>
                    </a:xfrm>
                    <a:prstGeom prst="rect">
                      <a:avLst/>
                    </a:prstGeom>
                  </pic:spPr>
                </pic:pic>
              </a:graphicData>
            </a:graphic>
          </wp:inline>
        </w:drawing>
      </w:r>
    </w:p>
    <w:p>
      <w:pPr>
        <w:pStyle w:val="Normal"/>
        <w:rPr>
          <w:lang w:val="en-US"/>
        </w:rPr>
      </w:pPr>
      <w:r>
        <w:rPr>
          <w:b/>
          <w:bCs/>
          <w:lang w:val="en-US"/>
        </w:rPr>
        <w:t xml:space="preserve">Supplementary Fig.2 </w:t>
      </w:r>
      <w:r>
        <w:rPr>
          <w:lang w:val="en-US"/>
        </w:rPr>
        <w:t xml:space="preserve">: pH map of Europe from  https://esdac.jrc.ec.europa.eu/content/chemical-properties-european-scale-based-lucas-topsoil-data </w:t>
      </w:r>
      <w:r>
        <w:fldChar w:fldCharType="begin"/>
      </w:r>
      <w:r>
        <w:rPr>
          <w:lang w:val="en-US"/>
        </w:rPr>
        <w:instrText>ADDIN CSL_CITATION { "citationItems" : [ { "id" : "ITEM-1", "itemData" : { "DOI" : "10.1016/j.geoderma.2019.113912", "ISSN" : "00167061", "abstract" : "This paper presents the second part of the mapping of topsoil properties based on the Land Use and Cover Area frame Survey (LUCAS). The first part described the physical properties (Ballabio et al., 2016) while this second part includes the following chemical properties: pH, Cation Exchange Capacity (CEC), calcium carbonates (CaCO3), C:N ratio, nitrogen (N), phosphorus (P) and potassium (K). The LUCAS survey collected harmonised data on changes in land cover and the state of land use for the European Union (EU). Among the 270,000 land use and cover observations selected for field visit, approximately 20,000 soil samples were collected in 24 EU Member States in 2009 together with more than 2000 samples from Bulgaria and Romania in 2012. The chemical properties maps for the European Union were produced using Gaussian process regression (GPR) models. GPR was selected for its capacity to assess model uncertainty and the possibility of adding prior knowledge in the form of covariance functions to the model. The derived maps will establish baselines that will help monitor soil quality and provide guidance to agro-environmental research and policy developments in the European Union.", "author" : [ { "dropping-particle" : "", "family" : "Ballabio", "given" : "Cristiano", "non-dropping-particle" : "", "parse-names" : false, "suffix" : "" }, { "dropping-particle" : "", "family" : "Lugato", "given" : "Emanuele", "non-dropping-particle" : "", "parse-names" : false, "suffix" : "" }, { "dropping-particle" : "", "family" : "Fern\u00e1ndez-Ugalde", "given" : "Oihane", "non-dropping-particle" : "", "parse-names" : false, "suffix" : "" }, { "dropping-particle" : "", "family" : "Orgiazzi", "given" : "Alberto", "non-dropping-particle" : "", "parse-names" : false, "suffix" : "" }, { "dropping-particle" : "", "family" : "Jones", "given" : "Arwyn", "non-dropping-particle" : "", "parse-names" : false, "suffix" : "" }, { "dropping-particle" : "", "family" : "Borrelli", "given" : "Pasquale", "non-dropping-particle" : "", "parse-names" : false, "suffix" : "" }, { "dropping-particle" : "", "family" : "Montanarella", "given" : "Luca", "non-dropping-particle" : "", "parse-names" : false, "suffix" : "" }, { "dropping-particle" : "", "family" : "Panagos", "given" : "Panos", "non-dropping-particle" : "", "parse-names" : false, "suffix" : "" } ], "container-title" : "Geoderma", "id" : "ITEM-1", "issued" : { "date-parts" : [ [ "2019" ] ] }, "title" : "Mapping LUCAS topsoil chemical properties at European scale using Gaussian process regression", "type" : "article-journal" }, "uris" : [ "http://www.mendeley.com/documents/?uuid=80d47271-b90c-4f82-9805-436aa61aab48" ] } ], "mendeley" : { "formattedCitation" : "(Ballabio et al., 2019)", "plainTextFormattedCitation" : "(Ballabio et al., 2019)", "previouslyFormattedCitation" : "(Ballabio et al., 2019)" }, "properties" : { "noteIndex" : 0 }, "schema" : "https://github.com/citation-style-language/schema/raw/master/csl-citation.json" }</w:instrText>
      </w:r>
      <w:r>
        <w:rPr>
          <w:lang w:val="en-US"/>
        </w:rPr>
      </w:r>
      <w:r>
        <w:rPr>
          <w:lang w:val="en-US"/>
        </w:rPr>
        <w:fldChar w:fldCharType="separate"/>
      </w:r>
      <w:r>
        <w:rPr>
          <w:lang w:val="en-US"/>
        </w:rPr>
        <w:t>(Ballabio et al., 2019)</w:t>
      </w:r>
      <w:r>
        <w:rPr>
          <w:lang w:val="en-US"/>
        </w:rPr>
      </w:r>
      <w:r>
        <w:rPr>
          <w:lang w:val="en-US"/>
        </w:rPr>
        <w:fldChar w:fldCharType="end"/>
      </w:r>
      <w:r>
        <w:rPr>
          <w:lang w:val="en-US"/>
        </w:rPr>
        <w:t>,</w:t>
      </w:r>
    </w:p>
    <w:p>
      <w:pPr>
        <w:pStyle w:val="Normal"/>
        <w:rPr>
          <w:lang w:val="en-US"/>
        </w:rPr>
      </w:pPr>
      <w:r>
        <w:rPr/>
        <w:drawing>
          <wp:inline distT="0" distB="0" distL="0" distR="0">
            <wp:extent cx="5401310" cy="6784340"/>
            <wp:effectExtent l="0" t="0" r="0" b="0"/>
            <wp:docPr id="3" name="Imag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1" descr=""/>
                    <pic:cNvPicPr>
                      <a:picLocks noChangeAspect="1" noChangeArrowheads="1"/>
                    </pic:cNvPicPr>
                  </pic:nvPicPr>
                  <pic:blipFill>
                    <a:blip r:embed="rId4"/>
                    <a:stretch>
                      <a:fillRect/>
                    </a:stretch>
                  </pic:blipFill>
                  <pic:spPr bwMode="auto">
                    <a:xfrm>
                      <a:off x="0" y="0"/>
                      <a:ext cx="5401310" cy="6784340"/>
                    </a:xfrm>
                    <a:prstGeom prst="rect">
                      <a:avLst/>
                    </a:prstGeom>
                  </pic:spPr>
                </pic:pic>
              </a:graphicData>
            </a:graphic>
          </wp:inline>
        </w:drawing>
      </w:r>
    </w:p>
    <w:p>
      <w:pPr>
        <w:pStyle w:val="Normal"/>
        <w:rPr>
          <w:lang w:val="en-US"/>
        </w:rPr>
      </w:pPr>
      <w:r>
        <w:rPr>
          <w:b/>
          <w:bCs/>
          <w:lang w:val="en-US"/>
        </w:rPr>
        <w:t>Supplementary Fig 3</w:t>
      </w:r>
      <w:r>
        <w:rPr>
          <w:lang w:val="en-US"/>
        </w:rPr>
        <w:t xml:space="preserve"> : </w:t>
      </w:r>
      <w:r>
        <w:rPr>
          <w:lang w:val="en-US"/>
        </w:rPr>
        <w:t>RI for</w:t>
      </w:r>
      <w:r>
        <w:rPr>
          <w:lang w:val="en-US"/>
        </w:rPr>
        <w:t xml:space="preserve"> total Cu value (</w:t>
      </w:r>
      <w:r>
        <w:rPr>
          <w:lang w:val="en-US"/>
        </w:rPr>
        <w:t xml:space="preserve">with median at </w:t>
      </w:r>
      <w:r>
        <w:rPr>
          <w:lang w:val="en-US"/>
        </w:rPr>
        <w:t xml:space="preserve">13.2 mg.kg soil </w:t>
      </w:r>
      <w:r>
        <w:rPr>
          <w:vertAlign w:val="superscript"/>
          <w:lang w:val="en-US"/>
        </w:rPr>
        <w:t>-1</w:t>
      </w:r>
      <w:r>
        <w:rPr>
          <w:lang w:val="en-US"/>
        </w:rPr>
        <w:t xml:space="preserve">) in Europe </w:t>
      </w:r>
    </w:p>
    <w:p>
      <w:pPr>
        <w:pStyle w:val="Normal"/>
        <w:rPr>
          <w:lang w:val="en-US"/>
        </w:rPr>
      </w:pPr>
      <w:r>
        <w:rPr/>
        <w:drawing>
          <wp:inline distT="0" distB="0" distL="0" distR="0">
            <wp:extent cx="5084445" cy="6462395"/>
            <wp:effectExtent l="0" t="0" r="0" b="0"/>
            <wp:docPr id="4"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
                    <pic:cNvPicPr>
                      <a:picLocks noChangeAspect="1" noChangeArrowheads="1"/>
                    </pic:cNvPicPr>
                  </pic:nvPicPr>
                  <pic:blipFill>
                    <a:blip r:embed="rId5"/>
                    <a:stretch>
                      <a:fillRect/>
                    </a:stretch>
                  </pic:blipFill>
                  <pic:spPr bwMode="auto">
                    <a:xfrm>
                      <a:off x="0" y="0"/>
                      <a:ext cx="5084445" cy="6462395"/>
                    </a:xfrm>
                    <a:prstGeom prst="rect">
                      <a:avLst/>
                    </a:prstGeom>
                  </pic:spPr>
                </pic:pic>
              </a:graphicData>
            </a:graphic>
          </wp:inline>
        </w:drawing>
      </w:r>
    </w:p>
    <w:p>
      <w:pPr>
        <w:pStyle w:val="Normal"/>
        <w:rPr>
          <w:lang w:val="en-US"/>
        </w:rPr>
      </w:pPr>
      <w:r>
        <w:rPr>
          <w:lang w:val="en-US"/>
        </w:rPr>
      </w:r>
    </w:p>
    <w:p>
      <w:pPr>
        <w:pStyle w:val="Normal"/>
        <w:rPr>
          <w:lang w:val="en-US"/>
        </w:rPr>
      </w:pPr>
      <w:r>
        <w:rPr>
          <w:b/>
          <w:bCs/>
          <w:lang w:val="en-US"/>
        </w:rPr>
        <w:t>Supplementary Fig. 4</w:t>
      </w:r>
      <w:r>
        <w:rPr>
          <w:lang w:val="en-US"/>
        </w:rPr>
        <w:t xml:space="preserve">: </w:t>
      </w:r>
      <w:r>
        <w:rPr>
          <w:lang w:val="en-US"/>
        </w:rPr>
        <w:t xml:space="preserve">RI for available Cu </w:t>
      </w:r>
      <w:r>
        <w:rPr>
          <w:lang w:val="en-US"/>
        </w:rPr>
        <w:t>(estimated from eq 3b) and median Cu in solution (3.36 µg.L</w:t>
      </w:r>
      <w:r>
        <w:rPr>
          <w:vertAlign w:val="superscript"/>
          <w:lang w:val="en-US"/>
        </w:rPr>
        <w:t>-1</w:t>
      </w:r>
      <w:r>
        <w:rPr>
          <w:lang w:val="en-US"/>
        </w:rPr>
        <w:t xml:space="preserve">) value in Europe </w:t>
      </w:r>
    </w:p>
    <w:p>
      <w:pPr>
        <w:pStyle w:val="Normal"/>
        <w:rPr>
          <w:lang w:val="en-US"/>
        </w:rPr>
      </w:pPr>
      <w:r>
        <w:rPr>
          <w:lang w:val="en-US"/>
        </w:rPr>
      </w:r>
    </w:p>
    <w:p>
      <w:pPr>
        <w:pStyle w:val="Normal"/>
        <w:rPr>
          <w:lang w:val="en-US"/>
        </w:rPr>
      </w:pPr>
      <w:r>
        <w:rPr>
          <w:lang w:val="en-US"/>
        </w:rPr>
      </w:r>
    </w:p>
    <w:p>
      <w:pPr>
        <w:pStyle w:val="Normal"/>
        <w:rPr>
          <w:lang w:val="en-US"/>
        </w:rPr>
      </w:pPr>
      <w:r>
        <w:rPr/>
        <w:drawing>
          <wp:inline distT="0" distB="0" distL="0" distR="0">
            <wp:extent cx="6151245" cy="6590030"/>
            <wp:effectExtent l="0" t="0" r="0" b="0"/>
            <wp:docPr id="5" name="Imag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18" descr=""/>
                    <pic:cNvPicPr>
                      <a:picLocks noChangeAspect="1" noChangeArrowheads="1"/>
                    </pic:cNvPicPr>
                  </pic:nvPicPr>
                  <pic:blipFill>
                    <a:blip r:embed="rId6"/>
                    <a:stretch>
                      <a:fillRect/>
                    </a:stretch>
                  </pic:blipFill>
                  <pic:spPr bwMode="auto">
                    <a:xfrm>
                      <a:off x="0" y="0"/>
                      <a:ext cx="6151245" cy="6590030"/>
                    </a:xfrm>
                    <a:prstGeom prst="rect">
                      <a:avLst/>
                    </a:prstGeom>
                  </pic:spPr>
                </pic:pic>
              </a:graphicData>
            </a:graphic>
          </wp:inline>
        </w:drawing>
      </w:r>
    </w:p>
    <w:p>
      <w:pPr>
        <w:pStyle w:val="Normal"/>
        <w:rPr>
          <w:lang w:val="en-US"/>
        </w:rPr>
      </w:pPr>
      <w:r>
        <w:rPr>
          <w:lang w:val="en-US"/>
        </w:rPr>
      </w:r>
    </w:p>
    <w:p>
      <w:pPr>
        <w:pStyle w:val="Normal"/>
        <w:rPr>
          <w:lang w:val="en-US"/>
        </w:rPr>
      </w:pPr>
      <w:r>
        <w:rPr>
          <w:b/>
          <w:bCs/>
          <w:lang w:val="en-US"/>
        </w:rPr>
        <w:t>Supplementary Fig. 5</w:t>
      </w:r>
      <w:r>
        <w:rPr>
          <w:lang w:val="en-US"/>
        </w:rPr>
        <w:t xml:space="preserve">: </w:t>
      </w:r>
      <w:r>
        <w:rPr>
          <w:lang w:val="en-US"/>
        </w:rPr>
        <w:t>RI for bioavailable Cu</w:t>
      </w:r>
      <w:r>
        <w:rPr>
          <w:lang w:val="en-US"/>
        </w:rPr>
        <w:t xml:space="preserve"> (estimated from eq 14b.) and median free Cu (0.165µg.L</w:t>
      </w:r>
      <w:r>
        <w:rPr>
          <w:vertAlign w:val="superscript"/>
          <w:lang w:val="en-US"/>
        </w:rPr>
        <w:t>-1</w:t>
      </w:r>
      <w:r>
        <w:rPr>
          <w:lang w:val="en-US"/>
        </w:rPr>
        <w:t xml:space="preserve">) value in Europe </w:t>
      </w:r>
      <w:bookmarkStart w:id="0" w:name="_Hlk85210411"/>
      <w:bookmarkEnd w:id="0"/>
    </w:p>
    <w:p>
      <w:pPr>
        <w:pStyle w:val="Normal"/>
        <w:spacing w:before="0" w:after="200"/>
        <w:rPr>
          <w:lang w:val="en-US"/>
        </w:rPr>
      </w:pPr>
      <w:r>
        <w:rPr/>
      </w:r>
    </w:p>
    <w:sectPr>
      <w:type w:val="nextPage"/>
      <w:pgSz w:w="11906" w:h="16838"/>
      <w:pgMar w:left="1417" w:right="1417" w:header="0" w:top="1417" w:footer="0" w:bottom="1417"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trackRevision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7d7a"/>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9e6b5f"/>
    <w:rPr>
      <w:rFonts w:ascii="Tahoma" w:hAnsi="Tahoma" w:cs="Tahoma"/>
      <w:sz w:val="16"/>
      <w:szCs w:val="16"/>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before="0" w:after="140"/>
    </w:pPr>
    <w:rPr/>
  </w:style>
  <w:style w:type="paragraph" w:styleId="Liste">
    <w:name w:val="List"/>
    <w:basedOn w:val="Corpsdetexte"/>
    <w:pPr/>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Lucida Sans"/>
    </w:rPr>
  </w:style>
  <w:style w:type="paragraph" w:styleId="Titreprincipal">
    <w:name w:val="Title"/>
    <w:basedOn w:val="Normal"/>
    <w:next w:val="Corpsdetexte"/>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BalloonText">
    <w:name w:val="Balloon Text"/>
    <w:basedOn w:val="Normal"/>
    <w:link w:val="TextedebullesCar"/>
    <w:uiPriority w:val="99"/>
    <w:semiHidden/>
    <w:unhideWhenUsed/>
    <w:qFormat/>
    <w:rsid w:val="009e6b5f"/>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styleId="Grilledutableau">
    <w:name w:val="Table Grid"/>
    <w:basedOn w:val="TableauNormal"/>
    <w:uiPriority w:val="59"/>
    <w:rsid w:val="00e27d7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B3683-F64D-504C-B688-10D3AA72A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Application>LibreOffice/7.0.3.1$Windows_X86_64 LibreOffice_project/d7547858d014d4cf69878db179d326fc3483e082</Application>
  <Pages>7</Pages>
  <Words>515</Words>
  <Characters>2417</Characters>
  <CharactersWithSpaces>2653</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2021-10-13T15:23:00Z</dcterms:created>
  <dc:creator>Laura</dc:creator>
  <dc:description/>
  <dc:language>fr-FR</dc:language>
  <cp:lastModifiedBy/>
  <dcterms:modified xsi:type="dcterms:W3CDTF">2021-11-05T09:45:50Z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Mendeley Recent Style Id 0_1">
    <vt:lpwstr>http://www.zotero.org/styles/agronomy-for-sustainable-development</vt:lpwstr>
  </property>
  <property fmtid="{D5CDD505-2E9C-101B-9397-08002B2CF9AE}" pid="7" name="Mendeley Recent Style Id 1_1">
    <vt:lpwstr>http://www.zotero.org/styles/apsa</vt:lpwstr>
  </property>
  <property fmtid="{D5CDD505-2E9C-101B-9397-08002B2CF9AE}" pid="8" name="Mendeley Recent Style Id 2_1">
    <vt:lpwstr>http://www.zotero.org/styles/ecology-letters</vt:lpwstr>
  </property>
  <property fmtid="{D5CDD505-2E9C-101B-9397-08002B2CF9AE}" pid="9" name="Mendeley Recent Style Id 3_1">
    <vt:lpwstr>http://www.zotero.org/styles/global-biogeochemical-cycles</vt:lpwstr>
  </property>
  <property fmtid="{D5CDD505-2E9C-101B-9397-08002B2CF9AE}" pid="10" name="Mendeley Recent Style Id 4_1">
    <vt:lpwstr>http://www.zotero.org/styles/global-change-biology</vt:lpwstr>
  </property>
  <property fmtid="{D5CDD505-2E9C-101B-9397-08002B2CF9AE}" pid="11" name="Mendeley Recent Style Id 5_1">
    <vt:lpwstr>http://www.zotero.org/styles/global-ecology-and-biogeography</vt:lpwstr>
  </property>
  <property fmtid="{D5CDD505-2E9C-101B-9397-08002B2CF9AE}" pid="12" name="Mendeley Recent Style Id 6_1">
    <vt:lpwstr>http://www.zotero.org/styles/harm-reduction-journal</vt:lpwstr>
  </property>
  <property fmtid="{D5CDD505-2E9C-101B-9397-08002B2CF9AE}" pid="13" name="Mendeley Recent Style Id 7_1">
    <vt:lpwstr>http://www.zotero.org/styles/ieee</vt:lpwstr>
  </property>
  <property fmtid="{D5CDD505-2E9C-101B-9397-08002B2CF9AE}" pid="14" name="Mendeley Recent Style Id 8_1">
    <vt:lpwstr>http://www.zotero.org/styles/limnology-and-oceanography</vt:lpwstr>
  </property>
  <property fmtid="{D5CDD505-2E9C-101B-9397-08002B2CF9AE}" pid="15" name="Mendeley Recent Style Id 9_1">
    <vt:lpwstr>http://www.zotero.org/styles/vancouver</vt:lpwstr>
  </property>
  <property fmtid="{D5CDD505-2E9C-101B-9397-08002B2CF9AE}" pid="16" name="Mendeley Recent Style Name 0_1">
    <vt:lpwstr>Agronomy for Sustainable Development</vt:lpwstr>
  </property>
  <property fmtid="{D5CDD505-2E9C-101B-9397-08002B2CF9AE}" pid="17" name="Mendeley Recent Style Name 1_1">
    <vt:lpwstr>American Political Science Association</vt:lpwstr>
  </property>
  <property fmtid="{D5CDD505-2E9C-101B-9397-08002B2CF9AE}" pid="18" name="Mendeley Recent Style Name 2_1">
    <vt:lpwstr>Ecology Letters</vt:lpwstr>
  </property>
  <property fmtid="{D5CDD505-2E9C-101B-9397-08002B2CF9AE}" pid="19" name="Mendeley Recent Style Name 3_1">
    <vt:lpwstr>Global Biogeochemical Cycles</vt:lpwstr>
  </property>
  <property fmtid="{D5CDD505-2E9C-101B-9397-08002B2CF9AE}" pid="20" name="Mendeley Recent Style Name 4_1">
    <vt:lpwstr>Global Change Biology</vt:lpwstr>
  </property>
  <property fmtid="{D5CDD505-2E9C-101B-9397-08002B2CF9AE}" pid="21" name="Mendeley Recent Style Name 5_1">
    <vt:lpwstr>Global Ecology and Biogeography</vt:lpwstr>
  </property>
  <property fmtid="{D5CDD505-2E9C-101B-9397-08002B2CF9AE}" pid="22" name="Mendeley Recent Style Name 6_1">
    <vt:lpwstr>Harm Reduction Journal</vt:lpwstr>
  </property>
  <property fmtid="{D5CDD505-2E9C-101B-9397-08002B2CF9AE}" pid="23" name="Mendeley Recent Style Name 7_1">
    <vt:lpwstr>IEEE</vt:lpwstr>
  </property>
  <property fmtid="{D5CDD505-2E9C-101B-9397-08002B2CF9AE}" pid="24" name="Mendeley Recent Style Name 8_1">
    <vt:lpwstr>Limnology and Oceanography</vt:lpwstr>
  </property>
  <property fmtid="{D5CDD505-2E9C-101B-9397-08002B2CF9AE}" pid="25" name="Mendeley Recent Style Name 9_1">
    <vt:lpwstr>Vancouver</vt:lpwstr>
  </property>
  <property fmtid="{D5CDD505-2E9C-101B-9397-08002B2CF9AE}" pid="26" name="ScaleCrop">
    <vt:bool>0</vt:bool>
  </property>
  <property fmtid="{D5CDD505-2E9C-101B-9397-08002B2CF9AE}" pid="27" name="ShareDoc">
    <vt:bool>0</vt:bool>
  </property>
</Properties>
</file>