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7B4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Table 1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Patients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vertAlign w:val="superscript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demographic characteristics</w:t>
      </w:r>
    </w:p>
    <w:tbl>
      <w:tblPr>
        <w:tblStyle w:val="4"/>
        <w:tblW w:w="5129" w:type="pct"/>
        <w:jc w:val="center"/>
        <w:tblBorders>
          <w:top w:val="single" w:color="auto" w:sz="8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2464"/>
        <w:gridCol w:w="2445"/>
        <w:gridCol w:w="1102"/>
        <w:gridCol w:w="978"/>
      </w:tblGrid>
      <w:tr w14:paraId="0D479607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  <w:tcBorders>
              <w:bottom w:val="single" w:color="auto" w:sz="8" w:space="0"/>
            </w:tcBorders>
          </w:tcPr>
          <w:p w14:paraId="25D6BD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</w:rPr>
              <w:t>Variables</w:t>
            </w:r>
          </w:p>
        </w:tc>
        <w:tc>
          <w:tcPr>
            <w:tcW w:w="1409" w:type="pct"/>
            <w:tcBorders>
              <w:bottom w:val="single" w:color="auto" w:sz="8" w:space="0"/>
            </w:tcBorders>
          </w:tcPr>
          <w:p w14:paraId="614AE0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S</w:t>
            </w:r>
          </w:p>
        </w:tc>
        <w:tc>
          <w:tcPr>
            <w:tcW w:w="1398" w:type="pct"/>
            <w:tcBorders>
              <w:bottom w:val="single" w:color="auto" w:sz="8" w:space="0"/>
            </w:tcBorders>
          </w:tcPr>
          <w:p w14:paraId="0E010B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C</w:t>
            </w:r>
          </w:p>
        </w:tc>
        <w:tc>
          <w:tcPr>
            <w:tcW w:w="630" w:type="pct"/>
            <w:tcBorders>
              <w:bottom w:val="single" w:color="auto" w:sz="8" w:space="0"/>
            </w:tcBorders>
          </w:tcPr>
          <w:p w14:paraId="0ABEB0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Statistical value</w:t>
            </w:r>
          </w:p>
        </w:tc>
        <w:tc>
          <w:tcPr>
            <w:tcW w:w="559" w:type="pct"/>
            <w:tcBorders>
              <w:bottom w:val="single" w:color="auto" w:sz="8" w:space="0"/>
            </w:tcBorders>
          </w:tcPr>
          <w:p w14:paraId="5285C9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 xml:space="preserve"> value</w:t>
            </w:r>
          </w:p>
        </w:tc>
      </w:tr>
      <w:tr w14:paraId="308564FF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  <w:tcBorders>
              <w:top w:val="single" w:color="auto" w:sz="8" w:space="0"/>
            </w:tcBorders>
          </w:tcPr>
          <w:p w14:paraId="428DA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Age(years)</w:t>
            </w:r>
          </w:p>
        </w:tc>
        <w:tc>
          <w:tcPr>
            <w:tcW w:w="1409" w:type="pc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18FF6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68.00(62.00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72.0)</w:t>
            </w:r>
          </w:p>
        </w:tc>
        <w:tc>
          <w:tcPr>
            <w:tcW w:w="1398" w:type="pct"/>
            <w:tcBorders>
              <w:top w:val="single" w:color="auto" w:sz="8" w:space="0"/>
            </w:tcBorders>
          </w:tcPr>
          <w:p w14:paraId="7CDDD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67.00(62.00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71.75)</w:t>
            </w:r>
          </w:p>
        </w:tc>
        <w:tc>
          <w:tcPr>
            <w:tcW w:w="630" w:type="pc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73C1B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11657.5</w:t>
            </w:r>
          </w:p>
        </w:tc>
        <w:tc>
          <w:tcPr>
            <w:tcW w:w="559" w:type="pct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20BCF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0.309</w:t>
            </w:r>
          </w:p>
        </w:tc>
      </w:tr>
      <w:tr w14:paraId="09E726A5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157FC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Gender(F)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07BA9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91(57.59%)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272C1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83(52.53%)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DFA9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AFAD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0.429</w:t>
            </w:r>
          </w:p>
        </w:tc>
      </w:tr>
      <w:tr w14:paraId="6E7BD36A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21AE5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BMI 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006A5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22.72(21.43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25.25)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49EE8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23.64(21.59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26.03)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714F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11222.5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E223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0.121</w:t>
            </w:r>
          </w:p>
        </w:tc>
      </w:tr>
      <w:tr w14:paraId="309CE3DB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  <w:vMerge w:val="restart"/>
            <w:vAlign w:val="center"/>
          </w:tcPr>
          <w:p w14:paraId="31BB2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ASA classification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2B5B3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Ⅱ:134(84.81%)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0E85D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Ⅱ:139(87.97%)</w:t>
            </w:r>
          </w:p>
        </w:tc>
        <w:tc>
          <w:tcPr>
            <w:tcW w:w="630" w:type="pct"/>
            <w:vMerge w:val="restart"/>
            <w:shd w:val="clear" w:color="auto" w:fill="auto"/>
            <w:vAlign w:val="center"/>
          </w:tcPr>
          <w:p w14:paraId="18557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vMerge w:val="restart"/>
            <w:shd w:val="clear" w:color="auto" w:fill="auto"/>
            <w:vAlign w:val="center"/>
          </w:tcPr>
          <w:p w14:paraId="3CF2B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0.512</w:t>
            </w:r>
          </w:p>
        </w:tc>
      </w:tr>
      <w:tr w14:paraId="177D4D43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  <w:vMerge w:val="continue"/>
          </w:tcPr>
          <w:p w14:paraId="610D9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09" w:type="pct"/>
            <w:shd w:val="clear" w:color="auto" w:fill="auto"/>
            <w:vAlign w:val="center"/>
          </w:tcPr>
          <w:p w14:paraId="6F1AA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Ш:24(15.19%)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70889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Ш:19(12.03%)</w:t>
            </w:r>
          </w:p>
        </w:tc>
        <w:tc>
          <w:tcPr>
            <w:tcW w:w="630" w:type="pct"/>
            <w:vMerge w:val="continue"/>
          </w:tcPr>
          <w:p w14:paraId="155CF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559" w:type="pct"/>
            <w:vMerge w:val="continue"/>
          </w:tcPr>
          <w:p w14:paraId="26EB8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36E9869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04AF2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Gastroscopy</w:t>
            </w:r>
          </w:p>
        </w:tc>
        <w:tc>
          <w:tcPr>
            <w:tcW w:w="1409" w:type="pct"/>
          </w:tcPr>
          <w:p w14:paraId="4645D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158(100%)</w:t>
            </w:r>
          </w:p>
        </w:tc>
        <w:tc>
          <w:tcPr>
            <w:tcW w:w="1398" w:type="pct"/>
          </w:tcPr>
          <w:p w14:paraId="7C9A5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158(100%)</w:t>
            </w:r>
          </w:p>
        </w:tc>
        <w:tc>
          <w:tcPr>
            <w:tcW w:w="630" w:type="pct"/>
            <w:vMerge w:val="restart"/>
            <w:vAlign w:val="center"/>
          </w:tcPr>
          <w:p w14:paraId="63BF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vMerge w:val="restart"/>
            <w:vAlign w:val="center"/>
          </w:tcPr>
          <w:p w14:paraId="45EFD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1.000</w:t>
            </w:r>
          </w:p>
        </w:tc>
      </w:tr>
      <w:tr w14:paraId="25A394FC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07327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Colonoscopy</w:t>
            </w:r>
          </w:p>
        </w:tc>
        <w:tc>
          <w:tcPr>
            <w:tcW w:w="1409" w:type="pct"/>
          </w:tcPr>
          <w:p w14:paraId="6BAD1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158(100%)</w:t>
            </w:r>
          </w:p>
        </w:tc>
        <w:tc>
          <w:tcPr>
            <w:tcW w:w="1398" w:type="pct"/>
          </w:tcPr>
          <w:p w14:paraId="5D4D5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158(100%)</w:t>
            </w:r>
          </w:p>
        </w:tc>
        <w:tc>
          <w:tcPr>
            <w:tcW w:w="630" w:type="pct"/>
            <w:vMerge w:val="continue"/>
          </w:tcPr>
          <w:p w14:paraId="65FBD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559" w:type="pct"/>
            <w:vMerge w:val="continue"/>
          </w:tcPr>
          <w:p w14:paraId="1B7F2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9F25B1A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1CA58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Smoking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50947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10(6.33%)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5B1EF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11(6.96%)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BCFB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0CE5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1.000</w:t>
            </w:r>
          </w:p>
        </w:tc>
      </w:tr>
      <w:tr w14:paraId="0E0E22E1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3F870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Drinking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4F624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7(4.43%)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4D081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6(3.80%)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FC39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490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1.000</w:t>
            </w:r>
          </w:p>
        </w:tc>
      </w:tr>
      <w:tr w14:paraId="05518982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3072B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Comorbidities</w:t>
            </w:r>
          </w:p>
        </w:tc>
        <w:tc>
          <w:tcPr>
            <w:tcW w:w="3997" w:type="pct"/>
            <w:gridSpan w:val="4"/>
          </w:tcPr>
          <w:p w14:paraId="53907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3C2956B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2C463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Hypertension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4BB62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60(37.97%)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754E2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52(32.91%)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4877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FED8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0.410</w:t>
            </w:r>
          </w:p>
        </w:tc>
      </w:tr>
      <w:tr w14:paraId="403E99E7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410FC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Diabetes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2F19C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26(16.46%)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716B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22(13.92%)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881E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92AC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0.639</w:t>
            </w:r>
          </w:p>
        </w:tc>
      </w:tr>
      <w:tr w14:paraId="0D0049E2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745C5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COPD</w:t>
            </w:r>
          </w:p>
        </w:tc>
        <w:tc>
          <w:tcPr>
            <w:tcW w:w="1409" w:type="pct"/>
          </w:tcPr>
          <w:p w14:paraId="39101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22 (13.92%)</w:t>
            </w:r>
          </w:p>
        </w:tc>
        <w:tc>
          <w:tcPr>
            <w:tcW w:w="1398" w:type="pct"/>
          </w:tcPr>
          <w:p w14:paraId="464E9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19 (12.03%)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3C28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</w:tcPr>
          <w:p w14:paraId="532A4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0.73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8</w:t>
            </w:r>
          </w:p>
        </w:tc>
      </w:tr>
      <w:tr w14:paraId="6EE2D387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0B348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IHD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19229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10(6.33%)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0010A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8(5.06%)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557E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A4D2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0.809</w:t>
            </w:r>
          </w:p>
        </w:tc>
      </w:tr>
      <w:tr w14:paraId="05EA53AC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6679F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Baseline</w:t>
            </w:r>
          </w:p>
        </w:tc>
        <w:tc>
          <w:tcPr>
            <w:tcW w:w="3997" w:type="pct"/>
            <w:gridSpan w:val="4"/>
          </w:tcPr>
          <w:p w14:paraId="1CB28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87708A4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6C70F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SBP (mm Hg)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2EF8F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127.00(118.00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136.00)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4115E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127.00(119.00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135.00)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5BBD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12266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BE1D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0.791</w:t>
            </w:r>
          </w:p>
        </w:tc>
      </w:tr>
      <w:tr w14:paraId="444C500F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  <w:jc w:val="center"/>
        </w:trPr>
        <w:tc>
          <w:tcPr>
            <w:tcW w:w="1002" w:type="pct"/>
          </w:tcPr>
          <w:p w14:paraId="5FDF6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DBP (mm Hg)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5E06D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75.00(69.00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81.00)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5A571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75.00(68.00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80.00)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26173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12199.5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D270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0.892</w:t>
            </w:r>
          </w:p>
        </w:tc>
      </w:tr>
      <w:tr w14:paraId="2478E3E4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1F19C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HR (bpm)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30A29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72.00(65.00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79.00)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65705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72.00(64.00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78.00)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3CAD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12233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B9E5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0.845</w:t>
            </w:r>
          </w:p>
        </w:tc>
      </w:tr>
      <w:tr w14:paraId="7B7D28FE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</w:tcPr>
          <w:p w14:paraId="310F9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SpO2 (%)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7DABC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97.00(97.00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98.00)</w:t>
            </w:r>
          </w:p>
        </w:tc>
        <w:tc>
          <w:tcPr>
            <w:tcW w:w="1398" w:type="pct"/>
            <w:shd w:val="clear" w:color="auto" w:fill="auto"/>
            <w:vAlign w:val="center"/>
          </w:tcPr>
          <w:p w14:paraId="12948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97.00(97.00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2F3F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11745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AAAE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0.235</w:t>
            </w:r>
          </w:p>
        </w:tc>
      </w:tr>
      <w:tr w14:paraId="24BF8E35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pct"/>
            <w:tcBorders>
              <w:bottom w:val="single" w:color="auto" w:sz="8" w:space="0"/>
            </w:tcBorders>
          </w:tcPr>
          <w:p w14:paraId="2B6B9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Gill Sans MT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RR(bpm)</w:t>
            </w:r>
          </w:p>
        </w:tc>
        <w:tc>
          <w:tcPr>
            <w:tcW w:w="1409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6203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18.00(18.00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18.00)</w:t>
            </w:r>
          </w:p>
        </w:tc>
        <w:tc>
          <w:tcPr>
            <w:tcW w:w="1398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FE48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18.00(18.00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18.00)</w:t>
            </w:r>
          </w:p>
        </w:tc>
        <w:tc>
          <w:tcPr>
            <w:tcW w:w="630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B34F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12324</w:t>
            </w:r>
          </w:p>
        </w:tc>
        <w:tc>
          <w:tcPr>
            <w:tcW w:w="559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B036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0.523</w:t>
            </w:r>
          </w:p>
        </w:tc>
      </w:tr>
    </w:tbl>
    <w:p w14:paraId="271C31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Data are presented as median (interquartile range) or number (%). P values for continuous variables were calculated using the Mann-Whitney U test; P values for categorical variables were calculated using Fisher's exact test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.BMI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body mass index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ASA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American Society of Anesthesiologists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COPD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chronic obstructive pulmonary disease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IHD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ischemic heart disease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DBP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diastolic blood pressure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SBP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systolic blood pressure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HR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heart rate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;SpO2 ,peripheral oxygen saturation ;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RR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respiratory rates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.</w:t>
      </w:r>
    </w:p>
    <w:p w14:paraId="2FF339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Table.2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Hypotension and hypoxemia</w:t>
      </w:r>
    </w:p>
    <w:tbl>
      <w:tblPr>
        <w:tblStyle w:val="4"/>
        <w:tblW w:w="8786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714"/>
        <w:gridCol w:w="1979"/>
        <w:gridCol w:w="1539"/>
        <w:gridCol w:w="2111"/>
      </w:tblGrid>
      <w:tr w14:paraId="27A9F8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bottom w:val="single" w:color="auto" w:sz="8" w:space="0"/>
            </w:tcBorders>
            <w:vAlign w:val="center"/>
          </w:tcPr>
          <w:p w14:paraId="028BE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1714" w:type="dxa"/>
            <w:tcBorders>
              <w:bottom w:val="single" w:color="auto" w:sz="8" w:space="0"/>
            </w:tcBorders>
            <w:vAlign w:val="center"/>
          </w:tcPr>
          <w:p w14:paraId="524EF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Group S</w:t>
            </w:r>
          </w:p>
        </w:tc>
        <w:tc>
          <w:tcPr>
            <w:tcW w:w="1979" w:type="dxa"/>
            <w:tcBorders>
              <w:bottom w:val="single" w:color="auto" w:sz="8" w:space="0"/>
            </w:tcBorders>
            <w:vAlign w:val="center"/>
          </w:tcPr>
          <w:p w14:paraId="7A59E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Group C</w:t>
            </w:r>
          </w:p>
        </w:tc>
        <w:tc>
          <w:tcPr>
            <w:tcW w:w="1539" w:type="dxa"/>
            <w:tcBorders>
              <w:bottom w:val="single" w:color="auto" w:sz="8" w:space="0"/>
            </w:tcBorders>
            <w:vAlign w:val="center"/>
          </w:tcPr>
          <w:p w14:paraId="26F26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 value</w:t>
            </w:r>
          </w:p>
        </w:tc>
        <w:tc>
          <w:tcPr>
            <w:tcW w:w="2111" w:type="dxa"/>
            <w:tcBorders>
              <w:bottom w:val="single" w:color="auto" w:sz="8" w:space="0"/>
            </w:tcBorders>
            <w:vAlign w:val="center"/>
          </w:tcPr>
          <w:p w14:paraId="2A63D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OR(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95%CI</w:t>
            </w: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)</w:t>
            </w:r>
          </w:p>
        </w:tc>
      </w:tr>
      <w:tr w14:paraId="64AF1A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5F506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T1</w:t>
            </w:r>
          </w:p>
        </w:tc>
        <w:tc>
          <w:tcPr>
            <w:tcW w:w="7343" w:type="dxa"/>
            <w:gridSpan w:val="4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FA45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508AF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561D8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28F5F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3B518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5（3.16%）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C9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0.21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01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0.20(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1.69)</w:t>
            </w:r>
          </w:p>
        </w:tc>
      </w:tr>
      <w:tr w14:paraId="2311A5B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5F765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5517C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6（3.80%）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21059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14（8.86%）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703DD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0.066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61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0.41(0.16—1.05)</w:t>
            </w:r>
          </w:p>
        </w:tc>
      </w:tr>
      <w:tr w14:paraId="1E7536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7DF29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343" w:type="dxa"/>
            <w:gridSpan w:val="4"/>
            <w:tcBorders>
              <w:tl2br w:val="nil"/>
              <w:tr2bl w:val="nil"/>
            </w:tcBorders>
            <w:vAlign w:val="center"/>
          </w:tcPr>
          <w:p w14:paraId="31FE8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3A8DC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2EDA9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66570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4B4A7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2（1.27%）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5BB52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26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0.50(0.05—5.50)</w:t>
            </w:r>
          </w:p>
        </w:tc>
      </w:tr>
      <w:tr w14:paraId="1D671F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32292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16014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1C6E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01B6F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vAlign w:val="center"/>
          </w:tcPr>
          <w:p w14:paraId="7F8F0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3.03（0.12—75.24）</w:t>
            </w:r>
          </w:p>
        </w:tc>
      </w:tr>
      <w:tr w14:paraId="37768B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02CDA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T3</w:t>
            </w:r>
          </w:p>
        </w:tc>
        <w:tc>
          <w:tcPr>
            <w:tcW w:w="7343" w:type="dxa"/>
            <w:gridSpan w:val="4"/>
            <w:tcBorders>
              <w:tl2br w:val="nil"/>
              <w:tr2bl w:val="nil"/>
            </w:tcBorders>
            <w:vAlign w:val="center"/>
          </w:tcPr>
          <w:p w14:paraId="2E0D5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</w:tr>
      <w:tr w14:paraId="2FCF68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D4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11E00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06EEE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2（1.27%）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32FD1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vAlign w:val="center"/>
          </w:tcPr>
          <w:p w14:paraId="01947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0.50(0.05—5.50)</w:t>
            </w:r>
          </w:p>
        </w:tc>
      </w:tr>
      <w:tr w14:paraId="77E4B2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6A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4F95B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0763C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189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72F9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70CFF1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46F65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T4</w:t>
            </w:r>
          </w:p>
        </w:tc>
        <w:tc>
          <w:tcPr>
            <w:tcW w:w="7343" w:type="dxa"/>
            <w:gridSpan w:val="4"/>
            <w:tcBorders>
              <w:tl2br w:val="nil"/>
              <w:tr2bl w:val="nil"/>
            </w:tcBorders>
            <w:vAlign w:val="center"/>
          </w:tcPr>
          <w:p w14:paraId="2B6A8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</w:tr>
      <w:tr w14:paraId="7F3980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A9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E09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4.43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48E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8.86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703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DE3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0.48(0.19—1.20)</w:t>
            </w:r>
          </w:p>
        </w:tc>
      </w:tr>
      <w:tr w14:paraId="283397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C7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A08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C5C6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790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A66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3.03（0.12—75.24）</w:t>
            </w:r>
          </w:p>
        </w:tc>
      </w:tr>
      <w:tr w14:paraId="3E14DB8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bottom w:val="single" w:color="auto" w:sz="8" w:space="0"/>
            </w:tcBorders>
            <w:vAlign w:val="center"/>
          </w:tcPr>
          <w:p w14:paraId="6AD69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1714" w:type="dxa"/>
            <w:tcBorders>
              <w:bottom w:val="single" w:color="auto" w:sz="8" w:space="0"/>
            </w:tcBorders>
            <w:vAlign w:val="center"/>
          </w:tcPr>
          <w:p w14:paraId="6CDF4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Group S</w:t>
            </w:r>
          </w:p>
        </w:tc>
        <w:tc>
          <w:tcPr>
            <w:tcW w:w="1979" w:type="dxa"/>
            <w:tcBorders>
              <w:bottom w:val="single" w:color="auto" w:sz="8" w:space="0"/>
            </w:tcBorders>
            <w:vAlign w:val="center"/>
          </w:tcPr>
          <w:p w14:paraId="08F02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Group C</w:t>
            </w:r>
          </w:p>
        </w:tc>
        <w:tc>
          <w:tcPr>
            <w:tcW w:w="1539" w:type="dxa"/>
            <w:tcBorders>
              <w:bottom w:val="single" w:color="auto" w:sz="8" w:space="0"/>
            </w:tcBorders>
            <w:vAlign w:val="center"/>
          </w:tcPr>
          <w:p w14:paraId="0C17F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 value</w:t>
            </w:r>
          </w:p>
        </w:tc>
        <w:tc>
          <w:tcPr>
            <w:tcW w:w="2111" w:type="dxa"/>
            <w:tcBorders>
              <w:bottom w:val="single" w:color="auto" w:sz="8" w:space="0"/>
            </w:tcBorders>
            <w:vAlign w:val="center"/>
          </w:tcPr>
          <w:p w14:paraId="17EA9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OR(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95%CI</w:t>
            </w: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)</w:t>
            </w:r>
          </w:p>
        </w:tc>
      </w:tr>
      <w:tr w14:paraId="3AC902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AE3F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T1</w:t>
            </w:r>
          </w:p>
        </w:tc>
        <w:tc>
          <w:tcPr>
            <w:tcW w:w="7343" w:type="dxa"/>
            <w:gridSpan w:val="4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6856B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1030B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716BB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222FF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6BD4F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5（3.16%）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09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0.21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25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0.20(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1.69)</w:t>
            </w:r>
          </w:p>
        </w:tc>
      </w:tr>
      <w:tr w14:paraId="5BE996A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2DE08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43509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6（3.80%）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2D74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14（8.86%）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3B41E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0.066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99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0.41(0.16—1.05)</w:t>
            </w:r>
          </w:p>
        </w:tc>
      </w:tr>
      <w:tr w14:paraId="03C102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68153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343" w:type="dxa"/>
            <w:gridSpan w:val="4"/>
            <w:tcBorders>
              <w:tl2br w:val="nil"/>
              <w:tr2bl w:val="nil"/>
            </w:tcBorders>
            <w:vAlign w:val="center"/>
          </w:tcPr>
          <w:p w14:paraId="1C31A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F5C30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12B26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3E13D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37996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2（1.27%）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7974F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71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0.50(0.05—5.50)</w:t>
            </w:r>
          </w:p>
        </w:tc>
      </w:tr>
      <w:tr w14:paraId="5A2D90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75A59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1251F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42E15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238D6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vAlign w:val="center"/>
          </w:tcPr>
          <w:p w14:paraId="4DA21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3.03（0.12—75.24）</w:t>
            </w:r>
          </w:p>
        </w:tc>
      </w:tr>
      <w:tr w14:paraId="7B4FCC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61492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T3</w:t>
            </w:r>
          </w:p>
        </w:tc>
        <w:tc>
          <w:tcPr>
            <w:tcW w:w="7343" w:type="dxa"/>
            <w:gridSpan w:val="4"/>
            <w:tcBorders>
              <w:tl2br w:val="nil"/>
              <w:tr2bl w:val="nil"/>
            </w:tcBorders>
            <w:vAlign w:val="center"/>
          </w:tcPr>
          <w:p w14:paraId="6221C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</w:tr>
      <w:tr w14:paraId="41FD0CB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6D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52DD3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05126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2（1.27%）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vAlign w:val="center"/>
          </w:tcPr>
          <w:p w14:paraId="03C56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vAlign w:val="center"/>
          </w:tcPr>
          <w:p w14:paraId="32E47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0.50(0.05—5.50)</w:t>
            </w:r>
          </w:p>
        </w:tc>
      </w:tr>
      <w:tr w14:paraId="496996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01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vAlign w:val="center"/>
          </w:tcPr>
          <w:p w14:paraId="1F319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vAlign w:val="center"/>
          </w:tcPr>
          <w:p w14:paraId="582A4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1D9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BB4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153C82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443" w:type="dxa"/>
            <w:tcBorders>
              <w:tl2br w:val="nil"/>
              <w:tr2bl w:val="nil"/>
            </w:tcBorders>
            <w:vAlign w:val="center"/>
          </w:tcPr>
          <w:p w14:paraId="1EA6F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T4</w:t>
            </w:r>
          </w:p>
        </w:tc>
        <w:tc>
          <w:tcPr>
            <w:tcW w:w="7343" w:type="dxa"/>
            <w:gridSpan w:val="4"/>
            <w:tcBorders>
              <w:tl2br w:val="nil"/>
              <w:tr2bl w:val="nil"/>
            </w:tcBorders>
            <w:vAlign w:val="center"/>
          </w:tcPr>
          <w:p w14:paraId="50C94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</w:tr>
      <w:tr w14:paraId="143F76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78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Hypotension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B6B2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4.43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%）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A68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8.86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69A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10D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0.48(0.19—1.20)</w:t>
            </w:r>
          </w:p>
        </w:tc>
      </w:tr>
      <w:tr w14:paraId="7AE0F4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16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ypoxemia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9F2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285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A0F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21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0E4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231F2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3.03（0.12—75.24）</w:t>
            </w:r>
          </w:p>
        </w:tc>
      </w:tr>
    </w:tbl>
    <w:p w14:paraId="4DC9B4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Table .3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Inspection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-related indices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ab/>
      </w:r>
    </w:p>
    <w:tbl>
      <w:tblPr>
        <w:tblStyle w:val="4"/>
        <w:tblpPr w:leftFromText="180" w:rightFromText="180" w:vertAnchor="text" w:horzAnchor="page" w:tblpX="763" w:tblpY="613"/>
        <w:tblOverlap w:val="never"/>
        <w:tblW w:w="6369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2596"/>
        <w:gridCol w:w="2596"/>
        <w:gridCol w:w="1230"/>
        <w:gridCol w:w="876"/>
        <w:gridCol w:w="2156"/>
      </w:tblGrid>
      <w:tr w14:paraId="320654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07" w:type="pct"/>
            <w:tcBorders>
              <w:bottom w:val="single" w:color="auto" w:sz="8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559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</w:rPr>
              <w:t>Variables</w:t>
            </w:r>
          </w:p>
        </w:tc>
        <w:tc>
          <w:tcPr>
            <w:tcW w:w="1250" w:type="pct"/>
            <w:tcBorders>
              <w:bottom w:val="single" w:color="auto" w:sz="8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20E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S</w:t>
            </w:r>
          </w:p>
        </w:tc>
        <w:tc>
          <w:tcPr>
            <w:tcW w:w="1269" w:type="pct"/>
            <w:tcBorders>
              <w:bottom w:val="single" w:color="auto" w:sz="8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2A5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C</w:t>
            </w:r>
          </w:p>
        </w:tc>
        <w:tc>
          <w:tcPr>
            <w:tcW w:w="563" w:type="pct"/>
            <w:tcBorders>
              <w:bottom w:val="single" w:color="auto" w:sz="8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91D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Statistical value</w:t>
            </w:r>
          </w:p>
        </w:tc>
        <w:tc>
          <w:tcPr>
            <w:tcW w:w="552" w:type="pct"/>
            <w:tcBorders>
              <w:bottom w:val="single" w:color="auto" w:sz="8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DA4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 xml:space="preserve"> value</w:t>
            </w:r>
          </w:p>
        </w:tc>
        <w:tc>
          <w:tcPr>
            <w:tcW w:w="556" w:type="pct"/>
            <w:tcBorders>
              <w:bottom w:val="single" w:color="auto" w:sz="8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4AA9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95%CI</w:t>
            </w:r>
          </w:p>
        </w:tc>
      </w:tr>
      <w:tr w14:paraId="1BE9941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A96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Induction time (s)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B48B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120.00(120.00—120.00)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991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140.00(140.00—150.00)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13E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24852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265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&lt; 0.001#</w:t>
            </w:r>
          </w:p>
        </w:tc>
        <w:tc>
          <w:tcPr>
            <w:tcW w:w="556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CFC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-20.00—-20.00</w:t>
            </w:r>
          </w:p>
        </w:tc>
      </w:tr>
      <w:tr w14:paraId="50C2F6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7178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First successful endoscopy procedure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92B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158(100%)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76E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150(94.94%)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BD1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  <w:tc>
          <w:tcPr>
            <w:tcW w:w="552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6E6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07#</w:t>
            </w:r>
          </w:p>
        </w:tc>
        <w:tc>
          <w:tcPr>
            <w:tcW w:w="556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603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17.90(1.02—311.88</w:t>
            </w:r>
          </w:p>
        </w:tc>
      </w:tr>
      <w:tr w14:paraId="7606C5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60E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Dosage of propofol(mg)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8414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125.00(120.00—140.00)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B537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150.00(140.00—160.00)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03C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20907.5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8E3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&lt; 0.001#</w:t>
            </w:r>
          </w:p>
        </w:tc>
        <w:tc>
          <w:tcPr>
            <w:tcW w:w="556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68D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-40.00—-20.00</w:t>
            </w:r>
          </w:p>
        </w:tc>
      </w:tr>
      <w:tr w14:paraId="21A5AC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9B6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Anesthesia duration(min)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23E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27.00(25.00—30.00)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310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28.00(26.00—32.00)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714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14040.5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BBC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0.054</w:t>
            </w:r>
          </w:p>
        </w:tc>
        <w:tc>
          <w:tcPr>
            <w:tcW w:w="556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5C2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-4.00—0.00</w:t>
            </w:r>
          </w:p>
        </w:tc>
      </w:tr>
      <w:tr w14:paraId="7AE816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9C6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Inspection duration(min)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EFC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21.00(19.00—2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15C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22.50 (20.00— 26.00)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EBF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11331.0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6067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0.155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B6C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-3.14—0.23</w:t>
            </w:r>
          </w:p>
        </w:tc>
      </w:tr>
      <w:tr w14:paraId="77464A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vMerge w:val="restar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D1D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Inspection model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AD1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Treat:37(23.42%)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133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Treat:34(21.52%)</w:t>
            </w:r>
          </w:p>
        </w:tc>
        <w:tc>
          <w:tcPr>
            <w:tcW w:w="563" w:type="pct"/>
            <w:vMerge w:val="restar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B7A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  <w:tc>
          <w:tcPr>
            <w:tcW w:w="552" w:type="pct"/>
            <w:vMerge w:val="restar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C60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0.788</w:t>
            </w:r>
          </w:p>
        </w:tc>
        <w:tc>
          <w:tcPr>
            <w:tcW w:w="556" w:type="pct"/>
            <w:vMerge w:val="restar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A45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0.90（0.53—1.52）</w:t>
            </w:r>
          </w:p>
        </w:tc>
      </w:tr>
      <w:tr w14:paraId="1CC798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vMerge w:val="continue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BDD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7B0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Check:121(76.58%)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A8BF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Check:124(78.48%)</w:t>
            </w:r>
          </w:p>
        </w:tc>
        <w:tc>
          <w:tcPr>
            <w:tcW w:w="563" w:type="pct"/>
            <w:vMerge w:val="continue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B49B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2" w:type="pct"/>
            <w:vMerge w:val="continue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5CF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6" w:type="pct"/>
            <w:vMerge w:val="continue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D94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</w:p>
        </w:tc>
      </w:tr>
      <w:tr w14:paraId="6275E2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95A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Number of instances of vascular active drug use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1C9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9(5.70%)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247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18(11.39%)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BEC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  <w:tc>
          <w:tcPr>
            <w:tcW w:w="552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8E0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0.106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83C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0.47（0.20—1.08）</w:t>
            </w:r>
          </w:p>
        </w:tc>
      </w:tr>
      <w:tr w14:paraId="25B25A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62E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Endoscopist satisfaction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709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5.00(5.00—5.00)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8AE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5.00(5.00—5.00)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1860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12719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.0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BA9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617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C3F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-0.06—0.09</w:t>
            </w:r>
          </w:p>
        </w:tc>
      </w:tr>
      <w:tr w14:paraId="64E91E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389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Awaking time(min)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EF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2.00(2.00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9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2.00(2.00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1C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13948.5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291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0DA6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0.00—0.00</w:t>
            </w:r>
          </w:p>
        </w:tc>
      </w:tr>
      <w:tr w14:paraId="2D4F00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BDD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rientation recovery time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47F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0(25.00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33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0(25.00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D23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12482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D7A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</w:t>
            </w:r>
          </w:p>
        </w:tc>
        <w:tc>
          <w:tcPr>
            <w:tcW w:w="556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67A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0.00— 0.00</w:t>
            </w:r>
          </w:p>
        </w:tc>
      </w:tr>
      <w:tr w14:paraId="0EE47C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07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B69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Patient Satisfaction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10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5.00(5.00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5.00)</w:t>
            </w:r>
          </w:p>
        </w:tc>
        <w:tc>
          <w:tcPr>
            <w:tcW w:w="1269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03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5.00(5.00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5.00)</w:t>
            </w:r>
          </w:p>
        </w:tc>
        <w:tc>
          <w:tcPr>
            <w:tcW w:w="563" w:type="pct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FE3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12640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62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0.158</w:t>
            </w:r>
          </w:p>
        </w:tc>
        <w:tc>
          <w:tcPr>
            <w:tcW w:w="556" w:type="pc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C0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-0.04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  <w:p w14:paraId="4D6DE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</w:t>
            </w:r>
          </w:p>
        </w:tc>
      </w:tr>
    </w:tbl>
    <w:p w14:paraId="0F465F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Data are presented as median(P25</w:t>
      </w:r>
      <w:r>
        <w:rPr>
          <w:rFonts w:hint="default" w:ascii="Times New Roman" w:hAnsi="Times New Roman" w:cs="Times New Roman"/>
          <w:b w:val="0"/>
          <w:bCs w:val="0"/>
          <w:color w:val="231F20"/>
          <w:spacing w:val="0"/>
          <w:position w:val="0"/>
          <w:sz w:val="24"/>
          <w:szCs w:val="24"/>
          <w:lang w:val="en-US" w:eastAsia="zh-CN"/>
        </w:rPr>
        <w:t>—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P75), or number (%).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P values for continuous variables were calculated using the Mann-Whitney U test; P values for categorical variables were calculated using Fisher's exact test. Effect sizes are presented as median difference (95% CI) for continuous variables and odds ratio (95% CI) for binary outcomes.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#P&lt;0.05 compared with group C.</w:t>
      </w:r>
    </w:p>
    <w:p w14:paraId="303050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Table.4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Adverse events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751"/>
        <w:gridCol w:w="1920"/>
        <w:gridCol w:w="1225"/>
        <w:gridCol w:w="1937"/>
      </w:tblGrid>
      <w:tr w14:paraId="743DE8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0" w:type="dxa"/>
            <w:tcBorders>
              <w:bottom w:val="single" w:color="auto" w:sz="8" w:space="0"/>
            </w:tcBorders>
            <w:vAlign w:val="center"/>
          </w:tcPr>
          <w:p w14:paraId="439A4C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</w:rPr>
              <w:t>Variables</w:t>
            </w:r>
          </w:p>
        </w:tc>
        <w:tc>
          <w:tcPr>
            <w:tcW w:w="1751" w:type="dxa"/>
            <w:tcBorders>
              <w:bottom w:val="single" w:color="auto" w:sz="8" w:space="0"/>
            </w:tcBorders>
            <w:vAlign w:val="center"/>
          </w:tcPr>
          <w:p w14:paraId="67553C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S</w:t>
            </w:r>
          </w:p>
        </w:tc>
        <w:tc>
          <w:tcPr>
            <w:tcW w:w="1920" w:type="dxa"/>
            <w:tcBorders>
              <w:bottom w:val="single" w:color="auto" w:sz="8" w:space="0"/>
            </w:tcBorders>
            <w:vAlign w:val="center"/>
          </w:tcPr>
          <w:p w14:paraId="44FB8B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C</w:t>
            </w:r>
          </w:p>
        </w:tc>
        <w:tc>
          <w:tcPr>
            <w:tcW w:w="1225" w:type="dxa"/>
            <w:tcBorders>
              <w:bottom w:val="single" w:color="auto" w:sz="8" w:space="0"/>
            </w:tcBorders>
            <w:vAlign w:val="center"/>
          </w:tcPr>
          <w:p w14:paraId="0EB743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value</w:t>
            </w:r>
          </w:p>
        </w:tc>
        <w:tc>
          <w:tcPr>
            <w:tcW w:w="1937" w:type="dxa"/>
            <w:tcBorders>
              <w:bottom w:val="single" w:color="auto" w:sz="8" w:space="0"/>
            </w:tcBorders>
            <w:vAlign w:val="center"/>
          </w:tcPr>
          <w:p w14:paraId="6AA3A7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OR(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95%CI</w:t>
            </w: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)</w:t>
            </w:r>
          </w:p>
        </w:tc>
      </w:tr>
      <w:tr w14:paraId="2BF024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0" w:type="dxa"/>
            <w:tcBorders>
              <w:tl2br w:val="nil"/>
              <w:tr2bl w:val="nil"/>
            </w:tcBorders>
            <w:vAlign w:val="center"/>
          </w:tcPr>
          <w:p w14:paraId="5C7A38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Bucking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center"/>
          </w:tcPr>
          <w:p w14:paraId="283BBBB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10(6.33%)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vAlign w:val="center"/>
          </w:tcPr>
          <w:p w14:paraId="4807A6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22(13.92%)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E60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039*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71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0.42（0.19—0.91）</w:t>
            </w:r>
          </w:p>
        </w:tc>
      </w:tr>
      <w:tr w14:paraId="0A094E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0" w:type="dxa"/>
            <w:tcBorders>
              <w:tl2br w:val="nil"/>
              <w:tr2bl w:val="nil"/>
            </w:tcBorders>
            <w:vAlign w:val="center"/>
          </w:tcPr>
          <w:p w14:paraId="160ABB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Body movement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center"/>
          </w:tcPr>
          <w:p w14:paraId="212768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22（13.92%）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vAlign w:val="center"/>
          </w:tcPr>
          <w:p w14:paraId="1DF562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34（21.52%）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B9C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32D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0.59（0.35—1.01）</w:t>
            </w:r>
          </w:p>
        </w:tc>
      </w:tr>
      <w:tr w14:paraId="4F6B61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0" w:type="dxa"/>
            <w:tcBorders>
              <w:tl2br w:val="nil"/>
              <w:tr2bl w:val="nil"/>
            </w:tcBorders>
            <w:vAlign w:val="center"/>
          </w:tcPr>
          <w:p w14:paraId="580E847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Dizziness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center"/>
          </w:tcPr>
          <w:p w14:paraId="4A6F2BB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13（8.23%）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vAlign w:val="center"/>
          </w:tcPr>
          <w:p w14:paraId="666806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6（3.80%）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E51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0.060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76A5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2.27（0.89—5.81）</w:t>
            </w:r>
          </w:p>
        </w:tc>
      </w:tr>
      <w:tr w14:paraId="471110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0" w:type="dxa"/>
            <w:tcBorders>
              <w:tl2br w:val="nil"/>
              <w:tr2bl w:val="nil"/>
            </w:tcBorders>
            <w:vAlign w:val="center"/>
          </w:tcPr>
          <w:p w14:paraId="70AC6B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Nausea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center"/>
          </w:tcPr>
          <w:p w14:paraId="67EDD1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5（3.16%）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vAlign w:val="center"/>
          </w:tcPr>
          <w:p w14:paraId="7F2B10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3（1.90%）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3B9524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0.7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38CCE5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1.69（0.40—7.13）</w:t>
            </w:r>
          </w:p>
        </w:tc>
      </w:tr>
      <w:tr w14:paraId="515B32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0" w:type="dxa"/>
            <w:tcBorders>
              <w:tl2br w:val="nil"/>
              <w:tr2bl w:val="nil"/>
            </w:tcBorders>
            <w:vAlign w:val="center"/>
          </w:tcPr>
          <w:p w14:paraId="0F7C8EE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Vomiting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center"/>
          </w:tcPr>
          <w:p w14:paraId="73D807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1（0.63%）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vAlign w:val="center"/>
          </w:tcPr>
          <w:p w14:paraId="2AE739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4672C4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3AD95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3.03（0.12—75.24）</w:t>
            </w:r>
          </w:p>
        </w:tc>
      </w:tr>
      <w:tr w14:paraId="75E2CF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0" w:type="dxa"/>
            <w:tcBorders>
              <w:tl2br w:val="nil"/>
              <w:tr2bl w:val="nil"/>
            </w:tcBorders>
            <w:vAlign w:val="center"/>
          </w:tcPr>
          <w:p w14:paraId="69F8490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Excessive oral secretion</w:t>
            </w:r>
          </w:p>
        </w:tc>
        <w:tc>
          <w:tcPr>
            <w:tcW w:w="1751" w:type="dxa"/>
            <w:tcBorders>
              <w:tl2br w:val="nil"/>
              <w:tr2bl w:val="nil"/>
            </w:tcBorders>
            <w:vAlign w:val="center"/>
          </w:tcPr>
          <w:p w14:paraId="39A96F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vAlign w:val="center"/>
          </w:tcPr>
          <w:p w14:paraId="1F2970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 w14:paraId="4924EC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66A82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</w:tbl>
    <w:p w14:paraId="478CE6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Data are presented as number (%). All between-group comparisons adopted two-sided Fisher’s exact test. OR = odds ratio, 95% CI = 95% confidence interval. For 2×2 contingency tables containing zero event cells, Haldane continuity correction (0.5 added to all four cells) was applied to calculate OR and 95% CI; uncorrected Woolf’s method was used for tables without zero cells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*P&lt;0.05 compared with group C</w:t>
      </w:r>
    </w:p>
    <w:p w14:paraId="44D16E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Table.5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 Psychoactive effects</w:t>
      </w:r>
    </w:p>
    <w:tbl>
      <w:tblPr>
        <w:tblStyle w:val="4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742"/>
        <w:gridCol w:w="1963"/>
        <w:gridCol w:w="1474"/>
        <w:gridCol w:w="1520"/>
      </w:tblGrid>
      <w:tr w14:paraId="7E1F06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554184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</w:rPr>
              <w:t>Variables</w:t>
            </w:r>
          </w:p>
        </w:tc>
        <w:tc>
          <w:tcPr>
            <w:tcW w:w="1742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6FCC34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S</w:t>
            </w:r>
          </w:p>
        </w:tc>
        <w:tc>
          <w:tcPr>
            <w:tcW w:w="1963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4C5A60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Group C</w:t>
            </w:r>
          </w:p>
        </w:tc>
        <w:tc>
          <w:tcPr>
            <w:tcW w:w="1474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46514F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 xml:space="preserve"> value</w:t>
            </w:r>
          </w:p>
        </w:tc>
        <w:tc>
          <w:tcPr>
            <w:tcW w:w="1520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7AE983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OR(</w:t>
            </w:r>
            <w:r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95%CI</w:t>
            </w:r>
            <w:r>
              <w:rPr>
                <w:rFonts w:hint="eastAsia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)</w:t>
            </w:r>
          </w:p>
        </w:tc>
      </w:tr>
      <w:tr w14:paraId="7B63EC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0" w:type="dxa"/>
            <w:tcBorders>
              <w:top w:val="single" w:color="auto" w:sz="8" w:space="0"/>
            </w:tcBorders>
            <w:vAlign w:val="center"/>
          </w:tcPr>
          <w:p w14:paraId="6C22ED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Tremor</w:t>
            </w:r>
          </w:p>
        </w:tc>
        <w:tc>
          <w:tcPr>
            <w:tcW w:w="1742" w:type="dxa"/>
            <w:tcBorders>
              <w:top w:val="single" w:color="auto" w:sz="8" w:space="0"/>
            </w:tcBorders>
            <w:vAlign w:val="center"/>
          </w:tcPr>
          <w:p w14:paraId="7264E2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963" w:type="dxa"/>
            <w:tcBorders>
              <w:top w:val="single" w:color="auto" w:sz="8" w:space="0"/>
            </w:tcBorders>
            <w:vAlign w:val="center"/>
          </w:tcPr>
          <w:p w14:paraId="5EC799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474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5DE94B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52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5EEC6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145AF2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  <w:vAlign w:val="center"/>
          </w:tcPr>
          <w:p w14:paraId="4D5DB3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Lacrimation</w:t>
            </w:r>
          </w:p>
        </w:tc>
        <w:tc>
          <w:tcPr>
            <w:tcW w:w="1742" w:type="dxa"/>
            <w:vAlign w:val="center"/>
          </w:tcPr>
          <w:p w14:paraId="2AA1AB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%）</w:t>
            </w:r>
          </w:p>
        </w:tc>
        <w:tc>
          <w:tcPr>
            <w:tcW w:w="1963" w:type="dxa"/>
            <w:vAlign w:val="center"/>
          </w:tcPr>
          <w:p w14:paraId="3E3E3E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73BF7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2A0C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2EF1CE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  <w:vAlign w:val="center"/>
          </w:tcPr>
          <w:p w14:paraId="7E1CF7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Agitation</w:t>
            </w:r>
          </w:p>
        </w:tc>
        <w:tc>
          <w:tcPr>
            <w:tcW w:w="1742" w:type="dxa"/>
            <w:vAlign w:val="center"/>
          </w:tcPr>
          <w:p w14:paraId="41BB93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963" w:type="dxa"/>
            <w:vAlign w:val="center"/>
          </w:tcPr>
          <w:p w14:paraId="04715E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D1D76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2CC82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52BF45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  <w:vAlign w:val="center"/>
          </w:tcPr>
          <w:p w14:paraId="2658D9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Nightmare</w:t>
            </w:r>
          </w:p>
        </w:tc>
        <w:tc>
          <w:tcPr>
            <w:tcW w:w="1742" w:type="dxa"/>
            <w:vAlign w:val="center"/>
          </w:tcPr>
          <w:p w14:paraId="4D0A68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963" w:type="dxa"/>
            <w:vAlign w:val="center"/>
          </w:tcPr>
          <w:p w14:paraId="3C10C2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474" w:type="dxa"/>
            <w:vAlign w:val="center"/>
          </w:tcPr>
          <w:p w14:paraId="325A7B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520" w:type="dxa"/>
            <w:vAlign w:val="center"/>
          </w:tcPr>
          <w:p w14:paraId="3351B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329111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  <w:vAlign w:val="center"/>
          </w:tcPr>
          <w:p w14:paraId="1CAA94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Hallucination</w:t>
            </w:r>
          </w:p>
        </w:tc>
        <w:tc>
          <w:tcPr>
            <w:tcW w:w="1742" w:type="dxa"/>
            <w:vAlign w:val="center"/>
          </w:tcPr>
          <w:p w14:paraId="14BCA5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963" w:type="dxa"/>
            <w:vAlign w:val="center"/>
          </w:tcPr>
          <w:p w14:paraId="56B6AB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474" w:type="dxa"/>
            <w:vAlign w:val="center"/>
          </w:tcPr>
          <w:p w14:paraId="7799F5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520" w:type="dxa"/>
            <w:vAlign w:val="center"/>
          </w:tcPr>
          <w:p w14:paraId="30C0D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6C510B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  <w:vAlign w:val="center"/>
          </w:tcPr>
          <w:p w14:paraId="20562B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Delirium</w:t>
            </w:r>
          </w:p>
        </w:tc>
        <w:tc>
          <w:tcPr>
            <w:tcW w:w="1742" w:type="dxa"/>
            <w:vAlign w:val="center"/>
          </w:tcPr>
          <w:p w14:paraId="3E4E51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963" w:type="dxa"/>
            <w:vAlign w:val="center"/>
          </w:tcPr>
          <w:p w14:paraId="05EC78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474" w:type="dxa"/>
            <w:vAlign w:val="center"/>
          </w:tcPr>
          <w:p w14:paraId="16DBB7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520" w:type="dxa"/>
            <w:vAlign w:val="center"/>
          </w:tcPr>
          <w:p w14:paraId="39BBA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  <w:tr w14:paraId="78CCC0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  <w:vAlign w:val="center"/>
          </w:tcPr>
          <w:p w14:paraId="1C0541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Tristimania</w:t>
            </w:r>
          </w:p>
        </w:tc>
        <w:tc>
          <w:tcPr>
            <w:tcW w:w="1742" w:type="dxa"/>
            <w:vAlign w:val="center"/>
          </w:tcPr>
          <w:p w14:paraId="0C98AC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963" w:type="dxa"/>
            <w:vAlign w:val="center"/>
          </w:tcPr>
          <w:p w14:paraId="1A1731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0（0%）</w:t>
            </w:r>
          </w:p>
        </w:tc>
        <w:tc>
          <w:tcPr>
            <w:tcW w:w="1474" w:type="dxa"/>
            <w:vAlign w:val="center"/>
          </w:tcPr>
          <w:p w14:paraId="798609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1.000</w:t>
            </w:r>
          </w:p>
        </w:tc>
        <w:tc>
          <w:tcPr>
            <w:tcW w:w="1520" w:type="dxa"/>
            <w:vAlign w:val="center"/>
          </w:tcPr>
          <w:p w14:paraId="763642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line="480" w:lineRule="auto"/>
              <w:ind w:left="0" w:firstLine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231F20"/>
                <w:spacing w:val="0"/>
                <w:position w:val="0"/>
                <w:sz w:val="24"/>
                <w:szCs w:val="24"/>
                <w:lang w:val="en-US" w:eastAsia="zh-CN"/>
              </w:rPr>
              <w:t>—</w:t>
            </w:r>
          </w:p>
        </w:tc>
      </w:tr>
    </w:tbl>
    <w:p w14:paraId="241FF3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line="48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Data are presented as number (%).All between-group comparisons adopted two-sided Fisher’s exact test. No psychotomimetic adverse events occurred in either group across all endpoints, so OR and 95% CI could not be mathematically estimated.</w:t>
      </w:r>
    </w:p>
    <w:p w14:paraId="35AA11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ill Sans MT">
    <w:panose1 w:val="020B0502020104020203"/>
    <w:charset w:val="00"/>
    <w:family w:val="auto"/>
    <w:pitch w:val="default"/>
    <w:sig w:usb0="00000003" w:usb1="00000000" w:usb2="00000000" w:usb3="00000000" w:csb0="20000003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77C23"/>
    <w:rsid w:val="00FD4987"/>
    <w:rsid w:val="048235F4"/>
    <w:rsid w:val="062654E0"/>
    <w:rsid w:val="063E67B0"/>
    <w:rsid w:val="07D06AD3"/>
    <w:rsid w:val="09865524"/>
    <w:rsid w:val="0AA91A92"/>
    <w:rsid w:val="0C5544C3"/>
    <w:rsid w:val="0CE16E76"/>
    <w:rsid w:val="0CFD0DF3"/>
    <w:rsid w:val="0EBC72D9"/>
    <w:rsid w:val="10D546A1"/>
    <w:rsid w:val="14C722CD"/>
    <w:rsid w:val="194C1213"/>
    <w:rsid w:val="1AD9231A"/>
    <w:rsid w:val="1AEC13A2"/>
    <w:rsid w:val="1D174EF5"/>
    <w:rsid w:val="1E4B1E8B"/>
    <w:rsid w:val="1E6E1520"/>
    <w:rsid w:val="201327E2"/>
    <w:rsid w:val="27404225"/>
    <w:rsid w:val="275F45FF"/>
    <w:rsid w:val="27827B70"/>
    <w:rsid w:val="29AF6494"/>
    <w:rsid w:val="2A0B5ACA"/>
    <w:rsid w:val="2A190713"/>
    <w:rsid w:val="2AA9334B"/>
    <w:rsid w:val="2CE96B0D"/>
    <w:rsid w:val="2E5B6EE3"/>
    <w:rsid w:val="2F505C46"/>
    <w:rsid w:val="2FA03D7F"/>
    <w:rsid w:val="33802921"/>
    <w:rsid w:val="350F5CEC"/>
    <w:rsid w:val="37F8330F"/>
    <w:rsid w:val="384E7EAA"/>
    <w:rsid w:val="385221AD"/>
    <w:rsid w:val="3EAC17C2"/>
    <w:rsid w:val="42864817"/>
    <w:rsid w:val="455863FB"/>
    <w:rsid w:val="45BC1962"/>
    <w:rsid w:val="47BA52AA"/>
    <w:rsid w:val="47CB6E26"/>
    <w:rsid w:val="48AA27C5"/>
    <w:rsid w:val="4F3174E4"/>
    <w:rsid w:val="569D083D"/>
    <w:rsid w:val="57555BB4"/>
    <w:rsid w:val="5AC22949"/>
    <w:rsid w:val="5D306102"/>
    <w:rsid w:val="5E6B46DB"/>
    <w:rsid w:val="60A05A79"/>
    <w:rsid w:val="60D3023C"/>
    <w:rsid w:val="62A534B4"/>
    <w:rsid w:val="637D302A"/>
    <w:rsid w:val="70DC3809"/>
    <w:rsid w:val="736D0B63"/>
    <w:rsid w:val="74AB5910"/>
    <w:rsid w:val="74B54C0C"/>
    <w:rsid w:val="751971E9"/>
    <w:rsid w:val="76A32C6E"/>
    <w:rsid w:val="77D20396"/>
    <w:rsid w:val="77E15619"/>
    <w:rsid w:val="786A13FA"/>
    <w:rsid w:val="7B5C3C96"/>
    <w:rsid w:val="7DAE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602</Words>
  <Characters>3431</Characters>
  <Lines>0</Lines>
  <Paragraphs>0</Paragraphs>
  <TotalTime>0</TotalTime>
  <ScaleCrop>false</ScaleCrop>
  <LinksUpToDate>false</LinksUpToDate>
  <CharactersWithSpaces>3617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2025-02-12T13:45:00Z</dcterms:created>
  <dc:creator>lenovo</dc:creator>
  <cp:lastModifiedBy>李相儒</cp:lastModifiedBy>
  <dcterms:modified xsi:type="dcterms:W3CDTF">2026-08-06T02:29:57Z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34BD83CD198146DE84467C772507BD9E_12</vt:lpwstr>
  </property>
  <property fmtid="{D5CDD505-2E9C-101B-9397-08002B2CF9AE}" pid="4" name="KSOTemplateDocerSaveRecord">
    <vt:lpwstr>eyJoZGlkIjoiZTMyOTUzODQxY2ZmYjZhYjE0MjEyZGUzYTllZmI0YTYiLCJ1c2VySWQiOiI1MTE3NDc0NzYifQ==</vt:lpwstr>
  </property>
</Properties>
</file>