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DC9E44" w14:textId="77777777" w:rsidR="00A011D4" w:rsidRDefault="00000000">
      <w:pPr>
        <w:spacing w:after="60" w:line="276" w:lineRule="auto"/>
      </w:pPr>
      <w:r>
        <w:rPr>
          <w:b/>
          <w:bCs/>
          <w:sz w:val="26"/>
          <w:szCs w:val="26"/>
        </w:rPr>
        <w:t>Online Resource 2</w:t>
      </w:r>
    </w:p>
    <w:p w14:paraId="3FB04E27" w14:textId="77777777" w:rsidR="00A011D4" w:rsidRDefault="00000000">
      <w:pPr>
        <w:spacing w:after="200" w:line="276" w:lineRule="auto"/>
      </w:pPr>
      <w:r>
        <w:rPr>
          <w:b/>
          <w:bCs/>
          <w:sz w:val="22"/>
          <w:szCs w:val="22"/>
        </w:rPr>
        <w:t>Between-country differences in awareness, communication, and attitudes</w:t>
      </w:r>
    </w:p>
    <w:p w14:paraId="69B2F187" w14:textId="77777777" w:rsidR="00A011D4" w:rsidRDefault="00000000">
      <w:pPr>
        <w:spacing w:after="200" w:line="276" w:lineRule="auto"/>
      </w:pPr>
      <w:r>
        <w:rPr>
          <w:sz w:val="20"/>
          <w:szCs w:val="20"/>
        </w:rPr>
        <w:t>Pearson χ² tests of homogeneity across the five countries contributing more than 100 respondents (United Kingdom, Germany, France, Italy, Spain). P values are Holm–Bonferroni adjusted across the seven pre-specified single-choice comparisons. Cramér V ≈ 0.1 / 0.3 / 0.5 denotes a small / medium / large effect.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800"/>
        <w:gridCol w:w="800"/>
        <w:gridCol w:w="600"/>
        <w:gridCol w:w="1200"/>
        <w:gridCol w:w="1200"/>
        <w:gridCol w:w="1100"/>
      </w:tblGrid>
      <w:tr w:rsidR="00A011D4" w14:paraId="703932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0E8AD33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Survey item (single choice)</w:t>
            </w:r>
          </w:p>
        </w:tc>
        <w:tc>
          <w:tcPr>
            <w:tcW w:w="8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49393F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Base</w:t>
            </w:r>
          </w:p>
        </w:tc>
        <w:tc>
          <w:tcPr>
            <w:tcW w:w="8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925F6D0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χ²</w:t>
            </w:r>
          </w:p>
        </w:tc>
        <w:tc>
          <w:tcPr>
            <w:tcW w:w="6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07A43A1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df</w:t>
            </w:r>
          </w:p>
        </w:tc>
        <w:tc>
          <w:tcPr>
            <w:tcW w:w="12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816EEC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P (raw)</w:t>
            </w:r>
          </w:p>
        </w:tc>
        <w:tc>
          <w:tcPr>
            <w:tcW w:w="12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89421A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P (Holm)</w:t>
            </w:r>
          </w:p>
        </w:tc>
        <w:tc>
          <w:tcPr>
            <w:tcW w:w="11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B9CEA4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Cramér V</w:t>
            </w:r>
          </w:p>
        </w:tc>
      </w:tr>
      <w:tr w:rsidR="00A011D4" w14:paraId="0566C8D1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D4CCF07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Heard the term “combination therapy”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6AF2BD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1,026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930B675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46.2</w:t>
            </w: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D495ED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885C65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2.2 × 10⁻⁷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4D6A7A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1.1 × 10⁻⁶</w:t>
            </w:r>
          </w:p>
        </w:tc>
        <w:tc>
          <w:tcPr>
            <w:tcW w:w="1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8FAB7B7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0.15</w:t>
            </w:r>
          </w:p>
        </w:tc>
      </w:tr>
      <w:tr w:rsidR="00A011D4" w14:paraId="2E934CC7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32AB87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Oncologist discussed a combination approach</w:t>
            </w:r>
          </w:p>
        </w:tc>
        <w:tc>
          <w:tcPr>
            <w:tcW w:w="8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EB3D52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952</w:t>
            </w:r>
          </w:p>
        </w:tc>
        <w:tc>
          <w:tcPr>
            <w:tcW w:w="8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9C667B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42.3</w:t>
            </w:r>
          </w:p>
        </w:tc>
        <w:tc>
          <w:tcPr>
            <w:tcW w:w="6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B14418A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23489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1.2 × 10⁻⁶</w:t>
            </w:r>
          </w:p>
        </w:tc>
        <w:tc>
          <w:tcPr>
            <w:tcW w:w="12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A398B4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4.7 × 10⁻⁶</w:t>
            </w:r>
          </w:p>
        </w:tc>
        <w:tc>
          <w:tcPr>
            <w:tcW w:w="11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25E372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0.15</w:t>
            </w:r>
          </w:p>
        </w:tc>
      </w:tr>
      <w:tr w:rsidR="00A011D4" w14:paraId="273CB80B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3F54941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Wants more information from the oncologist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4083015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952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297DEE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63.9</w:t>
            </w: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7D0E74F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4467EFE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7.9 × 10⁻¹¹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F82A013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5.5 × 10⁻¹⁰</w:t>
            </w:r>
          </w:p>
        </w:tc>
        <w:tc>
          <w:tcPr>
            <w:tcW w:w="1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143F5E3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0.18</w:t>
            </w:r>
          </w:p>
        </w:tc>
      </w:tr>
      <w:tr w:rsidR="00A011D4" w14:paraId="1ED8FF95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6D48C6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Underwent biomarker testing</w:t>
            </w:r>
          </w:p>
        </w:tc>
        <w:tc>
          <w:tcPr>
            <w:tcW w:w="8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E8DC3E8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FA19A1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25.5</w:t>
            </w:r>
          </w:p>
        </w:tc>
        <w:tc>
          <w:tcPr>
            <w:tcW w:w="6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A0182E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CC515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.0013</w:t>
            </w:r>
          </w:p>
        </w:tc>
        <w:tc>
          <w:tcPr>
            <w:tcW w:w="12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E58312B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.0013</w:t>
            </w:r>
          </w:p>
        </w:tc>
        <w:tc>
          <w:tcPr>
            <w:tcW w:w="11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86326EC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0.12</w:t>
            </w:r>
          </w:p>
        </w:tc>
      </w:tr>
      <w:tr w:rsidR="00A011D4" w14:paraId="149ACE41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D1B46D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Aware testing informed treatment choice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035D0A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151F3F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28.9</w:t>
            </w: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5CB33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5329A7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.00034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671D71E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.00067</w:t>
            </w:r>
          </w:p>
        </w:tc>
        <w:tc>
          <w:tcPr>
            <w:tcW w:w="1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565F82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0.13</w:t>
            </w:r>
          </w:p>
        </w:tc>
      </w:tr>
      <w:tr w:rsidR="00A011D4" w14:paraId="45BB3EF8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1E746CB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Most valued potential benefit</w:t>
            </w:r>
          </w:p>
        </w:tc>
        <w:tc>
          <w:tcPr>
            <w:tcW w:w="8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938F8B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7F6B15E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47.2</w:t>
            </w:r>
          </w:p>
        </w:tc>
        <w:tc>
          <w:tcPr>
            <w:tcW w:w="6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DFF564F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9F1BDF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4.3 × 10⁻⁶</w:t>
            </w:r>
          </w:p>
        </w:tc>
        <w:tc>
          <w:tcPr>
            <w:tcW w:w="12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FD079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1.3 × 10⁻⁵</w:t>
            </w:r>
          </w:p>
        </w:tc>
        <w:tc>
          <w:tcPr>
            <w:tcW w:w="1100" w:type="dxa"/>
            <w:shd w:val="clear" w:color="auto" w:fill="F5F7FB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17F914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0.13</w:t>
            </w:r>
          </w:p>
        </w:tc>
      </w:tr>
      <w:tr w:rsidR="00A011D4" w14:paraId="05D3583F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B6B8D9B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Willingness to self-fund a non-reimbursed CT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244129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1E4912C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61.7</w:t>
            </w: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A1FF35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C84CE6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1.1 × 10⁻⁸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3AF9AF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6.7 × 10⁻⁸</w:t>
            </w:r>
          </w:p>
        </w:tc>
        <w:tc>
          <w:tcPr>
            <w:tcW w:w="1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5897828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0.15</w:t>
            </w:r>
          </w:p>
        </w:tc>
      </w:tr>
    </w:tbl>
    <w:p w14:paraId="17ED27D4" w14:textId="77777777" w:rsidR="00A011D4" w:rsidRDefault="00A011D4">
      <w:pPr>
        <w:spacing w:after="120" w:line="276" w:lineRule="auto"/>
      </w:pPr>
    </w:p>
    <w:p w14:paraId="001DB9AD" w14:textId="77777777" w:rsidR="00A011D4" w:rsidRDefault="00000000">
      <w:pPr>
        <w:spacing w:after="120" w:line="276" w:lineRule="auto"/>
      </w:pPr>
      <w:r>
        <w:rPr>
          <w:sz w:val="20"/>
          <w:szCs w:val="20"/>
        </w:rPr>
        <w:t>Multiple-response item, analysed separately as a 2 × 5 table and not included in the Holm family: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5"/>
        <w:gridCol w:w="920"/>
        <w:gridCol w:w="920"/>
        <w:gridCol w:w="690"/>
        <w:gridCol w:w="1380"/>
        <w:gridCol w:w="1265"/>
      </w:tblGrid>
      <w:tr w:rsidR="00A011D4" w14:paraId="10BECF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F68C42B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13A6071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Base</w:t>
            </w:r>
          </w:p>
        </w:tc>
        <w:tc>
          <w:tcPr>
            <w:tcW w:w="8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92A772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χ²</w:t>
            </w:r>
          </w:p>
        </w:tc>
        <w:tc>
          <w:tcPr>
            <w:tcW w:w="6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2EAF02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df</w:t>
            </w:r>
          </w:p>
        </w:tc>
        <w:tc>
          <w:tcPr>
            <w:tcW w:w="12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9FCBD77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1100" w:type="dxa"/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FFD3A9F" w14:textId="77777777" w:rsidR="00A011D4" w:rsidRDefault="00000000">
            <w:pPr>
              <w:spacing w:line="250" w:lineRule="auto"/>
            </w:pPr>
            <w:r>
              <w:rPr>
                <w:b/>
                <w:bCs/>
                <w:sz w:val="18"/>
                <w:szCs w:val="18"/>
              </w:rPr>
              <w:t>Cramér V</w:t>
            </w:r>
          </w:p>
        </w:tc>
      </w:tr>
      <w:tr w:rsidR="00A011D4" w14:paraId="159A136C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3196DFB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Patient associations cited as an information source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19CE445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1,067</w:t>
            </w:r>
          </w:p>
        </w:tc>
        <w:tc>
          <w:tcPr>
            <w:tcW w:w="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AEDD36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53.8</w:t>
            </w:r>
          </w:p>
        </w:tc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0D31670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D10840F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5.9 × 10⁻¹¹</w:t>
            </w:r>
          </w:p>
        </w:tc>
        <w:tc>
          <w:tcPr>
            <w:tcW w:w="11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A6DDDC" w14:textId="77777777" w:rsidR="00A011D4" w:rsidRDefault="00000000">
            <w:pPr>
              <w:spacing w:line="250" w:lineRule="auto"/>
            </w:pPr>
            <w:r>
              <w:rPr>
                <w:sz w:val="18"/>
                <w:szCs w:val="18"/>
              </w:rPr>
              <w:t>0.22</w:t>
            </w:r>
          </w:p>
        </w:tc>
      </w:tr>
    </w:tbl>
    <w:p w14:paraId="52E7C92F" w14:textId="77777777" w:rsidR="00A011D4" w:rsidRDefault="00A011D4">
      <w:pPr>
        <w:spacing w:after="120" w:line="276" w:lineRule="auto"/>
      </w:pPr>
    </w:p>
    <w:p w14:paraId="211DFDB2" w14:textId="77777777" w:rsidR="00A011D4" w:rsidRDefault="00000000">
      <w:pPr>
        <w:spacing w:after="150" w:line="276" w:lineRule="auto"/>
      </w:pPr>
      <w:r>
        <w:rPr>
          <w:sz w:val="20"/>
          <w:szCs w:val="20"/>
        </w:rPr>
        <w:t>Patient associations were cited by 28.1% of respondents in Spain (95% CI 21.4–35.9) against 6.9–9.8% in the other four countries.</w:t>
      </w:r>
    </w:p>
    <w:sectPr w:rsidR="00A011D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98171F"/>
    <w:multiLevelType w:val="hybridMultilevel"/>
    <w:tmpl w:val="8E6C5292"/>
    <w:lvl w:ilvl="0" w:tplc="441C3CB4">
      <w:start w:val="1"/>
      <w:numFmt w:val="bullet"/>
      <w:lvlText w:val="●"/>
      <w:lvlJc w:val="left"/>
      <w:pPr>
        <w:ind w:left="720" w:hanging="360"/>
      </w:pPr>
    </w:lvl>
    <w:lvl w:ilvl="1" w:tplc="4FDAAFCC">
      <w:start w:val="1"/>
      <w:numFmt w:val="bullet"/>
      <w:lvlText w:val="○"/>
      <w:lvlJc w:val="left"/>
      <w:pPr>
        <w:ind w:left="1440" w:hanging="360"/>
      </w:pPr>
    </w:lvl>
    <w:lvl w:ilvl="2" w:tplc="D3C840EE">
      <w:start w:val="1"/>
      <w:numFmt w:val="bullet"/>
      <w:lvlText w:val="■"/>
      <w:lvlJc w:val="left"/>
      <w:pPr>
        <w:ind w:left="2160" w:hanging="360"/>
      </w:pPr>
    </w:lvl>
    <w:lvl w:ilvl="3" w:tplc="4A14755A">
      <w:start w:val="1"/>
      <w:numFmt w:val="bullet"/>
      <w:lvlText w:val="●"/>
      <w:lvlJc w:val="left"/>
      <w:pPr>
        <w:ind w:left="2880" w:hanging="360"/>
      </w:pPr>
    </w:lvl>
    <w:lvl w:ilvl="4" w:tplc="7B7CB5B6">
      <w:start w:val="1"/>
      <w:numFmt w:val="bullet"/>
      <w:lvlText w:val="○"/>
      <w:lvlJc w:val="left"/>
      <w:pPr>
        <w:ind w:left="3600" w:hanging="360"/>
      </w:pPr>
    </w:lvl>
    <w:lvl w:ilvl="5" w:tplc="BCF0C61C">
      <w:start w:val="1"/>
      <w:numFmt w:val="bullet"/>
      <w:lvlText w:val="■"/>
      <w:lvlJc w:val="left"/>
      <w:pPr>
        <w:ind w:left="4320" w:hanging="360"/>
      </w:pPr>
    </w:lvl>
    <w:lvl w:ilvl="6" w:tplc="B16E404A">
      <w:start w:val="1"/>
      <w:numFmt w:val="bullet"/>
      <w:lvlText w:val="●"/>
      <w:lvlJc w:val="left"/>
      <w:pPr>
        <w:ind w:left="5040" w:hanging="360"/>
      </w:pPr>
    </w:lvl>
    <w:lvl w:ilvl="7" w:tplc="CEBCAF36">
      <w:start w:val="1"/>
      <w:numFmt w:val="bullet"/>
      <w:lvlText w:val="●"/>
      <w:lvlJc w:val="left"/>
      <w:pPr>
        <w:ind w:left="5760" w:hanging="360"/>
      </w:pPr>
    </w:lvl>
    <w:lvl w:ilvl="8" w:tplc="47668C9A">
      <w:start w:val="1"/>
      <w:numFmt w:val="bullet"/>
      <w:lvlText w:val="●"/>
      <w:lvlJc w:val="left"/>
      <w:pPr>
        <w:ind w:left="6480" w:hanging="360"/>
      </w:pPr>
    </w:lvl>
  </w:abstractNum>
  <w:num w:numId="1" w16cid:durableId="2688590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D4"/>
    <w:rsid w:val="00737D7A"/>
    <w:rsid w:val="00A011D4"/>
    <w:rsid w:val="00FF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FB8627"/>
  <w15:docId w15:val="{C31553EB-BA51-294A-BAEF-F49EA34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Juan Ventura</cp:lastModifiedBy>
  <cp:revision>2</cp:revision>
  <dcterms:created xsi:type="dcterms:W3CDTF">2026-07-29T11:12:00Z</dcterms:created>
  <dcterms:modified xsi:type="dcterms:W3CDTF">2026-07-29T11:12:00Z</dcterms:modified>
</cp:coreProperties>
</file>