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  <w:sz w:val="32"/>
        </w:rPr>
        <w:t xml:space="preserve">Additional file 1: Supplementary methods, tables, and figures</w:t>
      </w:r>
    </w:p>
    <w:p>
      <w:pPr>
        <w:pStyle w:val="Author"/>
        <w:jc w:val="center"/>
      </w:pPr>
      <w:r>
        <w:rPr>
          <w:rFonts w:ascii="Times New Roman" w:hAnsi="Times New Roman" w:eastAsia="Times New Roman"/>
          <w:color w:val="000000"/>
          <w:sz w:val="22"/>
        </w:rPr>
        <w:t xml:space="preserve">Reported pain-management patterns and later pain severity</w:t>
      </w:r>
    </w:p>
    <w:bookmarkStart w:id="9" w:name="supplementary-methods"/>
    <w:p>
      <w:pPr>
        <w:pStyle w:val="Heading2"/>
        <w:jc w:val="left"/>
      </w:pPr>
      <w:r>
        <w:rPr>
          <w:rFonts w:ascii="Times New Roman" w:hAnsi="Times New Roman" w:eastAsia="Times New Roman"/>
          <w:color w:val="000000"/>
          <w:sz w:val="26"/>
        </w:rPr>
        <w:t xml:space="preserve">Supplementary methods</w:t>
      </w:r>
    </w:p>
    <w:p>
      <w:pPr>
        <w:pStyle w:val="FirstParagraph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The primary analysis used a proportional-odds model after 20 multiple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imputations, the 2018 individual cross-sectional weight adjusted for household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and individual nonresponse, and community-level clustering. Baseline Table 1 is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unweighted and unimputed; missing values are visible in the denominators or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summarized separately. Model 0 included pain-management pattern alone, Model 1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added age and sex, and Model 2 added the complete prespecified covariate set.</w:t>
      </w:r>
    </w:p>
    <w:p>
      <w:pPr>
        <w:pStyle w:val="BodyText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Loss to follow-up was assessed among all 5461 participants who met the baseline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age, pain-severity, musculoskeletal-site, and management-indicator criteria.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Within each imputed dataset, a logistic model estimated the probability of a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valid 2020 pain outcome from management pattern and the prespecified baseline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covariates. The stabilized inverse probability-of-observation weight was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truncated at the 1st and 99th percentiles and multiplied by the cross-sectional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weight. The combined weight was normalized before the proportional-odds model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was refitted. Untruncated, observation-weight-only, cross-sectional-weight-only,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and unweighted models were also examined.</w:t>
      </w:r>
    </w:p>
    <w:p>
      <w:pPr>
        <w:pStyle w:val="BodyText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Other prespecified robustness analyses changed one design feature at a time: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complete cases; inclusion of proxy interviews; inclusion of the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other-containing pattern; lower and higher baseline pain thresholds; and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generalized propensity-score overlap weighting. For overlap weighting, a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multinomial-logit propensity model used the prespecified covariates in each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imputed dataset. Balance was accepted when the maximum post-weighting absolute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standardized mean difference (SMD) was at most 0.10. Exposure, outcome, survey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weight, and cluster identifiers were not imputed.</w:t>
      </w:r>
    </w:p>
    <w:p>
      <w:pPr>
        <w:pStyle w:val="BodyText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All secondary outcome analyses were exploratory. No adjustment was made for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multiple comparisons; global exposure tests were prioritized over individual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contrasts.</w:t>
      </w:r>
    </w:p>
    <w:p>
      <w:pPr>
        <w:pStyle w:val="BodyText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In a post hoc exploratory analysis, effect modification by baseline pain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severity (</w:t>
      </w:r>
      <w:r>
        <w:rPr>
          <w:rFonts w:ascii="Times New Roman" w:hAnsi="Times New Roman" w:eastAsia="Times New Roman"/>
          <w:color w:val="000000"/>
          <w:sz w:val="24"/>
        </w:rPr>
        <w:t xml:space="preserve">“somewhat,”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“quite a bit,”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or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“very”</w:t>
      </w:r>
      <w:r>
        <w:rPr>
          <w:rFonts w:ascii="Times New Roman" w:hAnsi="Times New Roman" w:eastAsia="Times New Roman"/>
          <w:color w:val="000000"/>
          <w:sz w:val="24"/>
        </w:rPr>
        <w:t xml:space="preserve">) was assessed with a global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management-pattern-by-severity interaction in the fully adjusted ordinal model.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Stratum-specific models used the same covariate set except that baseline pain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severity was constant within each stratum.</w:t>
      </w:r>
    </w:p>
    <w:bookmarkEnd w:id="9"/>
    <w:bookmarkStart w:id="10" w:name="X68ab1ee9853ebba9cf4795660c39244dc07eae3"/>
    <w:p>
      <w:pPr>
        <w:pStyle w:val="Heading2"/>
        <w:jc w:val="left"/>
      </w:pPr>
      <w:r>
        <w:rPr>
          <w:rFonts w:ascii="Times New Roman" w:hAnsi="Times New Roman" w:eastAsia="Times New Roman"/>
          <w:color w:val="000000"/>
          <w:sz w:val="26"/>
        </w:rPr>
        <w:t xml:space="preserve">Table S1. Sequential models for ordinal pain severity</w:t>
      </w:r>
    </w:p>
    <w:tbl>
      <w:tblPr>
        <w:tblStyle w:val="Table"/>
        <w:tblW w:type="pct" w:w="5000"/>
        <w:jc w:val="center"/>
        <w:tblLayout w:type="fixed"/>
        <w:tblLook w:firstRow="1" w:lastRow="0" w:firstColumn="0" w:lastColumn="0" w:noHBand="0" w:noVBand="0" w:val="0020"/>
      </w:tblPr>
      <w:tblGrid>
        <w:gridCol w:w="2315"/>
        <w:gridCol w:w="2701"/>
        <w:gridCol w:w="1157"/>
        <w:gridCol w:w="1157"/>
        <w:gridCol w:w="964"/>
        <w:gridCol w:w="1354"/>
      </w:tblGrid>
      <w:tr>
        <w:trPr>
          <w:tblHeader w:val="on"/>
          <w:tblHeader w:val="true"/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 xml:space="preserve">Model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 xml:space="preserve">Pain-management pattern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 xml:space="preserve">Cumulative OR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 xml:space="preserve">95% CI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 xml:space="preserve">P value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 xml:space="preserve">Global P value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Model 0: management pattern only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Western medicine only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1.65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1.38 to 1.98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&lt;0.001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&lt;0.001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Model 0: management pattern only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1.06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0.80 to 1.40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0.694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&lt;0.001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Model 0: management pattern only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Integrative management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2.01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1.66 to 2.44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&lt;0.001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&lt;0.001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Model 1: age and sex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Western medicine only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1.62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1.37 to 1.92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&lt;0.001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&lt;0.001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Model 1: age and sex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1.05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0.80 to 1.38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0.732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&lt;0.001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Model 1: age and sex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Integrative management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1.96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1.62 to 2.36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&lt;0.001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&lt;0.001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Model 2: fully adjusted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Western medicine only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1.33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1.13 to 1.57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&lt;0.001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0.002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Model 2: fully adjusted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1.1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0.85 to 1.43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0.462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0.002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Model 2: fully adjusted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Integrative management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1.3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1.08 to 1.57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0.006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0.002</w:t>
            </w:r>
          </w:p>
        </w:tc>
      </w:tr>
    </w:tbl>
    <w:p>
      <w:pPr>
        <w:pStyle w:val="BodyText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The reference category is no reported pain-relief measure. Model 0 includes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management pattern only; Model 1 adds age and sex; Model 2 adds all prespecified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demographic, socioeconomic, pain, health, psychological, functional, and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healthcare-use covariates. Model 2 is the primary model.</w:t>
      </w:r>
    </w:p>
    <w:bookmarkEnd w:id="10"/>
    <w:bookmarkStart w:id="11" w:name="X36819c11d2448f6cd16dcf1393d2f8f471161cf"/>
    <w:p>
      <w:pPr>
        <w:pStyle w:val="Heading2"/>
        <w:jc w:val="left"/>
      </w:pPr>
      <w:r>
        <w:rPr>
          <w:rFonts w:ascii="Times New Roman" w:hAnsi="Times New Roman" w:eastAsia="Times New Roman"/>
          <w:color w:val="000000"/>
          <w:sz w:val="26"/>
        </w:rPr>
        <w:t xml:space="preserve">Table S2. Baseline comparison by observation of the 2020 pain outcome</w:t>
      </w:r>
    </w:p>
    <w:tbl>
      <w:tblPr>
        <w:tblStyle w:val="Table"/>
        <w:tblW w:type="pct" w:w="5000"/>
        <w:jc w:val="center"/>
        <w:tblLayout w:type="fixed"/>
        <w:tblLook w:firstRow="1" w:lastRow="0" w:firstColumn="0" w:lastColumn="0" w:noHBand="0" w:noVBand="0" w:val="0020"/>
      </w:tblPr>
      <w:tblGrid>
        <w:gridCol w:w="3666"/>
        <w:gridCol w:w="1929"/>
        <w:gridCol w:w="2026"/>
        <w:gridCol w:w="2027"/>
      </w:tblGrid>
      <w:tr>
        <w:trPr>
          <w:tblHeader w:val="on"/>
          <w:tblHeader w:val="true"/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Characteristic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Valid 2020 pain outcome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No valid 2020 pain outcome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Absolute SMD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Baseline IADL limitation count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0.82 (1.28)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1.46 (1.75)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0.421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Residence: Rural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3349 (68.9%)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296 (49.4%)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0.404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Residence: Urban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1513 (31.1%)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303 (50.6%)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0.404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Baseline ADL limitation count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0.80 (1.39)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1.47 (1.97)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0.399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Age, years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62.62 (9.88)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66.53 (11.88)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0.357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Chronic-disease count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2.39 (1.87)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3.01 (2.17)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0.308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Hospital admission in previous year: Yes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1128 (23.2%)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205 (34.4%)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0.249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Hospital admission in previous year: No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3729 (76.8%)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391 (65.6%)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0.249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Sex: Men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1701 (35.0%)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263 (43.9%)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0.183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Sex: Women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3161 (65.0%)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336 (56.1%)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0.183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Education: College or above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34 (0.7%)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16 (2.7%)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0.154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Self-rated health: Very poor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591 (12.9%)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86 (18.0%)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0.143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Musculoskeletal pain-site count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5.21 (3.20)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5.60 (3.43)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0.116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Self-rated health: Fair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1897 (41.3%)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175 (36.7%)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0.095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Doctor-diagnosed arthritis/rheumatism: No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1800 (37.0%)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246 (41.1%)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0.083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Doctor-diagnosed arthritis/rheumatism: Yes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3062 (63.0%)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353 (58.9%)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0.083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Baseline pain severity: Very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1319 (27.1%)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185 (30.9%)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0.083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Pain-management pattern: Other-containing pattern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1040 (21.4%)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110 (18.4%)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0.076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CESD-10 score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11.74 (7.01)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12.24 (7.22)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0.07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Pain-management pattern: No reported pain-relief measure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1157 (23.8%)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156 (26.0%)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0.052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Self-rated health: Good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246 (5.4%)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31 (6.5%)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0.048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Baseline pain severity: Quite a bit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1633 (33.6%)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188 (31.4%)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0.047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Education: No formal education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1588 (32.7%)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184 (30.7%)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0.042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Self-rated health: Poor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1730 (37.7%)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171 (35.8%)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0.038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Household wealth, transformed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1.91 (2.44)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1.99 (2.40)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0.037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Education: High/vocational school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322 (6.6%)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45 (7.5%)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0.035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Baseline pain severity: Somewhat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1910 (39.3%)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226 (37.7%)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0.032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Pain-management pattern: Integrative management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868 (17.9%)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100 (16.7%)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0.031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Education: Middle school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749 (15.4%)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86 (14.4%)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0.029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Pain-management pattern: Traditional/complementary modalities without Western medicine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488 (10.0%)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65 (10.9%)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0.027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Pain-management pattern: Western medicine only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1309 (26.9%)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168 (28.0%)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0.025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Outpatient visit in previous month: Yes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1196 (24.6%)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144 (24.2%)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0.011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Outpatient visit in previous month: No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3661 (75.4%)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452 (75.8%)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0.011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Self-rated health: Very good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130 (2.8%)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14 (2.9%)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0.006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Education: Primary or below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2169 (44.6%)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268 (44.7%)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0.003</w:t>
            </w:r>
          </w:p>
        </w:tc>
      </w:tr>
    </w:tbl>
    <w:p>
      <w:pPr>
        <w:pStyle w:val="BodyText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Values are n (%) or mean (SD), as appropriate. SMD denotes standardized mean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difference. For categorical variables, the SMD is shown for each indicated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level. Missingness was retained when summaries were computed.</w:t>
      </w:r>
    </w:p>
    <w:p>
      <w:pPr>
        <w:pStyle w:val="BodyText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Among the 599 participants without a valid 2020 pain outcome, 221 had a recorded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death, 377 had no 2020 health interview and no known death record, and one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completed the health interview but lacked a valid pain-severity outcome. Proxy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and survey-weight exclusions are reported sequentially in Figure 1.</w:t>
      </w:r>
    </w:p>
    <w:bookmarkEnd w:id="11"/>
    <w:bookmarkStart w:id="12" w:name="table-s3.-attrition-weight-diagnostics"/>
    <w:p>
      <w:pPr>
        <w:pStyle w:val="Heading2"/>
        <w:jc w:val="left"/>
      </w:pPr>
      <w:r>
        <w:rPr>
          <w:rFonts w:ascii="Times New Roman" w:hAnsi="Times New Roman" w:eastAsia="Times New Roman"/>
          <w:color w:val="000000"/>
          <w:sz w:val="26"/>
        </w:rPr>
        <w:t xml:space="preserve">Table S3. Attrition-weight diagnostics</w:t>
      </w:r>
    </w:p>
    <w:tbl>
      <w:tblPr>
        <w:tblStyle w:val="Table"/>
        <w:tblW w:type="auto" w:w="0"/>
        <w:jc w:val="center"/>
        <w:tblLayout w:type="fixed"/>
        <w:tblLook w:firstRow="1" w:lastRow="0" w:firstColumn="0" w:lastColumn="0" w:noHBand="0" w:noVBand="0" w:val="0020"/>
      </w:tblPr>
      <w:tblGrid>
        <w:gridCol w:w="6560"/>
        <w:gridCol w:w="3088"/>
      </w:tblGrid>
      <w:tr>
        <w:trPr>
          <w:tblHeader w:val="on"/>
          <w:tblHeader w:val="true"/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Diagnostic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Value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Observed outcome rate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0.890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Minimum predicted probability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0.257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1st percentile predicted probability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0.547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Median predicted probability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0.917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99th percentile predicted probability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0.976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Maximum predicted probability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0.985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Median observation weight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0.965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99th percentile observation weight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1.414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Maximum observation weight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2.511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Observation-weight coefficient of variation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0.101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Observation-weight effective sample size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3427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Combined-weight coefficient of variation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0.773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Combined-weight effective sample size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2027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Untruncated combined-weight effective sample size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1991</w:t>
            </w:r>
          </w:p>
        </w:tc>
      </w:tr>
    </w:tbl>
    <w:p>
      <w:pPr>
        <w:pStyle w:val="BodyText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Diagnostics are medians across the 20 imputed datasets where the quantity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varied by imputation. Effective sample size was calculated as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∑</m:t>
        </m:r>
        <m:r>
          <m:t>w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rPr>
            <m:sty m:val="p"/>
          </m:rPr>
          <m:t>∑</m:t>
        </m:r>
        <m:sSup>
          <m:e>
            <m:r>
              <m:t>w</m:t>
            </m:r>
          </m:e>
          <m:sup>
            <m:r>
              <m:t>2</m:t>
            </m:r>
          </m:sup>
        </m:sSup>
      </m:oMath>
      <w:r>
        <w:rPr>
          <w:rFonts w:ascii="Times New Roman" w:hAnsi="Times New Roman" w:eastAsia="Times New Roman"/>
          <w:color w:val="000000"/>
          <w:sz w:val="24"/>
        </w:rPr>
        <w:t xml:space="preserve">.</w:t>
      </w:r>
    </w:p>
    <w:bookmarkEnd w:id="12"/>
    <w:bookmarkStart w:id="13" w:name="X458f1c59089709044aff04a1bb0cb52dac94f6a"/>
    <w:p>
      <w:pPr>
        <w:pStyle w:val="Heading2"/>
        <w:jc w:val="left"/>
      </w:pPr>
      <w:r>
        <w:rPr>
          <w:rFonts w:ascii="Times New Roman" w:hAnsi="Times New Roman" w:eastAsia="Times New Roman"/>
          <w:color w:val="000000"/>
          <w:sz w:val="26"/>
        </w:rPr>
        <w:t xml:space="preserve">Table S4. Primary-model attrition-weight sensitivity analyses</w:t>
      </w:r>
    </w:p>
    <w:tbl>
      <w:tblPr>
        <w:tblStyle w:val="Table"/>
        <w:tblW w:type="pct" w:w="5000"/>
        <w:jc w:val="center"/>
        <w:tblLayout w:type="fixed"/>
        <w:tblLook w:firstRow="1" w:lastRow="0" w:firstColumn="0" w:lastColumn="0" w:noHBand="0" w:noVBand="0" w:val="0020"/>
      </w:tblPr>
      <w:tblGrid>
        <w:gridCol w:w="2315"/>
        <w:gridCol w:w="2701"/>
        <w:gridCol w:w="1157"/>
        <w:gridCol w:w="1157"/>
        <w:gridCol w:w="964"/>
        <w:gridCol w:w="1354"/>
      </w:tblGrid>
      <w:tr>
        <w:trPr>
          <w:tblHeader w:val="on"/>
          <w:tblHeader w:val="true"/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 xml:space="preserve">Analysis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 xml:space="preserve">Pain-management pattern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 xml:space="preserve">Cumulative OR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 xml:space="preserve">95% CI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 xml:space="preserve">P value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 xml:space="preserve">Global P value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Unweighted, fully adjusted MI (all primary participants)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Western medicine only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1.22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1.05 to 1.41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0.009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0.032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Unweighted, fully adjusted MI (all primary participants)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1.06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0.86 to 1.30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0.581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0.032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Unweighted, fully adjusted MI (all primary participants)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Integrative management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1.22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1.03 to 1.44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0.022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0.032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2018 cross-sectional weight only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Western medicine only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1.34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1.14 to 1.57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&lt;0.001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0.002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2018 cross-sectional weight only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1.1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0.85 to 1.44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0.460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0.002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2018 cross-sectional weight only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Integrative management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1.3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1.08 to 1.58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0.006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0.002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Observation-probability weight only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Western medicine only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1.21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1.05 to 1.41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0.010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0.035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Observation-probability weight only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1.04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0.85 to 1.28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0.708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0.035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Observation-probability weight only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Integrative management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1.2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1.02 to 1.42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0.033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0.035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Combined cross-sectional and truncated observation weight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Western medicine only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1.33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1.13 to 1.57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&lt;0.001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0.002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Combined cross-sectional and truncated observation weight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1.08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0.83 to 1.41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0.578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0.002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Combined cross-sectional and truncated observation weight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Integrative management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1.3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1.07 to 1.57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0.008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0.002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Combined cross-sectional and untruncated observation weight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Western medicine only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1.33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1.13 to 1.57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&lt;0.001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0.002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Combined cross-sectional and untruncated observation weight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1.06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0.81 to 1.40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0.663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0.002</w:t>
            </w:r>
          </w:p>
        </w:tc>
      </w:tr>
      <w:tr>
        <w:trPr>
          <w:cantSplit/>
        </w:trPr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Combined cross-sectional and untruncated observation weight</w:t>
            </w:r>
          </w:p>
        </w:tc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Integrative management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1.29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1.07 to 1.56</w:t>
            </w:r>
          </w:p>
        </w:tc>
        <w:tc>
          <w:tcPr>
            <w:vAlign w:val="center"/>
            <w:tcW w:w="96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0.009</w:t>
            </w:r>
          </w:p>
        </w:tc>
        <w:tc>
          <w:tcPr>
            <w:vAlign w:val="center"/>
            <w:tcW w:w="13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0.002</w:t>
            </w:r>
          </w:p>
        </w:tc>
      </w:tr>
    </w:tbl>
    <w:p>
      <w:pPr>
        <w:pStyle w:val="BodyText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The reference category is no reported pain-relief measure. MI denotes multiple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imputation. The combined-truncated analysis multiplies the 2018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cross-sectional individual weight by the stabilized observation weight after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1st/99th-percentile truncation.</w:t>
      </w:r>
    </w:p>
    <w:bookmarkEnd w:id="13"/>
    <w:bookmarkStart w:id="16" w:name="Xcb70762b605a0ce3e6941fc59e231c956ab4712"/>
    <w:p>
      <w:pPr>
        <w:pStyle w:val="Heading2"/>
        <w:jc w:val="left"/>
      </w:pPr>
      <w:r>
        <w:rPr>
          <w:rFonts w:ascii="Times New Roman" w:hAnsi="Times New Roman" w:eastAsia="Times New Roman"/>
          <w:color w:val="000000"/>
          <w:sz w:val="26"/>
        </w:rPr>
        <w:t xml:space="preserve">Table S5. Composition of the traditional/complementary and integrative patterns</w:t>
      </w:r>
    </w:p>
    <w:bookmarkStart w:id="14" w:name="Xd63397b18c54d42784c8d6af4172090df3fbb44"/>
    <w:p>
      <w:pPr>
        <w:pStyle w:val="Heading3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Panel A. Marginal use of each reported pain-relief measure</w:t>
      </w:r>
    </w:p>
    <w:tbl>
      <w:tblPr>
        <w:tblStyle w:val="Table"/>
        <w:tblW w:type="auto" w:w="0"/>
        <w:jc w:val="center"/>
        <w:tblLayout w:type="fixed"/>
        <w:tblLook w:firstRow="1" w:lastRow="0" w:firstColumn="0" w:lastColumn="0" w:noHBand="0" w:noVBand="0" w:val="0020"/>
      </w:tblPr>
      <w:tblGrid>
        <w:gridCol w:w="4631"/>
        <w:gridCol w:w="2412"/>
        <w:gridCol w:w="2605"/>
      </w:tblGrid>
      <w:tr>
        <w:trPr>
          <w:tblHeader w:val="on"/>
          <w:tblHeader w:val="true"/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Reported measure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n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% of primary cohort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No reported pain-relief measure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1038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30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Western medicine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1971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56.9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Chinese medicine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795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23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Acupuncture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543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15.7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Professional massage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461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13.3</w:t>
            </w:r>
          </w:p>
        </w:tc>
      </w:tr>
    </w:tbl>
    <w:p>
      <w:pPr>
        <w:pStyle w:val="BodyText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Percentages use the primary cohort (N = 3462) as the denominator. Measures were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reported as separate multiple-response items; therefore, percentages are not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mutually exclusive and do not sum to 100%.</w:t>
      </w:r>
    </w:p>
    <w:bookmarkEnd w:id="14"/>
    <w:bookmarkStart w:id="15" w:name="X0dd01fb79c8260a15a7f595eca66e39f03c66ae"/>
    <w:p>
      <w:pPr>
        <w:pStyle w:val="Heading3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Panel B. Mutually exclusive combinations within the grouped patterns</w:t>
      </w:r>
    </w:p>
    <w:tbl>
      <w:tblPr>
        <w:tblStyle w:val="Table"/>
        <w:tblW w:type="pct" w:w="5000"/>
        <w:jc w:val="center"/>
        <w:tblLayout w:type="fixed"/>
        <w:tblLook w:firstRow="1" w:lastRow="0" w:firstColumn="0" w:lastColumn="0" w:noHBand="0" w:noVBand="0" w:val="0020"/>
      </w:tblPr>
      <w:tblGrid>
        <w:gridCol w:w="3666"/>
        <w:gridCol w:w="1929"/>
        <w:gridCol w:w="2026"/>
        <w:gridCol w:w="2027"/>
      </w:tblGrid>
      <w:tr>
        <w:trPr>
          <w:tblHeader w:val="on"/>
          <w:tblHeader w:val="true"/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Pain-management pattern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Reported combination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n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% within pattern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Integrative management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Chinese medicine + Western medicine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295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37.4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Chinese medicine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189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41.7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Integrative management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Western medicine + Acupuncture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111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14.1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Integrative management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Chinese medicine + Western medicine + Acupuncture + Professional massage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110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14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Integrative management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Chinese medicine + Western medicine + Acupuncture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99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12.6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Professional massage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97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21.4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Integrative management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Western medicine + Acupuncture + Professional massage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86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10.9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Integrative management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Western medicine + Professional massage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62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7.9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Acupuncture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61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13.5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Chinese medicine + Professional massage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30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6.6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Acupuncture + Professional massage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29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6.4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Chinese medicine + Acupuncture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25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5.5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Integrative management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Chinese medicine + Western medicine + Professional massage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25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3.2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Chinese medicine + Acupuncture + Professional massage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22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4.9</w:t>
            </w:r>
          </w:p>
        </w:tc>
      </w:tr>
    </w:tbl>
    <w:p>
      <w:pPr>
        <w:pStyle w:val="BodyText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Combinations are mutually exclusive within each pain-management pattern.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Chinese medicine, Western medicine, acupuncture, and professional massage were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reported as separate multiple-response items.</w:t>
      </w:r>
    </w:p>
    <w:bookmarkEnd w:id="15"/>
    <w:bookmarkEnd w:id="16"/>
    <w:bookmarkStart w:id="17" w:name="X1dd1b87b7ac6eed9a34611d4c7835bebee5adf8"/>
    <w:p>
      <w:pPr>
        <w:pStyle w:val="Heading2"/>
        <w:jc w:val="left"/>
      </w:pPr>
      <w:r>
        <w:rPr>
          <w:rFonts w:ascii="Times New Roman" w:hAnsi="Times New Roman" w:eastAsia="Times New Roman"/>
          <w:color w:val="000000"/>
          <w:sz w:val="26"/>
        </w:rPr>
        <w:t xml:space="preserve">Table S6. Characterization of the other-containing pattern</w:t>
      </w:r>
    </w:p>
    <w:p>
      <w:pPr>
        <w:pStyle w:val="TableCaption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Table S6a. Characteristics of the other-containing group</w:t>
      </w:r>
    </w:p>
    <w:tbl>
      <w:tblPr>
        <w:tblStyle w:val="Table"/>
        <w:tblW w:type="auto" w:w="0"/>
        <w:jc w:val="center"/>
        <w:tblLayout w:type="fixed"/>
        <w:tblLook w:firstRow="1" w:lastRow="0" w:firstColumn="0" w:lastColumn="0" w:noHBand="0" w:noVBand="0" w:val="0020"/>
        <w:tblCaption w:val="Table S6a. Characteristics of the other-containing group"/>
      </w:tblPr>
      <w:tblGrid>
        <w:gridCol w:w="6560"/>
        <w:gridCol w:w="3088"/>
      </w:tblGrid>
      <w:tr>
        <w:trPr>
          <w:tblHeader w:val="on"/>
          <w:tblHeader w:val="true"/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Characteristic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Value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Participants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1040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Age, mean (SD)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62.9 (9.9)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Women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724 (69.6%)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Rural residence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676 (65.0%)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Baseline pain: somewhat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408 (39.2%)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Baseline pain: quite a bit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363 (34.9%)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Baseline pain: very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269 (25.9%)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Musculoskeletal pain-site count, mean (SD)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5.5 (3.2)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Co-used Chinese medicine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256 (24.6%)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Co-used Western medicine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543 (52.2%)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Co-used acupuncture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207 (19.9%)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Co-used professional massage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193 (18.6%)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2020 pain: none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168 (16.2%)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2020 pain: a little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255 (24.5%)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2020 pain: somewhat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178 (17.1%)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2020 pain: quite a bit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216 (20.8%)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2020 pain: very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223 (21.4%)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Baseline health-module proxy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40 (3.8%)</w:t>
            </w:r>
          </w:p>
        </w:tc>
      </w:tr>
      <w:tr>
        <w:trPr>
          <w:cantSplit/>
        </w:trPr>
        <w:tc>
          <w:tcPr>
            <w:vAlign w:val="center"/>
            <w:tcW w:w="65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Follow-up health-module proxy</w:t>
            </w:r>
          </w:p>
        </w:tc>
        <w:tc>
          <w:tcPr>
            <w:vAlign w:val="center"/>
            <w:tcW w:w="3088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80 (7.7%)</w:t>
            </w:r>
          </w:p>
        </w:tc>
      </w:tr>
    </w:tbl>
    <w:p>
      <w:pPr>
        <w:pStyle w:val="TableCaption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Table S6b. Reported combinations containing the other-measure item</w:t>
      </w:r>
    </w:p>
    <w:tbl>
      <w:tblPr>
        <w:tblStyle w:val="Table"/>
        <w:tblW w:type="pct" w:w="5000"/>
        <w:jc w:val="center"/>
        <w:tblLayout w:type="fixed"/>
        <w:tblLook w:firstRow="1" w:lastRow="0" w:firstColumn="0" w:lastColumn="0" w:noHBand="0" w:noVBand="0" w:val="0020"/>
        <w:tblCaption w:val="Table S6b. Reported combinations containing the other-measure item"/>
      </w:tblPr>
      <w:tblGrid>
        <w:gridCol w:w="4631"/>
        <w:gridCol w:w="2412"/>
        <w:gridCol w:w="2605"/>
      </w:tblGrid>
      <w:tr>
        <w:trPr>
          <w:tblHeader w:val="on"/>
          <w:tblHeader w:val="true"/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Reported combination containing other measure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n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%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Other measure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358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34.4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Western medicine + Other measure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244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23.5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Chinese medicine + Western medicine + Other measure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99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9.5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Chinese medicine + Other measure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48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4.6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Chinese medicine + Western medicine + Acupuncture + Professional massage + Other measure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47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4.5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Western medicine + Acupuncture + Professional massage + Other measure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41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3.9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Western medicine + Acupuncture + Other measure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37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3.6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Professional massage + Other measure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35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3.4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Chinese medicine + Western medicine + Acupuncture + Other measure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28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2.7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Western medicine + Professional massage + Other measure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28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2.7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Acupuncture + Other measure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26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2.5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Chinese medicine + Western medicine + Professional massage + Other measure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19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1.8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Acupuncture + Professional massage + Other measure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15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1.4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Chinese medicine + Acupuncture + Other measure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7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0.7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Chinese medicine + Acupuncture + Professional massage + Other measure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6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0.6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Chinese medicine + Professional massage + Other measure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0.2</w:t>
            </w:r>
          </w:p>
        </w:tc>
      </w:tr>
    </w:tbl>
    <w:p>
      <w:pPr>
        <w:pStyle w:val="BodyText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The other-measure item was not further specified by CHARLS and therefore was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not combined with clinically interpretable named modalities in the four-group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primary exposure. The five-group sensitivity analysis restored this group.</w:t>
      </w:r>
    </w:p>
    <w:bookmarkEnd w:id="17"/>
    <w:bookmarkStart w:id="18" w:name="Xd5de0885fea77faec153959fb4098f005316b97"/>
    <w:p>
      <w:pPr>
        <w:pStyle w:val="Heading2"/>
        <w:jc w:val="left"/>
      </w:pPr>
      <w:r>
        <w:rPr>
          <w:rFonts w:ascii="Times New Roman" w:hAnsi="Times New Roman" w:eastAsia="Times New Roman"/>
          <w:color w:val="000000"/>
          <w:sz w:val="26"/>
        </w:rPr>
        <w:t xml:space="preserve">Table S7. Prespecified sensitivity analyses for ordinal pain severity</w:t>
      </w:r>
    </w:p>
    <w:tbl>
      <w:tblPr>
        <w:tblStyle w:val="Table"/>
        <w:tblW w:type="pct" w:w="5000"/>
        <w:jc w:val="center"/>
        <w:tblLayout w:type="fixed"/>
        <w:tblLook w:firstRow="1" w:lastRow="0" w:firstColumn="0" w:lastColumn="0" w:noHBand="0" w:noVBand="0" w:val="0020"/>
      </w:tblPr>
      <w:tblGrid>
        <w:gridCol w:w="2604"/>
        <w:gridCol w:w="3376"/>
        <w:gridCol w:w="1061"/>
        <w:gridCol w:w="1447"/>
        <w:gridCol w:w="1160"/>
      </w:tblGrid>
      <w:tr>
        <w:trPr>
          <w:tblHeader w:val="on"/>
          <w:tblHeader w:val="true"/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 xml:space="preserve">Analysis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 xml:space="preserve">Pain-management pattern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 xml:space="preserve">Cumulative OR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 xml:space="preserve">95% CI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 xml:space="preserve">P value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Primary: weighted multiple imputation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Western medicine only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1.33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1.13 to 1.57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&lt;0.001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Primary: weighted multiple imputation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1.1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0.85 to 1.43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0.462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Primary: weighted multiple imputation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Integrative management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1.3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1.08 to 1.57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0.006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Unweighted multiply imputed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Western medicine only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1.25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1.07 to 1.46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0.004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Unweighted multiply imputed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1.06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0.85 to 1.31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0.612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Unweighted multiply imputed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Integrative management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1.23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1.03 to 1.46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0.019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Survey-weighted complete case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Western medicine only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1.51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1.22 to 1.86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&lt;0.001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Survey-weighted complete case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1.2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0.87 to 1.67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0.272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Survey-weighted complete case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Integrative management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1.32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1.04 to 1.66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0.020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Four groups, proxy interviews included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Western medicine only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1.32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1.13 to 1.55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&lt;0.001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Four groups, proxy interviews included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1.11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0.87 to 1.42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0.390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Four groups, proxy interviews included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Integrative management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1.27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1.05 to 1.55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0.015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Five groups, other-containing pattern included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Western medicine only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1.34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1.13 to 1.58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&lt;0.001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Five groups, other-containing pattern included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1.12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0.86 to 1.46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0.388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Five groups, other-containing pattern included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Integrative management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1.34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1.11 to 1.61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0.003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Five groups, other-containing pattern included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Other-containing pattern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1.41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1.12 to 1.78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0.003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Baseline pain rated at least a little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Western medicine only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1.43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1.20 to 1.71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&lt;0.001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Baseline pain rated at least a little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1.21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1.01 to 1.45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0.037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Baseline pain rated at least a little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Integrative management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1.54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1.32 to 1.81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&lt;0.001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Baseline pain rated at least quite a bit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Western medicine only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1.27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1.04 to 1.55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0.019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Baseline pain rated at least quite a bit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1.02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0.72 to 1.43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0.917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Baseline pain rated at least quite a bit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Integrative management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1.35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1.06 to 1.72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0.016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Generalized overlap weighting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Western medicine only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1.31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1.08 to 1.59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0.006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Generalized overlap weighting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1.14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0.87 to 1.48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0.337</w:t>
            </w:r>
          </w:p>
        </w:tc>
      </w:tr>
      <w:tr>
        <w:trPr>
          <w:cantSplit/>
        </w:trPr>
        <w:tc>
          <w:tcPr>
            <w:vAlign w:val="center"/>
            <w:tcW w:w="260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Generalized overlap weighting</w:t>
            </w:r>
          </w:p>
        </w:tc>
        <w:tc>
          <w:tcPr>
            <w:vAlign w:val="center"/>
            <w:tcW w:w="337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Integrative management</w:t>
            </w:r>
          </w:p>
        </w:tc>
        <w:tc>
          <w:tcPr>
            <w:vAlign w:val="center"/>
            <w:tcW w:w="106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1.28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1.04 to 1.57</w:t>
            </w:r>
          </w:p>
        </w:tc>
        <w:tc>
          <w:tcPr>
            <w:vAlign w:val="center"/>
            <w:tcW w:w="116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 xml:space="preserve">0.021</w:t>
            </w:r>
          </w:p>
        </w:tc>
      </w:tr>
    </w:tbl>
    <w:p>
      <w:pPr>
        <w:pStyle w:val="BodyText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The reference category is no reported pain-relief measure. The other-containing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contrast is shown only in the five-group sensitivity analysis.</w:t>
      </w:r>
    </w:p>
    <w:bookmarkEnd w:id="18"/>
    <w:bookmarkStart w:id="19" w:name="X1e65da75dc01a5d1bec8e205e3e0b884a835898"/>
    <w:p>
      <w:pPr>
        <w:pStyle w:val="Heading2"/>
        <w:jc w:val="left"/>
      </w:pPr>
      <w:r>
        <w:rPr>
          <w:rFonts w:ascii="Times New Roman" w:hAnsi="Times New Roman" w:eastAsia="Times New Roman"/>
          <w:color w:val="000000"/>
          <w:sz w:val="26"/>
        </w:rPr>
        <w:t xml:space="preserve">Table S8. Binary cumulative cut-point diagnostics</w:t>
      </w:r>
    </w:p>
    <w:tbl>
      <w:tblPr>
        <w:tblStyle w:val="Table"/>
        <w:tblW w:type="pct" w:w="5000"/>
        <w:jc w:val="center"/>
        <w:tblLayout w:type="fixed"/>
        <w:tblLook w:firstRow="1" w:lastRow="0" w:firstColumn="0" w:lastColumn="0" w:noHBand="0" w:noVBand="0" w:val="0020"/>
      </w:tblPr>
      <w:tblGrid>
        <w:gridCol w:w="2990"/>
        <w:gridCol w:w="2315"/>
        <w:gridCol w:w="1254"/>
        <w:gridCol w:w="1833"/>
        <w:gridCol w:w="1256"/>
      </w:tblGrid>
      <w:tr>
        <w:trPr>
          <w:tblHeader w:val="on"/>
          <w:tblHeader w:val="true"/>
          <w:cantSplit/>
        </w:trPr>
        <w:tc>
          <w:tcPr>
            <w:vAlign w:val="center"/>
            <w:tcW w:w="299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Pain threshold</w:t>
            </w:r>
          </w:p>
        </w:tc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Pain-management pattern</w:t>
            </w:r>
          </w:p>
        </w:tc>
        <w:tc>
          <w:tcPr>
            <w:vAlign w:val="center"/>
            <w:tcW w:w="12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Adjusted OR</w:t>
            </w:r>
          </w:p>
        </w:tc>
        <w:tc>
          <w:tcPr>
            <w:vAlign w:val="center"/>
            <w:tcW w:w="1833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95% CI</w:t>
            </w:r>
          </w:p>
        </w:tc>
        <w:tc>
          <w:tcPr>
            <w:vAlign w:val="center"/>
            <w:tcW w:w="125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P value</w:t>
            </w:r>
          </w:p>
        </w:tc>
      </w:tr>
      <w:tr>
        <w:trPr>
          <w:cantSplit/>
        </w:trPr>
        <w:tc>
          <w:tcPr>
            <w:vAlign w:val="center"/>
            <w:tcW w:w="299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Pain &gt;= 2</w:t>
            </w:r>
          </w:p>
        </w:tc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Western medicine only</w:t>
            </w:r>
          </w:p>
        </w:tc>
        <w:tc>
          <w:tcPr>
            <w:vAlign w:val="center"/>
            <w:tcW w:w="12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1.27</w:t>
            </w:r>
          </w:p>
        </w:tc>
        <w:tc>
          <w:tcPr>
            <w:vAlign w:val="center"/>
            <w:tcW w:w="1833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0.96 to 1.68</w:t>
            </w:r>
          </w:p>
        </w:tc>
        <w:tc>
          <w:tcPr>
            <w:vAlign w:val="center"/>
            <w:tcW w:w="125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0.093</w:t>
            </w:r>
          </w:p>
        </w:tc>
      </w:tr>
      <w:tr>
        <w:trPr>
          <w:cantSplit/>
        </w:trPr>
        <w:tc>
          <w:tcPr>
            <w:vAlign w:val="center"/>
            <w:tcW w:w="299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Pain &gt;= 2</w:t>
            </w:r>
          </w:p>
        </w:tc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2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0.91</w:t>
            </w:r>
          </w:p>
        </w:tc>
        <w:tc>
          <w:tcPr>
            <w:vAlign w:val="center"/>
            <w:tcW w:w="1833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0.64 to 1.30</w:t>
            </w:r>
          </w:p>
        </w:tc>
        <w:tc>
          <w:tcPr>
            <w:vAlign w:val="center"/>
            <w:tcW w:w="125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0.599</w:t>
            </w:r>
          </w:p>
        </w:tc>
      </w:tr>
      <w:tr>
        <w:trPr>
          <w:cantSplit/>
        </w:trPr>
        <w:tc>
          <w:tcPr>
            <w:vAlign w:val="center"/>
            <w:tcW w:w="299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Pain &gt;= 2</w:t>
            </w:r>
          </w:p>
        </w:tc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Integrative management</w:t>
            </w:r>
          </w:p>
        </w:tc>
        <w:tc>
          <w:tcPr>
            <w:vAlign w:val="center"/>
            <w:tcW w:w="12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1.22</w:t>
            </w:r>
          </w:p>
        </w:tc>
        <w:tc>
          <w:tcPr>
            <w:vAlign w:val="center"/>
            <w:tcW w:w="1833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0.87 to 1.71</w:t>
            </w:r>
          </w:p>
        </w:tc>
        <w:tc>
          <w:tcPr>
            <w:vAlign w:val="center"/>
            <w:tcW w:w="125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0.250</w:t>
            </w:r>
          </w:p>
        </w:tc>
      </w:tr>
      <w:tr>
        <w:trPr>
          <w:cantSplit/>
        </w:trPr>
        <w:tc>
          <w:tcPr>
            <w:vAlign w:val="center"/>
            <w:tcW w:w="299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Pain &gt;= 3</w:t>
            </w:r>
          </w:p>
        </w:tc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Western medicine only</w:t>
            </w:r>
          </w:p>
        </w:tc>
        <w:tc>
          <w:tcPr>
            <w:vAlign w:val="center"/>
            <w:tcW w:w="12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1.30</w:t>
            </w:r>
          </w:p>
        </w:tc>
        <w:tc>
          <w:tcPr>
            <w:vAlign w:val="center"/>
            <w:tcW w:w="1833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1.04 to 1.62</w:t>
            </w:r>
          </w:p>
        </w:tc>
        <w:tc>
          <w:tcPr>
            <w:vAlign w:val="center"/>
            <w:tcW w:w="125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0.020</w:t>
            </w:r>
          </w:p>
        </w:tc>
      </w:tr>
      <w:tr>
        <w:trPr>
          <w:cantSplit/>
        </w:trPr>
        <w:tc>
          <w:tcPr>
            <w:vAlign w:val="center"/>
            <w:tcW w:w="299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Pain &gt;= 3</w:t>
            </w:r>
          </w:p>
        </w:tc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2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1.22</w:t>
            </w:r>
          </w:p>
        </w:tc>
        <w:tc>
          <w:tcPr>
            <w:vAlign w:val="center"/>
            <w:tcW w:w="1833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0.91 to 1.65</w:t>
            </w:r>
          </w:p>
        </w:tc>
        <w:tc>
          <w:tcPr>
            <w:vAlign w:val="center"/>
            <w:tcW w:w="125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0.186</w:t>
            </w:r>
          </w:p>
        </w:tc>
      </w:tr>
      <w:tr>
        <w:trPr>
          <w:cantSplit/>
        </w:trPr>
        <w:tc>
          <w:tcPr>
            <w:vAlign w:val="center"/>
            <w:tcW w:w="299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Pain &gt;= 3</w:t>
            </w:r>
          </w:p>
        </w:tc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Integrative management</w:t>
            </w:r>
          </w:p>
        </w:tc>
        <w:tc>
          <w:tcPr>
            <w:vAlign w:val="center"/>
            <w:tcW w:w="12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1.28</w:t>
            </w:r>
          </w:p>
        </w:tc>
        <w:tc>
          <w:tcPr>
            <w:vAlign w:val="center"/>
            <w:tcW w:w="1833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1.00 to 1.65</w:t>
            </w:r>
          </w:p>
        </w:tc>
        <w:tc>
          <w:tcPr>
            <w:vAlign w:val="center"/>
            <w:tcW w:w="125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0.049</w:t>
            </w:r>
          </w:p>
        </w:tc>
      </w:tr>
      <w:tr>
        <w:trPr>
          <w:cantSplit/>
        </w:trPr>
        <w:tc>
          <w:tcPr>
            <w:vAlign w:val="center"/>
            <w:tcW w:w="299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Pain &gt;= 4</w:t>
            </w:r>
          </w:p>
        </w:tc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Western medicine only</w:t>
            </w:r>
          </w:p>
        </w:tc>
        <w:tc>
          <w:tcPr>
            <w:vAlign w:val="center"/>
            <w:tcW w:w="12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1.34</w:t>
            </w:r>
          </w:p>
        </w:tc>
        <w:tc>
          <w:tcPr>
            <w:vAlign w:val="center"/>
            <w:tcW w:w="1833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1.08 to 1.65</w:t>
            </w:r>
          </w:p>
        </w:tc>
        <w:tc>
          <w:tcPr>
            <w:vAlign w:val="center"/>
            <w:tcW w:w="125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0.007</w:t>
            </w:r>
          </w:p>
        </w:tc>
      </w:tr>
      <w:tr>
        <w:trPr>
          <w:cantSplit/>
        </w:trPr>
        <w:tc>
          <w:tcPr>
            <w:vAlign w:val="center"/>
            <w:tcW w:w="299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Pain &gt;= 4</w:t>
            </w:r>
          </w:p>
        </w:tc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2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1.24</w:t>
            </w:r>
          </w:p>
        </w:tc>
        <w:tc>
          <w:tcPr>
            <w:vAlign w:val="center"/>
            <w:tcW w:w="1833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0.89 to 1.72</w:t>
            </w:r>
          </w:p>
        </w:tc>
        <w:tc>
          <w:tcPr>
            <w:vAlign w:val="center"/>
            <w:tcW w:w="125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0.208</w:t>
            </w:r>
          </w:p>
        </w:tc>
      </w:tr>
      <w:tr>
        <w:trPr>
          <w:cantSplit/>
        </w:trPr>
        <w:tc>
          <w:tcPr>
            <w:vAlign w:val="center"/>
            <w:tcW w:w="299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Pain &gt;= 4</w:t>
            </w:r>
          </w:p>
        </w:tc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Integrative management</w:t>
            </w:r>
          </w:p>
        </w:tc>
        <w:tc>
          <w:tcPr>
            <w:vAlign w:val="center"/>
            <w:tcW w:w="12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1.33</w:t>
            </w:r>
          </w:p>
        </w:tc>
        <w:tc>
          <w:tcPr>
            <w:vAlign w:val="center"/>
            <w:tcW w:w="1833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1.04 to 1.69</w:t>
            </w:r>
          </w:p>
        </w:tc>
        <w:tc>
          <w:tcPr>
            <w:vAlign w:val="center"/>
            <w:tcW w:w="125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0.022</w:t>
            </w:r>
          </w:p>
        </w:tc>
      </w:tr>
      <w:tr>
        <w:trPr>
          <w:cantSplit/>
        </w:trPr>
        <w:tc>
          <w:tcPr>
            <w:vAlign w:val="center"/>
            <w:tcW w:w="299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Pain &gt;= 5</w:t>
            </w:r>
          </w:p>
        </w:tc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Western medicine only</w:t>
            </w:r>
          </w:p>
        </w:tc>
        <w:tc>
          <w:tcPr>
            <w:vAlign w:val="center"/>
            <w:tcW w:w="12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1.40</w:t>
            </w:r>
          </w:p>
        </w:tc>
        <w:tc>
          <w:tcPr>
            <w:vAlign w:val="center"/>
            <w:tcW w:w="1833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1.10 to 1.76</w:t>
            </w:r>
          </w:p>
        </w:tc>
        <w:tc>
          <w:tcPr>
            <w:vAlign w:val="center"/>
            <w:tcW w:w="125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0.005</w:t>
            </w:r>
          </w:p>
        </w:tc>
      </w:tr>
      <w:tr>
        <w:trPr>
          <w:cantSplit/>
        </w:trPr>
        <w:tc>
          <w:tcPr>
            <w:vAlign w:val="center"/>
            <w:tcW w:w="299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Pain &gt;= 5</w:t>
            </w:r>
          </w:p>
        </w:tc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2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1.27</w:t>
            </w:r>
          </w:p>
        </w:tc>
        <w:tc>
          <w:tcPr>
            <w:vAlign w:val="center"/>
            <w:tcW w:w="1833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0.87 to 1.87</w:t>
            </w:r>
          </w:p>
        </w:tc>
        <w:tc>
          <w:tcPr>
            <w:vAlign w:val="center"/>
            <w:tcW w:w="125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0.215</w:t>
            </w:r>
          </w:p>
        </w:tc>
      </w:tr>
      <w:tr>
        <w:trPr>
          <w:cantSplit/>
        </w:trPr>
        <w:tc>
          <w:tcPr>
            <w:vAlign w:val="center"/>
            <w:tcW w:w="2990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Pain &gt;= 5</w:t>
            </w:r>
          </w:p>
        </w:tc>
        <w:tc>
          <w:tcPr>
            <w:vAlign w:val="center"/>
            <w:tcW w:w="231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Integrative management</w:t>
            </w:r>
          </w:p>
        </w:tc>
        <w:tc>
          <w:tcPr>
            <w:vAlign w:val="center"/>
            <w:tcW w:w="1254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1.54</w:t>
            </w:r>
          </w:p>
        </w:tc>
        <w:tc>
          <w:tcPr>
            <w:vAlign w:val="center"/>
            <w:tcW w:w="1833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1.18 to 2.01</w:t>
            </w:r>
          </w:p>
        </w:tc>
        <w:tc>
          <w:tcPr>
            <w:vAlign w:val="center"/>
            <w:tcW w:w="125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0.002</w:t>
            </w:r>
          </w:p>
        </w:tc>
      </w:tr>
    </w:tbl>
    <w:p>
      <w:pPr>
        <w:pStyle w:val="BodyText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Each row comes from a separate survey-weighted binary logistic model using the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same covariates and imputation strategy as the primary model. These are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diagnostic summaries, not independent primary hypotheses.</w:t>
      </w:r>
    </w:p>
    <w:bookmarkEnd w:id="19"/>
    <w:bookmarkStart w:id="20" w:name="Xb59f2bed51268d64fe7b970cd722804f081b794"/>
    <w:p>
      <w:pPr>
        <w:pStyle w:val="Heading2"/>
        <w:jc w:val="left"/>
      </w:pPr>
      <w:r>
        <w:rPr>
          <w:rFonts w:ascii="Times New Roman" w:hAnsi="Times New Roman" w:eastAsia="Times New Roman"/>
          <w:color w:val="000000"/>
          <w:sz w:val="26"/>
        </w:rPr>
        <w:t xml:space="preserve">Table S9. Covariate balance after generalized overlap weighting</w:t>
      </w:r>
    </w:p>
    <w:tbl>
      <w:tblPr>
        <w:tblStyle w:val="Table"/>
        <w:tblW w:type="pct" w:w="5000"/>
        <w:jc w:val="center"/>
        <w:tblLayout w:type="fixed"/>
        <w:tblLook w:firstRow="1" w:lastRow="0" w:firstColumn="0" w:lastColumn="0" w:noHBand="0" w:noVBand="0" w:val="0020"/>
      </w:tblPr>
      <w:tblGrid>
        <w:gridCol w:w="3666"/>
        <w:gridCol w:w="1929"/>
        <w:gridCol w:w="2026"/>
        <w:gridCol w:w="2027"/>
      </w:tblGrid>
      <w:tr>
        <w:trPr>
          <w:tblHeader w:val="on"/>
          <w:tblHeader w:val="true"/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Covariate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Median maximum SMD before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Median maximum SMD after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Maximum SMD after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msk_site_count_w4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0.480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0.016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0.020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cesd10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0.457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0.025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0.032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knee_painYes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0.428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0.016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0.019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outpatient_last_monthYes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0.406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0.028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0.032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ruralRural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0.386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0.037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0.041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arthritisYes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0.378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0.022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0.028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wealth_10k_asinh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0.297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0.017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0.033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baseline_pain_severityVery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0.321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0.017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0.023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baseline_adl_count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0.288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0.023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0.029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self_rated_healthPoor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0.249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0.021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0.028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neck_or_shoulder_painYes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0.236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0.026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0.031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self_rated_healthFair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0.196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0.024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0.032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chronic_disease_count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0.199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0.052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0.055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hospital_last_yearYes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0.182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0.022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0.031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self_rated_healthGood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0.165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0.025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0.030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prior_bmi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0.095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0.029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0.042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self_rated_healthVery poor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0.158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0.018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0.025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age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0.159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0.015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0.024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sexWomen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0.151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0.037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0.042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baseline_iadl_count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0.149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0.029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0.036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partneredMarried/partnered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0.146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0.020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0.024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educationMiddle school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0.145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0.045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0.048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educationCollege or above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0.143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0.042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0.049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back_or_waist_painYes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0.138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0.015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0.017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health_insuranceYes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0.129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0.019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0.023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baseline_pain_severityQuite a bit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0.122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0.035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0.040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educationHigh/vocational school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0.096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0.072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0.076</w:t>
            </w:r>
          </w:p>
        </w:tc>
      </w:tr>
      <w:tr>
        <w:trPr>
          <w:cantSplit/>
        </w:trPr>
        <w:tc>
          <w:tcPr>
            <w:vAlign w:val="center"/>
            <w:tcW w:w="366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educationPrimary or below</w:t>
            </w:r>
          </w:p>
        </w:tc>
        <w:tc>
          <w:tcPr>
            <w:vAlign w:val="center"/>
            <w:tcW w:w="192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0.092</w:t>
            </w:r>
          </w:p>
        </w:tc>
        <w:tc>
          <w:tcPr>
            <w:vAlign w:val="center"/>
            <w:tcW w:w="2026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0.067</w:t>
            </w:r>
          </w:p>
        </w:tc>
        <w:tc>
          <w:tcPr>
            <w:vAlign w:val="center"/>
            <w:tcW w:w="202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0.072</w:t>
            </w:r>
          </w:p>
        </w:tc>
      </w:tr>
    </w:tbl>
    <w:p>
      <w:pPr>
        <w:pStyle w:val="BodyText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The accepted analysis achieved a maximum post-weighting absolute SMD of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0.076; median effective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sample size was approximately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1821.</w:t>
      </w:r>
    </w:p>
    <w:bookmarkEnd w:id="20"/>
    <w:bookmarkStart w:id="21" w:name="X9e967e45eef57be3173102d86a378b0353ddaa2"/>
    <w:p>
      <w:pPr>
        <w:pStyle w:val="Heading2"/>
        <w:jc w:val="left"/>
      </w:pPr>
      <w:r>
        <w:rPr>
          <w:rFonts w:ascii="Times New Roman" w:hAnsi="Times New Roman" w:eastAsia="Times New Roman"/>
          <w:color w:val="000000"/>
          <w:sz w:val="26"/>
        </w:rPr>
        <w:t xml:space="preserve">Table S10. Missingness in prespecified analysis covariates</w:t>
      </w:r>
    </w:p>
    <w:tbl>
      <w:tblPr>
        <w:tblStyle w:val="Table"/>
        <w:tblW w:type="auto" w:w="0"/>
        <w:jc w:val="center"/>
        <w:tblLayout w:type="fixed"/>
        <w:tblLook w:firstRow="1" w:lastRow="0" w:firstColumn="0" w:lastColumn="0" w:noHBand="0" w:noVBand="0" w:val="0020"/>
      </w:tblPr>
      <w:tblGrid>
        <w:gridCol w:w="4631"/>
        <w:gridCol w:w="2412"/>
        <w:gridCol w:w="2605"/>
      </w:tblGrid>
      <w:tr>
        <w:trPr>
          <w:tblHeader w:val="on"/>
          <w:tblHeader w:val="true"/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Variable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Missing n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Missing %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wealth_10k_asinh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709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20.5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prior_bmi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674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19.5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survey_weight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225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6.5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cesd10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67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1.9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self_rated_health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34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1.0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hospital_last_year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4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outpatient_last_month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4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health_insurance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0.1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baseline_adl_count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baseline_iadl_count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age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arthritis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back_or_waist_pain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baseline_pain_severity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chronic_disease_count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education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knee_pain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msk_site_count_w4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neck_or_shoulder_pain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partnered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rural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</w:t>
            </w:r>
          </w:p>
        </w:tc>
      </w:tr>
      <w:tr>
        <w:trPr>
          <w:cantSplit/>
        </w:trPr>
        <w:tc>
          <w:tcPr>
            <w:vAlign w:val="center"/>
            <w:tcW w:w="463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sex</w:t>
            </w:r>
          </w:p>
        </w:tc>
        <w:tc>
          <w:tcPr>
            <w:vAlign w:val="center"/>
            <w:tcW w:w="2412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</w:t>
            </w:r>
          </w:p>
        </w:tc>
        <w:tc>
          <w:tcPr>
            <w:vAlign w:val="center"/>
            <w:tcW w:w="2605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</w:t>
            </w:r>
          </w:p>
        </w:tc>
      </w:tr>
    </w:tbl>
    <w:bookmarkEnd w:id="21"/>
    <w:bookmarkStart w:id="22" w:name="X67fc349a4cb33e82b47b041d72ac2d4a288497b"/>
    <w:p>
      <w:pPr>
        <w:pStyle w:val="Heading2"/>
        <w:jc w:val="left"/>
      </w:pPr>
      <w:r>
        <w:rPr>
          <w:rFonts w:ascii="Times New Roman" w:hAnsi="Times New Roman" w:eastAsia="Times New Roman"/>
          <w:color w:val="000000"/>
          <w:sz w:val="26"/>
        </w:rPr>
        <w:t xml:space="preserve">Table S11. Exploratory effect modification by baseline pain severity</w:t>
      </w:r>
    </w:p>
    <w:tbl>
      <w:tblPr>
        <w:tblStyle w:val="Table"/>
        <w:tblW w:type="pct" w:w="5000"/>
        <w:jc w:val="center"/>
        <w:tblLayout w:type="fixed"/>
        <w:tblLook w:firstRow="1" w:lastRow="0" w:firstColumn="0" w:lastColumn="0" w:noHBand="0" w:noVBand="0" w:val="0020"/>
      </w:tblPr>
      <w:tblGrid>
        <w:gridCol w:w="2701"/>
        <w:gridCol w:w="1157"/>
        <w:gridCol w:w="1447"/>
        <w:gridCol w:w="1447"/>
        <w:gridCol w:w="1447"/>
        <w:gridCol w:w="1449"/>
      </w:tblGrid>
      <w:tr>
        <w:trPr>
          <w:tblHeader w:val="on"/>
          <w:tblHeader w:val="true"/>
          <w:cantSplit/>
        </w:trPr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Baseline pain severity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Pain-management pattern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n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Adjusted cumulative OR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95% CI</w:t>
            </w:r>
          </w:p>
        </w:tc>
        <w:tc>
          <w:tcPr>
            <w:vAlign w:val="center"/>
            <w:tcW w:w="144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 xml:space="preserve">P value</w:t>
            </w:r>
          </w:p>
        </w:tc>
      </w:tr>
      <w:tr>
        <w:trPr>
          <w:cantSplit/>
        </w:trPr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Somewhat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Western medicine only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400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1.49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1.12 to 1.98</w:t>
            </w:r>
          </w:p>
        </w:tc>
        <w:tc>
          <w:tcPr>
            <w:vAlign w:val="center"/>
            <w:tcW w:w="144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0.006</w:t>
            </w:r>
          </w:p>
        </w:tc>
      </w:tr>
      <w:tr>
        <w:trPr>
          <w:cantSplit/>
        </w:trPr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Somewhat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193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1.22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0.82 to 1.80</w:t>
            </w:r>
          </w:p>
        </w:tc>
        <w:tc>
          <w:tcPr>
            <w:vAlign w:val="center"/>
            <w:tcW w:w="144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0.33</w:t>
            </w:r>
          </w:p>
        </w:tc>
      </w:tr>
      <w:tr>
        <w:trPr>
          <w:cantSplit/>
        </w:trPr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Somewhat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Integrative management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220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1.2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0.85 to 1.70</w:t>
            </w:r>
          </w:p>
        </w:tc>
        <w:tc>
          <w:tcPr>
            <w:vAlign w:val="center"/>
            <w:tcW w:w="144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0.305</w:t>
            </w:r>
          </w:p>
        </w:tc>
      </w:tr>
      <w:tr>
        <w:trPr>
          <w:cantSplit/>
        </w:trPr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Quite a bit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Western medicine only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377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1.31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1.00 to 1.70</w:t>
            </w:r>
          </w:p>
        </w:tc>
        <w:tc>
          <w:tcPr>
            <w:vAlign w:val="center"/>
            <w:tcW w:w="144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0.046</w:t>
            </w:r>
          </w:p>
        </w:tc>
      </w:tr>
      <w:tr>
        <w:trPr>
          <w:cantSplit/>
        </w:trPr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Quite a bit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137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1.1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0.74 to 1.64</w:t>
            </w:r>
          </w:p>
        </w:tc>
        <w:tc>
          <w:tcPr>
            <w:vAlign w:val="center"/>
            <w:tcW w:w="144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0.639</w:t>
            </w:r>
          </w:p>
        </w:tc>
      </w:tr>
      <w:tr>
        <w:trPr>
          <w:cantSplit/>
        </w:trPr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Quite a bit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Integrative management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263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1.43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1.00 to 2.06</w:t>
            </w:r>
          </w:p>
        </w:tc>
        <w:tc>
          <w:tcPr>
            <w:vAlign w:val="center"/>
            <w:tcW w:w="144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0.053</w:t>
            </w:r>
          </w:p>
        </w:tc>
      </w:tr>
      <w:tr>
        <w:trPr>
          <w:cantSplit/>
        </w:trPr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Very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Western medicine only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338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1.22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0.89 to 1.69</w:t>
            </w:r>
          </w:p>
        </w:tc>
        <w:tc>
          <w:tcPr>
            <w:vAlign w:val="center"/>
            <w:tcW w:w="144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0.221</w:t>
            </w:r>
          </w:p>
        </w:tc>
      </w:tr>
      <w:tr>
        <w:trPr>
          <w:cantSplit/>
        </w:trPr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Very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Traditional/complementary modalities without Western medicine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90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0.9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0.48 to 1.69</w:t>
            </w:r>
          </w:p>
        </w:tc>
        <w:tc>
          <w:tcPr>
            <w:vAlign w:val="center"/>
            <w:tcW w:w="144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0.752</w:t>
            </w:r>
          </w:p>
        </w:tc>
      </w:tr>
      <w:tr>
        <w:trPr>
          <w:cantSplit/>
        </w:trPr>
        <w:tc>
          <w:tcPr>
            <w:vAlign w:val="center"/>
            <w:tcW w:w="2701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Very</w:t>
            </w:r>
          </w:p>
        </w:tc>
        <w:tc>
          <w:tcPr>
            <w:vAlign w:val="center"/>
            <w:tcW w:w="115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Integrative management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248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1.23</w:t>
            </w:r>
          </w:p>
        </w:tc>
        <w:tc>
          <w:tcPr>
            <w:vAlign w:val="center"/>
            <w:tcW w:w="1447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0.83 to 1.84</w:t>
            </w:r>
          </w:p>
        </w:tc>
        <w:tc>
          <w:tcPr>
            <w:vAlign w:val="center"/>
            <w:tcW w:w="1449" w:type="dxa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pStyle w:val="Compact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 xml:space="preserve">0.304</w:t>
            </w:r>
          </w:p>
        </w:tc>
      </w:tr>
    </w:tbl>
    <w:p>
      <w:pPr>
        <w:pStyle w:val="BodyText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The reference category within each stratum is no reported pain-relief measure.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Models used the primary survey weight, 20 multiply imputed datasets, community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clustering, and all primary-model covariates except baseline pain severity,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which was constant within each stratum. The pooled 6-degree-of-freedom global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management-pattern-by-baseline-severity interaction P value was 0.942. This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analysis was post hoc and exploratory; stratum-specific P values should not be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interpreted as evidence of between-stratum differences.</w:t>
      </w:r>
    </w:p>
    <w:bookmarkEnd w:id="22"/>
    <w:bookmarkStart w:id="26" w:name="figure-s1.-sensitivity-estimates"/>
    <w:p>
      <w:pPr>
        <w:pStyle w:val="Heading2"/>
        <w:jc w:val="left"/>
      </w:pPr>
      <w:r>
        <w:rPr>
          <w:rFonts w:ascii="Times New Roman" w:hAnsi="Times New Roman" w:eastAsia="Times New Roman"/>
          <w:color w:val="000000"/>
          <w:sz w:val="26"/>
        </w:rPr>
        <w:t xml:space="preserve">Figure S1. Sensitivity estimates</w:t>
      </w:r>
    </w:p>
    <w:p>
      <w:pPr>
        <w:pStyle w:val="CaptionedFigure"/>
        <w:keepLines/>
        <w:spacing w:before="80" w:after="80"/>
        <w:jc w:val="center"/>
      </w:pPr>
      <w:r>
        <w:rPr>
          <w:rFonts w:ascii="Times New Roman" w:hAnsi="Times New Roman" w:eastAsia="Times New Roman"/>
          <w:color w:val="000000"/>
          <w:sz w:val="24"/>
        </w:rPr>
        <w:drawing>
          <wp:inline>
            <wp:extent cx="5334000" cy="6830121"/>
            <wp:effectExtent b="0" l="0" r="0" t="0"/>
            <wp:docPr descr="Figure S1. Adjusted cumulative odds ratios across prespecified sensitivity analyses." title="" id="24" name="Picture"/>
            <a:graphic>
              <a:graphicData uri="http://schemas.openxmlformats.org/drawingml/2006/picture">
                <pic:pic>
                  <pic:nvPicPr>
                    <pic:cNvPr descr="../../outputs/figures/figureS1_sensitivity_forest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301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Figure S1. Adjusted cumulative odds ratios across prespecified sensitivity analyses.</w:t>
      </w:r>
    </w:p>
    <w:bookmarkEnd w:id="26"/>
    <w:bookmarkStart w:id="30" w:name="X83838d14718ce651a284a817cde96f25896881e"/>
    <w:p>
      <w:pPr>
        <w:pStyle w:val="Heading2"/>
        <w:jc w:val="left"/>
      </w:pPr>
      <w:r>
        <w:rPr>
          <w:rFonts w:ascii="Times New Roman" w:hAnsi="Times New Roman" w:eastAsia="Times New Roman"/>
          <w:color w:val="000000"/>
          <w:sz w:val="26"/>
        </w:rPr>
        <w:t xml:space="preserve">Figure S2. Covariate balance after generalized overlap weighting</w:t>
      </w:r>
    </w:p>
    <w:p>
      <w:pPr>
        <w:pStyle w:val="CaptionedFigure"/>
        <w:keepLines/>
        <w:spacing w:before="80" w:after="80"/>
        <w:jc w:val="center"/>
      </w:pPr>
      <w:r>
        <w:rPr>
          <w:rFonts w:ascii="Times New Roman" w:hAnsi="Times New Roman" w:eastAsia="Times New Roman"/>
          <w:color w:val="000000"/>
          <w:sz w:val="24"/>
        </w:rPr>
        <w:drawing>
          <wp:inline>
            <wp:extent cx="5334000" cy="4901513"/>
            <wp:effectExtent b="0" l="0" r="0" t="0"/>
            <wp:docPr descr="Figure S2. Covariate balance before and after generalized overlap weighting. The vertical dashed line marks an absolute standardized mean difference of 0.10." title="" id="28" name="Picture"/>
            <a:graphic>
              <a:graphicData uri="http://schemas.openxmlformats.org/drawingml/2006/picture">
                <pic:pic>
                  <pic:nvPicPr>
                    <pic:cNvPr descr="../../outputs/figures/figureS2_overlap_balance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01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Figure S2. Covariate balance before and after generalized overlap weighting. The vertical dashed line marks an absolute standardized mean difference of 0.10.</w:t>
      </w:r>
    </w:p>
    <w:bookmarkEnd w:id="30"/>
    <w:bookmarkStart w:id="34" w:name="X41bcc594fb90dcf33283bbc8ba4ef8b346468e9"/>
    <w:p>
      <w:pPr>
        <w:pStyle w:val="Heading2"/>
        <w:jc w:val="left"/>
      </w:pPr>
      <w:r>
        <w:rPr>
          <w:rFonts w:ascii="Times New Roman" w:hAnsi="Times New Roman" w:eastAsia="Times New Roman"/>
          <w:color w:val="000000"/>
          <w:sz w:val="26"/>
        </w:rPr>
        <w:t xml:space="preserve">Figure S3. Baseline differences by observation of the 2020 pain outcome</w:t>
      </w:r>
    </w:p>
    <w:p>
      <w:pPr>
        <w:pStyle w:val="CaptionedFigure"/>
        <w:keepLines/>
        <w:spacing w:before="80" w:after="80"/>
        <w:jc w:val="center"/>
      </w:pPr>
      <w:r>
        <w:rPr>
          <w:rFonts w:ascii="Times New Roman" w:hAnsi="Times New Roman" w:eastAsia="Times New Roman"/>
          <w:color w:val="000000"/>
          <w:sz w:val="24"/>
        </w:rPr>
        <w:drawing>
          <wp:inline>
            <wp:extent cx="5334000" cy="5189837"/>
            <wp:effectExtent b="0" l="0" r="0" t="0"/>
            <wp:docPr descr="Figure S3. Absolute standardized mean differences comparing participants with and without a valid 2020 pain outcome." title="" id="32" name="Picture"/>
            <a:graphic>
              <a:graphicData uri="http://schemas.openxmlformats.org/drawingml/2006/picture">
                <pic:pic>
                  <pic:nvPicPr>
                    <pic:cNvPr descr="../../outputs/presubmission_audit_v2/figures/attrition_balanc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898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  <w:jc w:val="left"/>
      </w:pPr>
      <w:r>
        <w:rPr>
          <w:rFonts w:ascii="Times New Roman" w:hAnsi="Times New Roman" w:eastAsia="Times New Roman"/>
          <w:color w:val="000000"/>
          <w:sz w:val="24"/>
        </w:rPr>
        <w:t xml:space="preserve">Figure S3. Absolute standardized mean differences comparing participants with and without a valid 2020 pain outcome.</w:t>
      </w:r>
    </w:p>
    <w:bookmarkEnd w:id="34"/>
    <w:sectPr>
      <w:headerReference w:type="default" r:id="rId9"/>
      <w:footerReference w:type="default" r:id="rId10"/>
      <w:footnotePr>
        <w:numRestart w:val="eachSect"/>
      </w:footnotePr>
      <w:pgSz w:w="12240" w:h="15840"/>
      <w:pgMar w:top="1224" w:bottom="1080" w:left="1440" w:right="1152" w:header="504" w:footer="50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suppressLineNumbers/>
    </w:pPr>
    <w:r>
      <w:rPr>
        <w:rFonts w:ascii="Times New Roman" w:hAnsi="Times New Roman" w:eastAsia="Times New Roman"/>
        <w:color w:val="000000"/>
        <w:sz w:val="20"/>
      </w:rPr>
      <w:fldChar w:fldCharType="begin"/>
      <w:instrText xml:space="preserve"> PAGE </w:instrText>
      <w:fldChar w:fldCharType="separate"/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suppressLineNumbers/>
    </w:pPr>
    <w:r>
      <w:rPr>
        <w:rFonts w:ascii="Times New Roman" w:hAnsi="Times New Roman" w:eastAsia="Times New Roman"/>
        <w:color w:val="000000"/>
        <w:sz w:val="18"/>
      </w:rPr>
      <w:t>Additional file 1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line="480" w:lineRule="auto" w:after="0"/>
    </w:pPr>
    <w:rPr>
      <w:rFonts w:ascii="Times New Roman" w:hAnsi="Times New Roman" w:eastAsia="Times New Roman"/>
      <w:b w:val="0"/>
      <w:color w:val="000000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keepNext/>
      <w:pageBreakBefore w:val="0"/>
      <w:spacing w:after="60" w:line="240" w:lineRule="auto" w:before="0"/>
      <w:contextualSpacing/>
      <w:jc w:val="center"/>
    </w:pPr>
    <w:rPr>
      <w:rFonts w:asciiTheme="majorHAnsi" w:cstheme="majorBidi" w:eastAsiaTheme="majorEastAsia" w:hAnsiTheme="majorHAnsi" w:ascii="Times New Roman" w:hAnsi="Times New Roman" w:eastAsia="Times New Roman"/>
      <w:b/>
      <w:color w:val="000000"/>
      <w:sz w:val="32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 w:ascii="Times New Roman" w:hAnsi="Times New Roman" w:eastAsia="Times New Roman"/>
      <w:b w:val="0"/>
      <w:color w:val="000000"/>
      <w:spacing w:val="15"/>
      <w:sz w:val="22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rFonts w:ascii="Times New Roman" w:hAnsi="Times New Roman" w:eastAsia="Times New Roman"/>
      <w:b w:val="0"/>
      <w:color w:val="000000"/>
      <w:sz w:val="22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rFonts w:ascii="Times New Roman" w:hAnsi="Times New Roman" w:eastAsia="Times New Roman"/>
      <w:b w:val="0"/>
      <w:color w:val="000000"/>
      <w:sz w:val="22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Times New Roman" w:hAnsi="Times New Roman" w:eastAsia="Times New Roman"/>
      <w:b w:val="0"/>
      <w:color w:val="000000"/>
      <w:sz w:val="20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pageBreakBefore w:val="0"/>
      <w:spacing w:after="60" w:before="160"/>
      <w:outlineLvl w:val="0"/>
    </w:pPr>
    <w:rPr>
      <w:rFonts w:asciiTheme="majorHAnsi" w:cstheme="majorBidi" w:eastAsiaTheme="majorEastAsia" w:hAnsiTheme="majorHAnsi" w:ascii="Times New Roman" w:hAnsi="Times New Roman" w:eastAsia="Times New Roman"/>
      <w:b/>
      <w:color w:val="000000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pageBreakBefore w:val="0"/>
      <w:spacing w:after="60" w:before="160"/>
      <w:outlineLvl w:val="1"/>
    </w:pPr>
    <w:rPr>
      <w:rFonts w:asciiTheme="majorHAnsi" w:cstheme="majorBidi" w:eastAsiaTheme="majorEastAsia" w:hAnsiTheme="majorHAnsi" w:ascii="Times New Roman" w:hAnsi="Times New Roman" w:eastAsia="Times New Roman"/>
      <w:b/>
      <w:color w:val="000000"/>
      <w:sz w:val="26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pageBreakBefore w:val="0"/>
      <w:spacing w:after="60" w:before="160"/>
      <w:outlineLvl w:val="2"/>
    </w:pPr>
    <w:rPr>
      <w:rFonts w:cstheme="majorBidi" w:eastAsiaTheme="majorEastAsia" w:ascii="Times New Roman" w:hAnsi="Times New Roman" w:eastAsia="Times New Roman"/>
      <w:b/>
      <w:color w:val="000000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  <w:style w:type="paragraph" w:customStyle="1" w:styleId="TableText">
    <w:name w:val="Table Text"/>
    <w:rPr>
      <w:rFonts w:ascii="Times New Roman" w:hAnsi="Times New Roman" w:eastAsia="Times New Roman"/>
      <w:b w:val="0"/>
      <w:color w:val="000000"/>
      <w:sz w:val="16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23" Type="http://schemas.openxmlformats.org/officeDocument/2006/relationships/image" Target="media/rId23.png"/><Relationship Id="rId27" Type="http://schemas.openxmlformats.org/officeDocument/2006/relationships/image" Target="media/rId27.png"/><Relationship Id="rId31" Type="http://schemas.openxmlformats.org/officeDocument/2006/relationships/image" Target="media/rId31.pn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1: Supplementary methods, tables, and figures</dc:title>
  <dc:creator/>
  <cp:keywords/>
  <dcterms:created xsi:type="dcterms:W3CDTF">2026-07-20T11:58:53Z</dcterms:created>
  <dcterms:modified xsi:type="dcterms:W3CDTF">2026-07-20T11:58:53Z</dcterms:modified>
  <dc:subject>BMC Musculoskeletal Disorders research article submission draft</dc:subject>
  <dc:description/>
  <cp:lastModifiedBy/>
</cp:coreProperties>
</file>