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44545" w14:textId="77777777" w:rsidR="003C2EF6" w:rsidRDefault="003C2EF6" w:rsidP="003C2EF6">
      <w:pPr>
        <w:spacing w:before="240" w:after="120" w:line="480" w:lineRule="auto"/>
      </w:pPr>
      <w:r>
        <w:rPr>
          <w:b/>
          <w:bCs/>
        </w:rPr>
        <w:t>Supplementary Figures:</w:t>
      </w:r>
    </w:p>
    <w:p w14:paraId="50A22C53" w14:textId="77777777" w:rsidR="003C2EF6" w:rsidRDefault="003C2EF6" w:rsidP="003C2EF6">
      <w:pPr>
        <w:spacing w:after="120" w:line="480" w:lineRule="auto"/>
        <w:jc w:val="both"/>
      </w:pPr>
      <w:r>
        <w:rPr>
          <w:b/>
          <w:bCs/>
        </w:rPr>
        <w:t xml:space="preserve">Supplementary Figure S1 </w:t>
      </w:r>
      <w:r>
        <w:t xml:space="preserve">Distribution of colonic diverticula by region at the index colonoscopy (N = 98). Colon schematic shaded according to the three mutually exclusive categories in which diverticula were confined to a single region: right-sided (caecum and ascending colon; n = 32, 32.7%), transverse colon only (n = 5, 5.1%), and left-sided (descending and sigmoid colon; n = 29, 29.6%). Bilateral (n = 21, 21.4%) and pan-colonic (n = 6, 6.1%) disease involves more than one region and is therefore not colour-coded, and is listed together with cases in which no segment was specified (n = 5, 5.1%); all categories sum to 98. </w:t>
      </w:r>
    </w:p>
    <w:p w14:paraId="788B5832" w14:textId="77777777" w:rsidR="003C2EF6" w:rsidRDefault="003C2EF6" w:rsidP="003C2EF6">
      <w:pPr>
        <w:spacing w:after="120" w:line="480" w:lineRule="auto"/>
        <w:jc w:val="both"/>
      </w:pPr>
      <w:r>
        <w:rPr>
          <w:b/>
          <w:bCs/>
        </w:rPr>
        <w:t xml:space="preserve">Supplementary Figure S2 </w:t>
      </w:r>
      <w:r>
        <w:t>Cohort accrual and follow-up duration. Left panel (a), number of index colonoscopies performed in each year of the study period. Right panel (b), distribution of follow-up duration across the cohort; the dashed line indicates the median follow-up of 5.6 years.</w:t>
      </w:r>
    </w:p>
    <w:p w14:paraId="14C37386" w14:textId="77777777" w:rsidR="00E023F9" w:rsidRDefault="00E023F9"/>
    <w:sectPr w:rsidR="00E023F9" w:rsidSect="003C2EF6">
      <w:footerReference w:type="default" r:id="rId4"/>
      <w:pgSz w:w="11906" w:h="16838"/>
      <w:pgMar w:top="1440" w:right="1440" w:bottom="1440" w:left="1440" w:header="708" w:footer="708" w:gutter="0"/>
      <w:lnNumType w:countBy="1" w:distance="360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B1639" w14:textId="77777777" w:rsidR="003C2EF6" w:rsidRDefault="003C2EF6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F6"/>
    <w:rsid w:val="000C4033"/>
    <w:rsid w:val="00173ED8"/>
    <w:rsid w:val="002F50B1"/>
    <w:rsid w:val="003C2EF6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A5F75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8ACE1"/>
  <w15:chartTrackingRefBased/>
  <w15:docId w15:val="{7F22B596-0F68-4EA9-9A34-099DD95D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EF6"/>
    <w:pPr>
      <w:spacing w:after="0" w:line="240" w:lineRule="auto"/>
    </w:pPr>
    <w:rPr>
      <w:rFonts w:ascii="Times New Roman" w:eastAsia="Times New Roman" w:hAnsi="Times New Roman" w:cs="Times New Roman"/>
      <w:kern w:val="0"/>
      <w:lang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E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E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E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E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E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E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E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E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E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E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E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E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E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E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E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E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E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2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E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2E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E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2E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E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2E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E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EF6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3C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2026-07-30T10:29:00Z</dcterms:created>
  <dcterms:modified xsi:type="dcterms:W3CDTF">2026-07-30T10:29:00Z</dcterms:modified>
</cp:coreProperties>
</file>