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Times New Roman" w:cs="Times New Roman" w:eastAsia="Times New Roman" w:hAnsi="Times New Roman"/>
          <w:b/>
          <w:bCs/>
          <w:color w:val="000000"/>
          <w:sz w:val="24"/>
          <w:szCs w:val="24"/>
        </w:rPr>
        <w:t xml:space="preserve">Additional file 1</w:t>
      </w:r>
    </w:p>
    <w:p>
      <w:pPr>
        <w:spacing w:after="60"/>
      </w:pPr>
      <w:r>
        <w:rPr>
          <w:rFonts w:ascii="Times New Roman" w:cs="Times New Roman" w:eastAsia="Times New Roman" w:hAnsi="Times New Roman"/>
          <w:b/>
          <w:bCs/>
          <w:color w:val="000000"/>
          <w:sz w:val="22"/>
          <w:szCs w:val="22"/>
        </w:rPr>
        <w:t xml:space="preserve">STROBE Statement — checklist of items that should be included in reports of cross-sectional studies</w:t>
      </w:r>
    </w:p>
    <w:p>
      <w:pPr>
        <w:spacing w:after="200"/>
      </w:pPr>
      <w:r>
        <w:rPr>
          <w:rFonts w:ascii="Times New Roman" w:cs="Times New Roman" w:eastAsia="Times New Roman" w:hAnsi="Times New Roman"/>
          <w:i/>
          <w:iCs/>
          <w:color w:val="000000"/>
          <w:sz w:val="19"/>
          <w:szCs w:val="19"/>
        </w:rPr>
        <w:t xml:space="preserve">Manuscript: “Geographic and behavioural determinants of healthcare facility choice among hypertensive patients in urban South India: a cross-sectional study.” Section references correspond to the headed sections of the main manuscript, which carries continuous line numbers to aid location.</w:t>
      </w:r>
    </w:p>
    <w:tbl>
      <w:tblPr>
        <w:tblW w:type="dxa" w:w="8700"/>
        <w:tblBorders>
          <w:top w:val="single" w:sz="8"/>
          <w:left w:val="none"/>
          <w:bottom w:val="single" w:sz="8"/>
          <w:right w:val="none"/>
          <w:insideH w:val="single" w:color="999999" w:sz="2"/>
          <w:insideV w:val="none"/>
        </w:tblBorders>
      </w:tblPr>
      <w:tblGrid>
        <w:gridCol w:w="900"/>
        <w:gridCol w:w="3200"/>
        <w:gridCol w:w="4600"/>
      </w:tblGrid>
      <w:tr>
        <w:trPr>
          <w:tblHeader/>
        </w:trP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Item</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Recommendation</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Reported in section</w:t>
            </w:r>
          </w:p>
        </w:tc>
      </w:tr>
      <w:tr>
        <w:tc>
          <w:tcPr>
            <w:tcW w:type="dxa" w:w="87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Title and abstract</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(a) Indicate the study’s design with a commonly used term in the title or the abstract. (b) Provide in the abstract an informative and balanced summary of what was done and what was found.</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Title (“cross-sectional study”); Abstract — Background, Methods, Results, Conclusions.</w:t>
            </w:r>
          </w:p>
        </w:tc>
      </w:tr>
      <w:tr>
        <w:tc>
          <w:tcPr>
            <w:tcW w:type="dxa" w:w="87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Introduction</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2</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Explain the scientific background and rationale for the investigation being reported.</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Background (paras 1–5).</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3</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State specific objectives, including any pre-specified hypotheses.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Background (final two paragraphs — aims and outcomes).</w:t>
            </w:r>
          </w:p>
        </w:tc>
      </w:tr>
      <w:tr>
        <w:tc>
          <w:tcPr>
            <w:tcW w:type="dxa" w:w="87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Methods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4</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Present key elements of study design early in the paper.</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Study design and setting.</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5</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Describe the setting, locations, and relevant dates of recruitment, exposure, follow-up, and data collection.</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Study design and setting; Data collection procedures.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6</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(a) Give the eligibility criteria, and the sources and methods of selection of participants.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Study population and sampling.</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7</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Clearly define all outcomes, exposures, predictors, potential confounders, and effect modifiers.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Variable definitions and classification; Bypass variable definitions.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8</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For each variable of interest, give sources of data and details of methods of assessment (measurement). Describe comparability of assessment methods if there is more than one group.</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Data collection procedures; Distance computation; Accessibility concordance assessment.</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9</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Describe any efforts to address potential sources of bias.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Distance computation (exclusion of geocoding outliers); Mixed-effects logistic regression (exclusion of distance-derived covariates to avoid outcome leakage).</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10</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Explain how the study size was arrived at.</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Study population and sampling (all eligible geocoded patients in the field-practice area; N = 503).</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11</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Explain how quantitative variables were handled in the analyses. If applicable, describe which groupings were chosen and why.</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Variable definitions; Spatial cluster definition; Distance-decay modelling.</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12</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(a–e) Describe all statistical methods, including those used to control for confounding; examination of subgroups and interactions; how missing data were addressed; sensitivity analyses.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Methods — Mixed-effects logistic regression; Care-level choice model; Model diagnostics; Statistical software and reproducibility; Bypass variable definitions (sensitivity definitions B–D).</w:t>
            </w:r>
          </w:p>
        </w:tc>
      </w:tr>
      <w:tr>
        <w:tc>
          <w:tcPr>
            <w:tcW w:type="dxa" w:w="87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Results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13</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(a) Report numbers of individuals at each stage of the study. (b) Give reasons for non-participation. (c) Consider use of a flow diagram.</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Results — Sample characteristics; Methods (exclusions for missing income data and distance outliers, with resulting N per model).</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14</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(a) Give characteristics of study participants and information on exposures and potential confounders. (b) Indicate number of participants with missing data for each variable of interest.</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Results — Sample characteristics (Table 1); model footnotes report excluded/missing cases.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15</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Report numbers of outcome events or summary measures.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Results — Prevalence of healthcare-pathway deviation (Table 2); Facility utilisation (Table 8).</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16</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(a) Give unadjusted estimates and, if applicable, confounder-adjusted estimates and their precision (e.g. 95% CI). (b) Report category boundaries when continuous variables were categorised. (c) Translate estimates of relative risk into absolute risk for a meaningful time period.</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Results — Univariate analysis (Table 3); Primary and secondary mixed-effects models (Tables 4, 5); Care-level model (Table 9).</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17</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Report other analyses done — e.g. analyses of subgroups and interactions, and sensitivity analyses.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Results — Distance decay (Table 7); Agreement between self-reported and computed accessibility (Table 6); Spatial structure of utilisation (Figs 2–4).</w:t>
            </w:r>
          </w:p>
        </w:tc>
      </w:tr>
      <w:tr>
        <w:tc>
          <w:tcPr>
            <w:tcW w:type="dxa" w:w="87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Discussion</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18</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Summarise key results with reference to study objectives.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Discussion (opening paragraph).</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19</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Discuss limitations, taking into account sources of potential bias or imprecision.</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Discussion — Strengths and limitations.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20</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Give a cautious overall interpretation of results considering objectives, limitations, similar studies, and other relevant evidence.</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Discussion (paragraphs 2–9); Conclusions.</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21</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Discuss the generalisability (external validity) of the study results.</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Discussion — Strengths and limitations; Conclusions.</w:t>
            </w:r>
          </w:p>
        </w:tc>
      </w:tr>
      <w:tr>
        <w:tc>
          <w:tcPr>
            <w:tcW w:type="dxa" w:w="87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Other information</w:t>
            </w:r>
          </w:p>
        </w:tc>
      </w:tr>
      <w:tr>
        <w:tc>
          <w:tcPr>
            <w:tcW w:type="dxa" w:w="900"/>
            <w:tcMar>
              <w:top w:type="dxa" w:w="40"/>
              <w:left w:type="dxa" w:w="90"/>
              <w:bottom w:type="dxa" w:w="40"/>
              <w:right w:type="dxa" w:w="90"/>
            </w:tcMar>
          </w:tcPr>
          <w:p>
            <w:pPr>
              <w:spacing w:after="0" w:line="240"/>
              <w:jc w:val="left"/>
            </w:pPr>
            <w:r>
              <w:rPr>
                <w:rFonts w:ascii="Times New Roman" w:cs="Times New Roman" w:eastAsia="Times New Roman" w:hAnsi="Times New Roman"/>
                <w:b/>
                <w:bCs/>
                <w:color w:val="000000"/>
                <w:sz w:val="20"/>
                <w:szCs w:val="20"/>
              </w:rPr>
              <w:t xml:space="preserve">22</w:t>
            </w:r>
          </w:p>
        </w:tc>
        <w:tc>
          <w:tcPr>
            <w:tcW w:type="dxa" w:w="32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Give the source of funding and the role of the funders for the present study and, if applicable, for the original study on which the present article is based.</w:t>
            </w:r>
          </w:p>
        </w:tc>
        <w:tc>
          <w:tcPr>
            <w:tcW w:type="dxa" w:w="4600"/>
            <w:tcMar>
              <w:top w:type="dxa" w:w="40"/>
              <w:left w:type="dxa" w:w="90"/>
              <w:bottom w:type="dxa" w:w="40"/>
              <w:right w:type="dxa" w:w="90"/>
            </w:tcMar>
          </w:tcPr>
          <w:p>
            <w:pPr>
              <w:spacing w:after="0" w:line="240"/>
              <w:jc w:val="left"/>
            </w:pPr>
            <w:r>
              <w:rPr>
                <w:rFonts w:ascii="Times New Roman" w:cs="Times New Roman" w:eastAsia="Times New Roman" w:hAnsi="Times New Roman"/>
                <w:color w:val="000000"/>
                <w:sz w:val="20"/>
                <w:szCs w:val="20"/>
              </w:rPr>
              <w:t xml:space="preserve">Declarations — Funding.</w:t>
            </w:r>
          </w:p>
        </w:tc>
      </w:tr>
    </w:tbl>
    <w:p>
      <w:pPr>
        <w:spacing w:before="160"/>
      </w:pPr>
      <w:r>
        <w:rPr>
          <w:rFonts w:ascii="Times New Roman" w:cs="Times New Roman" w:eastAsia="Times New Roman" w:hAnsi="Times New Roman"/>
          <w:i/>
          <w:iCs/>
          <w:color w:val="000000"/>
          <w:sz w:val="17"/>
          <w:szCs w:val="17"/>
        </w:rPr>
        <w:t xml:space="preserve">An Explanation and Elaboration article discusses each checklist item and gives methodological background and published examples of transparent reporting. The STROBE checklist is best used in conjunction with this article (freely available at </w:t>
      </w:r>
      <w:r>
        <w:rPr>
          <w:rFonts w:ascii="Times New Roman" w:cs="Times New Roman" w:eastAsia="Times New Roman" w:hAnsi="Times New Roman"/>
          <w:i/>
          <w:iCs/>
          <w:color w:val="000000"/>
          <w:sz w:val="17"/>
          <w:szCs w:val="17"/>
        </w:rPr>
        <w:t xml:space="preserve">https://www.strobe-statement.org</w:t>
      </w:r>
      <w:r>
        <w:rPr>
          <w:rFonts w:ascii="Times New Roman" w:cs="Times New Roman" w:eastAsia="Times New Roman" w:hAnsi="Times New Roman"/>
          <w:i/>
          <w:iCs/>
          <w:color w:val="000000"/>
          <w:sz w:val="17"/>
          <w:szCs w:val="17"/>
        </w:rPr>
        <w:t xml:space="preserve">).</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2026-07-29T11:03:30.100Z</dcterms:created>
  <dcterms:modified xsi:type="dcterms:W3CDTF">2026-07-29T11:03:30.100Z</dcterms:modified>
</cp:coreProperties>
</file>

<file path=docProps/custom.xml><?xml version="1.0" encoding="utf-8"?>
<Properties xmlns="http://schemas.openxmlformats.org/officeDocument/2006/custom-properties" xmlns:vt="http://schemas.openxmlformats.org/officeDocument/2006/docPropsVTypes"/>
</file>