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480" w:lineRule="auto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Tables</w:t>
      </w:r>
    </w:p>
    <w:p>
      <w:pPr>
        <w:spacing w:after="220" w:line="300" w:lineRule="auto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Geographic and behavioural determinants of healthcare facility choice among hypertensive patients in urban South India: a cross-sectional study.</w:t>
      </w:r>
    </w:p>
    <w:p>
      <w:pPr>
        <w:spacing w:after="80" w:before="240" w:line="300" w:lineRule="auto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Table 1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Baseline sample characteristics (N = 503).</w:t>
      </w:r>
    </w:p>
    <w:tbl>
      <w:tblPr>
        <w:tblW w:type="dxa" w:w="8200"/>
        <w:tblBorders>
          <w:top w:val="single" w:color="000000" w:sz="8"/>
          <w:left w:val="none"/>
          <w:bottom w:val="single" w:color="000000" w:sz="8"/>
          <w:right w:val="none"/>
          <w:insideH w:val="single" w:color="999999" w:sz="2"/>
          <w:insideV w:val="none"/>
        </w:tblBorders>
      </w:tblPr>
      <w:tblGrid>
        <w:gridCol w:w="4600"/>
        <w:gridCol w:w="2100"/>
        <w:gridCol w:w="1500"/>
      </w:tblGrid>
      <w:tr>
        <w:trPr>
          <w:tblHeader/>
        </w:trP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Characteristic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%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Age, years, mean ± SD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58.2 ± 12.3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Age group (years)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&lt;40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30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6.0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40–49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94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18.7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50–59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139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27.6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60–69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136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27.0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≥70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104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20.7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Sex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Male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155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30.8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Female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348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69.2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Level of education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Illiterate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313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62.2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Primary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40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8.0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Middle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73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14.5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High school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62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12.3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Intermediate or diploma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Graduate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2.4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Professional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Monthly household income, ₹, median (IQR)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18,000 (10,000–25,000)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Clinical and behavioural characteristics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Diabetes – Yes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258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51.3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Diabetes – No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245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48.7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Any chronic comorbidity – Yes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296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58.8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Any chronic comorbidity – No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207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41.2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Regular antihypertensive medication use – Yes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475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94.4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Regular antihypertensive medication use – No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28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5.6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Regular follow-up attendance – Yes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436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86.7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Regular follow-up attendance – No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67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13.3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Reported healthcare access barrier – Yes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174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34.6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Reported healthcare access barrier – No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329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65.4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Own transport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354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70.4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Public transport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149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29.6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Spatial clustering of household coordinates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Number of distinct spatial clusters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136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Mean cluster size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3.69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Median cluster size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Cluster size range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1–42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Singleton clusters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80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503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100.0</w:t>
            </w:r>
          </w:p>
        </w:tc>
      </w:tr>
    </w:tbl>
    <w:p>
      <w:pPr>
        <w:spacing w:after="220" w:before="70" w:line="280" w:lineRule="auto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SD standard deviation, IQR interquartile range.</w:t>
      </w:r>
    </w:p>
    <w:p>
      <w:pPr>
        <w:spacing w:after="80" w:before="240" w:line="300" w:lineRule="auto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Table 2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Prevalence of primary-care bypass (N = 503).</w:t>
      </w:r>
    </w:p>
    <w:tbl>
      <w:tblPr>
        <w:tblW w:type="dxa" w:w="8200"/>
        <w:tblBorders>
          <w:top w:val="single" w:color="000000" w:sz="8"/>
          <w:left w:val="none"/>
          <w:bottom w:val="single" w:color="000000" w:sz="8"/>
          <w:right w:val="none"/>
          <w:insideH w:val="single" w:color="999999" w:sz="2"/>
          <w:insideV w:val="none"/>
        </w:tblBorders>
      </w:tblPr>
      <w:tblGrid>
        <w:gridCol w:w="1500"/>
        <w:gridCol w:w="4400"/>
        <w:gridCol w:w="1100"/>
        <w:gridCol w:w="1200"/>
      </w:tblGrid>
      <w:tr>
        <w:trPr>
          <w:tblHeader/>
        </w:trPr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Definition</w:t>
            </w:r>
          </w:p>
        </w:tc>
        <w:tc>
          <w:tcPr>
            <w:tcW w:type="dxa" w:w="4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Operational definition</w:t>
            </w:r>
          </w:p>
        </w:tc>
        <w:tc>
          <w:tcPr>
            <w:tcW w:type="dxa" w:w="1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%</w:t>
            </w:r>
          </w:p>
        </w:tc>
      </w:tr>
      <w:tr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Bypass_A</w:t>
            </w:r>
          </w:p>
        </w:tc>
        <w:tc>
          <w:tcPr>
            <w:tcW w:type="dxa" w:w="4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Did not attend nearest government primary facility</w:t>
            </w:r>
          </w:p>
        </w:tc>
        <w:tc>
          <w:tcPr>
            <w:tcW w:type="dxa" w:w="1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429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85.3</w:t>
            </w:r>
          </w:p>
        </w:tc>
      </w:tr>
      <w:tr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Bypass_B</w:t>
            </w:r>
          </w:p>
        </w:tc>
        <w:tc>
          <w:tcPr>
            <w:tcW w:type="dxa" w:w="4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Travelled beyond a government primary facility within 1 km</w:t>
            </w:r>
          </w:p>
        </w:tc>
        <w:tc>
          <w:tcPr>
            <w:tcW w:type="dxa" w:w="1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93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18.5</w:t>
            </w:r>
          </w:p>
        </w:tc>
      </w:tr>
      <w:tr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Bypass_C</w:t>
            </w:r>
          </w:p>
        </w:tc>
        <w:tc>
          <w:tcPr>
            <w:tcW w:type="dxa" w:w="4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Attended secondary/tertiary facility for routine hypertension care</w:t>
            </w:r>
          </w:p>
        </w:tc>
        <w:tc>
          <w:tcPr>
            <w:tcW w:type="dxa" w:w="1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278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55.3</w:t>
            </w:r>
          </w:p>
        </w:tc>
      </w:tr>
      <w:tr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Bypass_D</w:t>
            </w:r>
          </w:p>
        </w:tc>
        <w:tc>
          <w:tcPr>
            <w:tcW w:type="dxa" w:w="4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Did not attend nearest facility of any type</w:t>
            </w:r>
          </w:p>
        </w:tc>
        <w:tc>
          <w:tcPr>
            <w:tcW w:type="dxa" w:w="1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356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70.8</w:t>
            </w:r>
          </w:p>
        </w:tc>
      </w:tr>
    </w:tbl>
    <w:p>
      <w:pPr>
        <w:spacing w:after="220" w:before="70" w:line="280" w:lineRule="auto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Bypass_A is the primary outcome; Bypass_B–D are alternative (sensitivity) definitions.</w:t>
      </w:r>
    </w:p>
    <w:p>
      <w:pPr>
        <w:spacing w:after="80" w:before="240" w:line="300" w:lineRule="auto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Table 3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Univariate association with primary-care bypass (Bypass_A) (analytic sample N = 499; bypass present n = 425, absent n = 74).</w:t>
      </w:r>
    </w:p>
    <w:tbl>
      <w:tblPr>
        <w:tblW w:type="dxa" w:w="8800"/>
        <w:tblBorders>
          <w:top w:val="single" w:color="000000" w:sz="8"/>
          <w:left w:val="none"/>
          <w:bottom w:val="single" w:color="000000" w:sz="8"/>
          <w:right w:val="none"/>
          <w:insideH w:val="single" w:color="999999" w:sz="2"/>
          <w:insideV w:val="none"/>
        </w:tblBorders>
      </w:tblPr>
      <w:tblGrid>
        <w:gridCol w:w="2600"/>
        <w:gridCol w:w="1900"/>
        <w:gridCol w:w="1900"/>
        <w:gridCol w:w="1400"/>
        <w:gridCol w:w="1000"/>
      </w:tblGrid>
      <w:tr>
        <w:trPr>
          <w:tblHeader/>
        </w:trP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Variable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Test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OR / value (bypass vs not)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95% CI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Sex: male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Chi-square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 0.69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0.41–1.16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0.204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Own transport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Chi-square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 0.29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0.14–0.61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Diabetes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Chi-square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 0.77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0.47–1.27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0.373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Comorbidity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Chi-square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 0.74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0.44–1.25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0.318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Access barrier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Chi-square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 0.90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0.54–1.51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0.792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Regular medication use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Chi-square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 0.68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0.20–2.30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0.721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Regular follow-up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Chi-square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 0.42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0.16–1.09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0.101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Age, years, median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Mann–Whitney U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58.0 vs 60.0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0.493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Education (ordinal), median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Mann–Whitney U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 vs 0.0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0.022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Income, ₹, median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Mann–Whitney U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15,000 vs 20,000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Distance to facility, km, median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Mann–Whitney U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1.7 vs 0.2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2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Distance ratio, median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Mann–Whitney U</w:t>
            </w:r>
          </w:p>
        </w:tc>
        <w:tc>
          <w:tcPr>
            <w:tcW w:type="dxa" w:w="1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1.2 vs 1.0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  <w:tc>
          <w:tcPr>
            <w:tcW w:type="dxa" w:w="1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0.002</w:t>
            </w:r>
          </w:p>
        </w:tc>
      </w:tr>
    </w:tbl>
    <w:p>
      <w:pPr>
        <w:spacing w:after="220" w:before="70" w:line="280" w:lineRule="auto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OR odds ratio, CI confidence interval.</w:t>
      </w:r>
    </w:p>
    <w:p>
      <w:pPr>
        <w:spacing w:after="80" w:before="240" w:line="300" w:lineRule="auto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Table 4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Primary mixed-effects logistic regression model for primary-care bypass (Bypass_A) (N = 501).</w:t>
      </w:r>
    </w:p>
    <w:tbl>
      <w:tblPr>
        <w:tblW w:type="dxa" w:w="8800"/>
        <w:tblBorders>
          <w:top w:val="single" w:color="000000" w:sz="8"/>
          <w:left w:val="none"/>
          <w:bottom w:val="single" w:color="000000" w:sz="8"/>
          <w:right w:val="none"/>
          <w:insideH w:val="single" w:color="999999" w:sz="2"/>
          <w:insideV w:val="none"/>
        </w:tblBorders>
      </w:tblPr>
      <w:tblGrid>
        <w:gridCol w:w="3000"/>
        <w:gridCol w:w="1400"/>
        <w:gridCol w:w="2000"/>
        <w:gridCol w:w="1200"/>
        <w:gridCol w:w="1200"/>
      </w:tblGrid>
      <w:tr>
        <w:trPr>
          <w:tblHeader/>
        </w:trP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Predictor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aOR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95% CI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Age (per 10 years)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1.08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1.02–1.14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0.027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0.005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Male sex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0.59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0.35–1.00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0.271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0.050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Education (per level)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1.02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0.86–1.21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0.088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0.848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Income (per ₹10,000)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1.14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1.00–1.31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0.069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0.058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Own transport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0.42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0.29–0.59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0.176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Diabetes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1.11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0.73–1.68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0.212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0.628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Any comorbidity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1.29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0.87–1.89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0.197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0.202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Access barrier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0.56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0.33–0.95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0.270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0.032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Regular medication use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2.69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1.95–3.71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0.164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Regular follow-up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0.28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0.20–0.39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0.169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</w:tbl>
    <w:p>
      <w:pPr>
        <w:spacing w:after="220" w:before="70" w:line="280" w:lineRule="auto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aOR adjusted odds ratio, SE standard error. Model diagnostics: ICC 0.673; AUC 0.697; Hosmer–Lemeshow p = 0.392; maximum VIF 3.96 (diabetes); mean |Pearson residual| 0.665; 7.2% of observations with |residual| &gt; 2.</w:t>
      </w:r>
    </w:p>
    <w:p>
      <w:pPr>
        <w:spacing w:after="80" w:before="240" w:line="300" w:lineRule="auto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Table 5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Secondary mixed-effects logistic regression model for facility-sector choice (government vs private) (N = 499).</w:t>
      </w:r>
    </w:p>
    <w:tbl>
      <w:tblPr>
        <w:tblW w:type="dxa" w:w="8200"/>
        <w:tblBorders>
          <w:top w:val="single" w:color="000000" w:sz="8"/>
          <w:left w:val="none"/>
          <w:bottom w:val="single" w:color="000000" w:sz="8"/>
          <w:right w:val="none"/>
          <w:insideH w:val="single" w:color="999999" w:sz="2"/>
          <w:insideV w:val="none"/>
        </w:tblBorders>
      </w:tblPr>
      <w:tblGrid>
        <w:gridCol w:w="3400"/>
        <w:gridCol w:w="1400"/>
        <w:gridCol w:w="2100"/>
        <w:gridCol w:w="1300"/>
      </w:tblGrid>
      <w:tr>
        <w:trPr>
          <w:tblHeader/>
        </w:trP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Predictor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aOR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95% CI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Age (per 10 years)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1.11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1.07–1.15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Male sex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1.57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1.09–2.26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0.016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Education (per level)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0.84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0.74–0.95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0.006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Income (per ₹10,000)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0.97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0.88–1.06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0.505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Own transport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0.77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0.61–0.98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0.030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Diabetes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1.23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0.92–1.63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0.160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Any comorbidity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0.64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0.49–0.83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Access barrier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3.57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2.51–5.08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Distance to chosen facility (per km)</w:t>
            </w:r>
          </w:p>
        </w:tc>
        <w:tc>
          <w:tcPr>
            <w:tcW w:type="dxa" w:w="1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0.94</w:t>
            </w:r>
          </w:p>
        </w:tc>
        <w:tc>
          <w:tcPr>
            <w:tcW w:type="dxa" w:w="21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0.87–1.02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0.139</w:t>
            </w:r>
          </w:p>
        </w:tc>
      </w:tr>
    </w:tbl>
    <w:p>
      <w:pPr>
        <w:spacing w:after="220" w:before="70" w:line="280" w:lineRule="auto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Outcome coded 1 = government, 0 = private. Model diagnostics: ICC 0.341; AUC 0.668; Hosmer–Lemeshow p = 0.162.</w:t>
      </w:r>
    </w:p>
    <w:p>
      <w:pPr>
        <w:spacing w:after="80" w:before="240" w:line="300" w:lineRule="auto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Table 6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Concordance between self-reported and computed geographic accessibility measures.</w:t>
      </w:r>
    </w:p>
    <w:tbl>
      <w:tblPr>
        <w:tblW w:type="dxa" w:w="8900"/>
        <w:tblBorders>
          <w:top w:val="single" w:color="000000" w:sz="8"/>
          <w:left w:val="none"/>
          <w:bottom w:val="single" w:color="000000" w:sz="8"/>
          <w:right w:val="none"/>
          <w:insideH w:val="single" w:color="999999" w:sz="2"/>
          <w:insideV w:val="none"/>
        </w:tblBorders>
      </w:tblPr>
      <w:tblGrid>
        <w:gridCol w:w="4300"/>
        <w:gridCol w:w="2200"/>
        <w:gridCol w:w="1200"/>
        <w:gridCol w:w="1200"/>
      </w:tblGrid>
      <w:tr>
        <w:trPr>
          <w:tblHeader/>
        </w:trP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Comparison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Method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Coefficient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</w:t>
            </w:r>
          </w:p>
        </w:tc>
      </w:tr>
      <w:t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Self-reported distance band vs computed distance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Spearman ρ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0.641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Self-reported vs computed distance band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Weighted κ (quadratic)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0.586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Self-reported travel-time band vs computed distance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Spearman ρ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0.385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Distance ratio vs self-reported distance band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Spearman ρ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0.410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</w:tbl>
    <w:p>
      <w:pPr>
        <w:spacing w:after="80" w:before="240" w:line="300" w:lineRule="auto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Table 7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Distance-decay model of healthcare-facility utilisation.</w:t>
      </w:r>
    </w:p>
    <w:tbl>
      <w:tblPr>
        <w:tblW w:type="dxa" w:w="8700"/>
        <w:tblBorders>
          <w:top w:val="single" w:color="000000" w:sz="8"/>
          <w:left w:val="none"/>
          <w:bottom w:val="single" w:color="000000" w:sz="8"/>
          <w:right w:val="none"/>
          <w:insideH w:val="single" w:color="999999" w:sz="2"/>
          <w:insideV w:val="none"/>
        </w:tblBorders>
      </w:tblPr>
      <w:tblGrid>
        <w:gridCol w:w="4300"/>
        <w:gridCol w:w="2200"/>
        <w:gridCol w:w="2200"/>
      </w:tblGrid>
      <w:tr>
        <w:trPr>
          <w:tblHeader/>
        </w:trP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Parameter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Estimate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95% CI</w:t>
            </w:r>
          </w:p>
        </w:tc>
      </w:tr>
      <w:t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Model fit (R²)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0.91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Decay coefficient (β)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0.561 / km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0.471–0.652</w:t>
            </w:r>
          </w:p>
        </w:tc>
      </w:tr>
      <w:t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Utilisation decline per km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43%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4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Half-utilisation distance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1.24 km</w:t>
            </w:r>
          </w:p>
        </w:tc>
        <w:tc>
          <w:tcPr>
            <w:tcW w:type="dxa" w:w="2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–</w:t>
            </w:r>
          </w:p>
        </w:tc>
      </w:tr>
    </w:tbl>
    <w:p>
      <w:pPr>
        <w:spacing w:after="80" w:before="240" w:line="300" w:lineRule="auto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Table 8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Healthcare-facility utilisation — top facilities ranked by patient volume (N = 503; 39 facilities in total).</w:t>
      </w:r>
    </w:p>
    <w:tbl>
      <w:tblPr>
        <w:tblW w:type="dxa" w:w="8700"/>
        <w:tblBorders>
          <w:top w:val="single" w:color="000000" w:sz="8"/>
          <w:left w:val="none"/>
          <w:bottom w:val="single" w:color="000000" w:sz="8"/>
          <w:right w:val="none"/>
          <w:insideH w:val="single" w:color="999999" w:sz="2"/>
          <w:insideV w:val="none"/>
        </w:tblBorders>
      </w:tblPr>
      <w:tblGrid>
        <w:gridCol w:w="3000"/>
        <w:gridCol w:w="1500"/>
        <w:gridCol w:w="1300"/>
        <w:gridCol w:w="700"/>
        <w:gridCol w:w="900"/>
        <w:gridCol w:w="1300"/>
      </w:tblGrid>
      <w:tr>
        <w:trPr>
          <w:tblHeader/>
        </w:trP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Facility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Sector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Care level</w:t>
            </w:r>
          </w:p>
        </w:tc>
        <w:tc>
          <w:tcPr>
            <w:tcW w:type="dxa" w:w="7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</w:t>
            </w:r>
          </w:p>
        </w:tc>
        <w:tc>
          <w:tcPr>
            <w:tcW w:type="dxa" w:w="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%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Median dist. (m)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Urban Primary Health Centre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Government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Primary</w:t>
            </w:r>
          </w:p>
        </w:tc>
        <w:tc>
          <w:tcPr>
            <w:tcW w:type="dxa" w:w="7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84</w:t>
            </w:r>
          </w:p>
        </w:tc>
        <w:tc>
          <w:tcPr>
            <w:tcW w:type="dxa" w:w="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16.7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258.4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District Hospital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Government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Tertiary</w:t>
            </w:r>
          </w:p>
        </w:tc>
        <w:tc>
          <w:tcPr>
            <w:tcW w:type="dxa" w:w="7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78</w:t>
            </w:r>
          </w:p>
        </w:tc>
        <w:tc>
          <w:tcPr>
            <w:tcW w:type="dxa" w:w="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15.5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1395.0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JSS Urban Health Centre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Private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Primary</w:t>
            </w:r>
          </w:p>
        </w:tc>
        <w:tc>
          <w:tcPr>
            <w:tcW w:type="dxa" w:w="7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74</w:t>
            </w:r>
          </w:p>
        </w:tc>
        <w:tc>
          <w:tcPr>
            <w:tcW w:type="dxa" w:w="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14.7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659.2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Private Clinic / Family Doctor (various)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Private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Primary</w:t>
            </w:r>
          </w:p>
        </w:tc>
        <w:tc>
          <w:tcPr>
            <w:tcW w:type="dxa" w:w="7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63</w:t>
            </w:r>
          </w:p>
        </w:tc>
        <w:tc>
          <w:tcPr>
            <w:tcW w:type="dxa" w:w="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12.5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1823.5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KR Hospital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Government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Tertiary</w:t>
            </w:r>
          </w:p>
        </w:tc>
        <w:tc>
          <w:tcPr>
            <w:tcW w:type="dxa" w:w="7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46</w:t>
            </w:r>
          </w:p>
        </w:tc>
        <w:tc>
          <w:tcPr>
            <w:tcW w:type="dxa" w:w="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9.1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2370.0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Prajwal Health Care (Nagaraje Gowda Memorial Hospital)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Private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Secondary</w:t>
            </w:r>
          </w:p>
        </w:tc>
        <w:tc>
          <w:tcPr>
            <w:tcW w:type="dxa" w:w="7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28</w:t>
            </w:r>
          </w:p>
        </w:tc>
        <w:tc>
          <w:tcPr>
            <w:tcW w:type="dxa" w:w="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5.6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762.0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ESI Hospital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Government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Tertiary</w:t>
            </w:r>
          </w:p>
        </w:tc>
        <w:tc>
          <w:tcPr>
            <w:tcW w:type="dxa" w:w="7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</w:t>
            </w:r>
          </w:p>
        </w:tc>
        <w:tc>
          <w:tcPr>
            <w:tcW w:type="dxa" w:w="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4.0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1742.8</w:t>
            </w:r>
          </w:p>
        </w:tc>
      </w:tr>
      <w:tr>
        <w:tc>
          <w:tcPr>
            <w:tcW w:type="dxa" w:w="3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Sri Jayadeva Institute of Cardiovascular Sciences</w:t>
            </w:r>
          </w:p>
        </w:tc>
        <w:tc>
          <w:tcPr>
            <w:tcW w:type="dxa" w:w="15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Government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Tertiary</w:t>
            </w:r>
          </w:p>
        </w:tc>
        <w:tc>
          <w:tcPr>
            <w:tcW w:type="dxa" w:w="7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</w:t>
            </w:r>
          </w:p>
        </w:tc>
        <w:tc>
          <w:tcPr>
            <w:tcW w:type="dxa" w:w="9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3.6</w:t>
            </w:r>
          </w:p>
        </w:tc>
        <w:tc>
          <w:tcPr>
            <w:tcW w:type="dxa" w:w="13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2457.0</w:t>
            </w:r>
          </w:p>
        </w:tc>
      </w:tr>
    </w:tbl>
    <w:p>
      <w:pPr>
        <w:spacing w:after="220" w:before="70" w:line="280" w:lineRule="auto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Top 8 of 39 canonical facilities shown, ranked by patient volume; the full 39-facility table is provided as Additional file 2 (Supplementary Table S1). Sector/level summary (N = 503): Government 256 (50.9%), Private 247 (49.1%); Primary 225 (44.7%), Secondary 78 (15.5%), Tertiary 200 (39.8%).</w:t>
      </w:r>
    </w:p>
    <w:p>
      <w:pPr>
        <w:spacing w:after="80" w:before="240" w:line="300" w:lineRule="auto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Table 9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Ordinal logistic regression for level of care selected (primary &lt; secondary &lt; tertiary; N = 499).</w:t>
      </w:r>
    </w:p>
    <w:tbl>
      <w:tblPr>
        <w:tblW w:type="dxa" w:w="8200"/>
        <w:tblBorders>
          <w:top w:val="single" w:color="000000" w:sz="8"/>
          <w:left w:val="none"/>
          <w:bottom w:val="single" w:color="000000" w:sz="8"/>
          <w:right w:val="none"/>
          <w:insideH w:val="single" w:color="999999" w:sz="2"/>
          <w:insideV w:val="none"/>
        </w:tblBorders>
      </w:tblPr>
      <w:tblGrid>
        <w:gridCol w:w="3400"/>
        <w:gridCol w:w="1600"/>
        <w:gridCol w:w="2000"/>
        <w:gridCol w:w="1200"/>
      </w:tblGrid>
      <w:tr>
        <w:trPr>
          <w:tblHeader/>
        </w:trP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Predictor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Adjusted OR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95% CI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Distance to chosen facility (per km)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1.49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1.33–1.66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&lt;0.001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Reported access barrier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1.54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1.06–2.24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0.023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Any comorbidity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1.70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0.86–3.35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0.126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Male sex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1.23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0.84–1.80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0.278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Income (per ₹10,000)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1.06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0.91–1.24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0.454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Education (per level)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0.96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0.83–1.11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0.569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Age (per 10 years)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0.98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0.85–1.13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0.746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Own transport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0.84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0.57–1.23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0.360</w:t>
            </w:r>
          </w:p>
        </w:tc>
      </w:tr>
      <w:tr>
        <w:tc>
          <w:tcPr>
            <w:tcW w:type="dxa" w:w="34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Diabetes</w:t>
            </w:r>
          </w:p>
        </w:tc>
        <w:tc>
          <w:tcPr>
            <w:tcW w:type="dxa" w:w="16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0.77</w:t>
            </w:r>
          </w:p>
        </w:tc>
        <w:tc>
          <w:tcPr>
            <w:tcW w:type="dxa" w:w="20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0.40–1.51</w:t>
            </w:r>
          </w:p>
        </w:tc>
        <w:tc>
          <w:tcPr>
            <w:tcW w:type="dxa" w:w="1200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0.451</w:t>
            </w:r>
          </w:p>
        </w:tc>
      </w:tr>
    </w:tbl>
    <w:p>
      <w:pPr>
        <w:spacing w:after="220" w:before="70" w:line="280" w:lineRule="auto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Outcome ordered primary (0) &lt; secondary (1) &lt; tertiary (2); adjusted OR &gt; 1 indicates higher odds of selecting a more specialised level of care. The proportional-odds assumption was assessed via cumulative binary splits.</w:t>
      </w:r>
    </w:p>
    <w:sectPr>
      <w:footerReference w:type="default" r:id="rId7"/>
      <w:pgSz w:w="11906" w:h="16838" w:orient="portrait"/>
      <w:pgMar w:top="1440" w:right="1080" w:bottom="144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Tables</dc:title>
  <dc:creator>BMC submission preparation</dc:creator>
  <cp:lastModifiedBy>Un-named</cp:lastModifiedBy>
  <cp:revision>1</cp:revision>
  <dcterms:created xsi:type="dcterms:W3CDTF">2026-07-29T11:11:09.106Z</dcterms:created>
  <dcterms:modified xsi:type="dcterms:W3CDTF">2026-07-29T11:11:09.106Z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