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F019D">
      <w:pPr>
        <w:pStyle w:val="15"/>
      </w:pPr>
      <w:bookmarkStart w:id="0" w:name="OLE_LINK32"/>
      <w:r>
        <w:t xml:space="preserve">SUPPLEMENTARY INFORMATION </w:t>
      </w:r>
    </w:p>
    <w:bookmarkEnd w:id="0"/>
    <w:p w14:paraId="43FDCB23">
      <w:pPr>
        <w:pStyle w:val="16"/>
      </w:pPr>
      <w:r>
        <w:t>for</w:t>
      </w:r>
    </w:p>
    <w:p w14:paraId="7A66D527">
      <w:pPr>
        <w:pStyle w:val="17"/>
      </w:pPr>
      <w:r>
        <w:t>Urban renewal liabilities from ageing housing cohorts</w:t>
      </w:r>
    </w:p>
    <w:p w14:paraId="560C3865">
      <w:pPr>
        <w:pStyle w:val="18"/>
      </w:pPr>
      <w:r>
        <w:t>Yu Chen</w:t>
      </w:r>
      <w:r>
        <w:rPr>
          <w:vertAlign w:val="superscript"/>
        </w:rPr>
        <w:t>1</w:t>
      </w:r>
      <w:r>
        <w:t>, Jinming Yan</w:t>
      </w:r>
      <w:r>
        <w:rPr>
          <w:vertAlign w:val="superscript"/>
        </w:rPr>
        <w:t>1*</w:t>
      </w:r>
      <w:r>
        <w:t>, Yumeng Li</w:t>
      </w:r>
      <w:r>
        <w:rPr>
          <w:vertAlign w:val="superscript"/>
        </w:rPr>
        <w:t>1</w:t>
      </w:r>
      <w:r>
        <w:t xml:space="preserve">, </w:t>
      </w:r>
      <w:r>
        <w:rPr>
          <w:rFonts w:hint="eastAsia"/>
        </w:rPr>
        <w:t>Qi Zhang</w:t>
      </w:r>
      <w:r>
        <w:rPr>
          <w:rFonts w:hint="eastAsia"/>
          <w:vertAlign w:val="superscript"/>
        </w:rPr>
        <w:t>2</w:t>
      </w:r>
      <w:r>
        <w:rPr>
          <w:rFonts w:hint="eastAsia"/>
        </w:rPr>
        <w:t>,</w:t>
      </w:r>
      <w:r>
        <w:rPr>
          <w:rFonts w:hint="eastAsia" w:eastAsia="宋体"/>
          <w:lang w:val="en-US" w:eastAsia="zh-CN"/>
        </w:rPr>
        <w:t xml:space="preserve"> </w:t>
      </w:r>
      <w:r>
        <w:t>Y</w:t>
      </w:r>
      <w:bookmarkStart w:id="44" w:name="_GoBack"/>
      <w:bookmarkEnd w:id="44"/>
      <w:r>
        <w:t>ang Zhou</w:t>
      </w:r>
      <w:r>
        <w:rPr>
          <w:rFonts w:hint="eastAsia" w:eastAsia="宋体"/>
          <w:vertAlign w:val="superscript"/>
          <w:lang w:val="en-US" w:eastAsia="zh-CN"/>
        </w:rPr>
        <w:t>3</w:t>
      </w:r>
      <w:r>
        <w:rPr>
          <w:vertAlign w:val="superscript"/>
        </w:rPr>
        <w:t>*</w:t>
      </w:r>
    </w:p>
    <w:p w14:paraId="3BBB87FA">
      <w:pPr>
        <w:pStyle w:val="18"/>
        <w:keepNext w:val="0"/>
        <w:keepLines w:val="0"/>
        <w:pageBreakBefore w:val="0"/>
        <w:widowControl/>
        <w:kinsoku/>
        <w:wordWrap/>
        <w:overflowPunct/>
        <w:topLinePunct w:val="0"/>
        <w:autoSpaceDE/>
        <w:autoSpaceDN/>
        <w:bidi w:val="0"/>
        <w:adjustRightInd/>
        <w:snapToGrid/>
        <w:spacing w:after="0" w:afterAutospacing="0"/>
        <w:textAlignment w:val="auto"/>
      </w:pPr>
      <w:r>
        <w:rPr>
          <w:vertAlign w:val="superscript"/>
        </w:rPr>
        <w:t>1</w:t>
      </w:r>
      <w:r>
        <w:rPr>
          <w:rFonts w:hint="eastAsia"/>
        </w:rPr>
        <w:t xml:space="preserve"> </w:t>
      </w:r>
      <w:r>
        <w:t>School of Public Administration and Policy, Renmin University of China, Beijing, China</w:t>
      </w:r>
    </w:p>
    <w:p w14:paraId="2DDC6504">
      <w:pPr>
        <w:pStyle w:val="18"/>
        <w:keepNext w:val="0"/>
        <w:keepLines w:val="0"/>
        <w:pageBreakBefore w:val="0"/>
        <w:widowControl/>
        <w:kinsoku/>
        <w:wordWrap/>
        <w:overflowPunct/>
        <w:topLinePunct w:val="0"/>
        <w:autoSpaceDE/>
        <w:autoSpaceDN/>
        <w:bidi w:val="0"/>
        <w:adjustRightInd/>
        <w:snapToGrid/>
        <w:spacing w:before="0" w:beforeAutospacing="0"/>
        <w:textAlignment w:val="auto"/>
      </w:pPr>
      <w:r>
        <w:rPr>
          <w:rFonts w:hint="eastAsia"/>
          <w:vertAlign w:val="superscript"/>
        </w:rPr>
        <w:t>2</w:t>
      </w:r>
      <w:r>
        <w:rPr>
          <w:rFonts w:hint="eastAsia" w:eastAsia="宋体"/>
          <w:vertAlign w:val="baseline"/>
          <w:lang w:val="en-US" w:eastAsia="zh-CN"/>
        </w:rPr>
        <w:t xml:space="preserve"> </w:t>
      </w:r>
      <w:r>
        <w:rPr>
          <w:rFonts w:hint="eastAsia"/>
        </w:rPr>
        <w:t>Department of Geography and Environment, University of North Carolina at Chapel Hill, Chapel Hill, NC, USA</w:t>
      </w:r>
      <w:r>
        <w:br w:type="textWrapping"/>
      </w:r>
      <w:r>
        <w:rPr>
          <w:rFonts w:hint="eastAsia" w:eastAsia="宋体"/>
          <w:vertAlign w:val="superscript"/>
          <w:lang w:val="en-US" w:eastAsia="zh-CN"/>
        </w:rPr>
        <w:t>3</w:t>
      </w:r>
      <w:r>
        <w:rPr>
          <w:rFonts w:hint="eastAsia"/>
          <w:vertAlign w:val="superscript"/>
        </w:rPr>
        <w:t xml:space="preserve"> </w:t>
      </w:r>
      <w:r>
        <w:t>School of Agricultural Economics and Rural Development, Renmin University of China, Beijing, China</w:t>
      </w:r>
    </w:p>
    <w:p w14:paraId="7B1C1AA0">
      <w:r>
        <w:pict>
          <v:rect id="矩形 25" o:spid="_x0000_s1035" o:spt="1" style="height:0.05pt;width:564.65pt;" filled="f" coordsize="21600,21600">
            <v:path/>
            <v:fill on="f" focussize="0,0"/>
            <v:stroke/>
            <v:imagedata o:title=""/>
            <o:lock v:ext="edit" aspectratio="t"/>
            <w10:wrap type="none"/>
            <w10:anchorlock/>
          </v:rect>
        </w:pict>
      </w:r>
    </w:p>
    <w:p w14:paraId="0036539B">
      <w:pPr>
        <w:pStyle w:val="19"/>
      </w:pPr>
      <w:bookmarkStart w:id="1" w:name="_Toc227181459"/>
      <w:r>
        <w:t>This Word file includes:</w:t>
      </w:r>
      <w:bookmarkEnd w:id="1"/>
    </w:p>
    <w:p w14:paraId="3F320EF1">
      <w:pPr>
        <w:pStyle w:val="20"/>
      </w:pPr>
      <w:r>
        <w:t>Supplementary Methods</w:t>
      </w:r>
    </w:p>
    <w:p w14:paraId="7E73FEC7">
      <w:pPr>
        <w:pStyle w:val="20"/>
      </w:pPr>
      <w:r>
        <w:t>Supplementary Figures 1–7</w:t>
      </w:r>
    </w:p>
    <w:p w14:paraId="43020E9B">
      <w:pPr>
        <w:pStyle w:val="20"/>
      </w:pPr>
      <w:r>
        <w:t>Supplementary Tables 1–15</w:t>
      </w:r>
    </w:p>
    <w:p w14:paraId="40F722F4">
      <w:pPr>
        <w:pStyle w:val="20"/>
      </w:pPr>
      <w:r>
        <w:t>Supplementary References</w:t>
      </w:r>
    </w:p>
    <w:p w14:paraId="6404D1E4">
      <w:r>
        <w:pict>
          <v:rect id="矩形 23" o:spid="_x0000_s1034" o:spt="1" style="height:0.05pt;width:564.65pt;" filled="f" coordsize="21600,21600">
            <v:path/>
            <v:fill on="f" focussize="0,0"/>
            <v:stroke/>
            <v:imagedata o:title=""/>
            <o:lock v:ext="edit" aspectratio="t"/>
            <w10:wrap type="none"/>
            <w10:anchorlock/>
          </v:rect>
        </w:pict>
      </w:r>
    </w:p>
    <w:p w14:paraId="27F4FD35">
      <w:pPr>
        <w:pStyle w:val="21"/>
      </w:pPr>
      <w:bookmarkStart w:id="2" w:name="_Toc227181460"/>
      <w:r>
        <w:t>Contents</w:t>
      </w:r>
      <w:bookmarkEnd w:id="2"/>
    </w:p>
    <w:p w14:paraId="7CA2AAE0">
      <w:pPr>
        <w:pStyle w:val="22"/>
      </w:pPr>
      <w:r>
        <w:t>Supplementary Methods</w:t>
      </w:r>
    </w:p>
    <w:p w14:paraId="07823E4D">
      <w:pPr>
        <w:pStyle w:val="23"/>
        <w:tabs>
          <w:tab w:val="right" w:leader="dot" w:pos="11293"/>
        </w:tabs>
        <w:spacing w:after="60"/>
        <w:jc w:val="left"/>
      </w:pPr>
      <w:r>
        <w:t>S1. Study area and data sources</w:t>
      </w:r>
    </w:p>
    <w:p w14:paraId="2A9CCB3E">
      <w:pPr>
        <w:pStyle w:val="23"/>
        <w:tabs>
          <w:tab w:val="right" w:leader="dot" w:pos="11293"/>
        </w:tabs>
        <w:spacing w:after="60"/>
        <w:jc w:val="left"/>
      </w:pPr>
      <w:r>
        <w:t>S2. Analytical framework</w:t>
      </w:r>
    </w:p>
    <w:p w14:paraId="5C2DD6FF">
      <w:pPr>
        <w:pStyle w:val="23"/>
        <w:tabs>
          <w:tab w:val="right" w:leader="dot" w:pos="11293"/>
        </w:tabs>
        <w:spacing w:after="60"/>
        <w:jc w:val="left"/>
      </w:pPr>
      <w:r>
        <w:t>S3. Priority ranking module</w:t>
      </w:r>
    </w:p>
    <w:p w14:paraId="659DEDCB">
      <w:pPr>
        <w:pStyle w:val="23"/>
        <w:tabs>
          <w:tab w:val="right" w:leader="dot" w:pos="11293"/>
        </w:tabs>
        <w:spacing w:after="60"/>
        <w:jc w:val="left"/>
      </w:pPr>
      <w:r>
        <w:t>S4. Scenario projection module</w:t>
      </w:r>
    </w:p>
    <w:p w14:paraId="76B879EE">
      <w:pPr>
        <w:pStyle w:val="23"/>
        <w:tabs>
          <w:tab w:val="right" w:leader="dot" w:pos="11293"/>
        </w:tabs>
        <w:spacing w:after="60"/>
        <w:jc w:val="left"/>
      </w:pPr>
      <w:r>
        <w:t>S5. Governance pressure quantification</w:t>
      </w:r>
    </w:p>
    <w:p w14:paraId="1E2AA2F6">
      <w:pPr>
        <w:pStyle w:val="23"/>
        <w:tabs>
          <w:tab w:val="right" w:leader="dot" w:pos="11293"/>
        </w:tabs>
        <w:spacing w:after="60"/>
        <w:jc w:val="left"/>
      </w:pPr>
      <w:r>
        <w:t>S6. Pathway cost and carbon accounting</w:t>
      </w:r>
    </w:p>
    <w:p w14:paraId="64BA88D0">
      <w:pPr>
        <w:pStyle w:val="23"/>
        <w:tabs>
          <w:tab w:val="right" w:leader="dot" w:pos="11293"/>
        </w:tabs>
        <w:spacing w:after="60"/>
        <w:jc w:val="left"/>
      </w:pPr>
      <w:r>
        <w:t>S7. Model assumptions and scenario settings</w:t>
      </w:r>
    </w:p>
    <w:p w14:paraId="631F7E69">
      <w:pPr>
        <w:pStyle w:val="23"/>
        <w:tabs>
          <w:tab w:val="right" w:leader="dot" w:pos="11293"/>
        </w:tabs>
        <w:spacing w:after="60"/>
        <w:jc w:val="left"/>
      </w:pPr>
      <w:r>
        <w:t>S8. Data availability for supplementary analyses</w:t>
      </w:r>
    </w:p>
    <w:p w14:paraId="4A415CBC">
      <w:pPr>
        <w:pStyle w:val="22"/>
      </w:pPr>
      <w:r>
        <w:t>Supplementary Figures</w:t>
      </w:r>
    </w:p>
    <w:p w14:paraId="488F62ED">
      <w:pPr>
        <w:pStyle w:val="23"/>
        <w:tabs>
          <w:tab w:val="right" w:leader="dot" w:pos="11293"/>
        </w:tabs>
        <w:spacing w:after="60"/>
        <w:jc w:val="left"/>
      </w:pPr>
      <w:r>
        <w:t>Supplementary Fig. 1. Geographic context and administrative structure of the study area</w:t>
      </w:r>
    </w:p>
    <w:p w14:paraId="3FD2F4A4">
      <w:pPr>
        <w:pStyle w:val="23"/>
        <w:tabs>
          <w:tab w:val="right" w:leader="dot" w:pos="11293"/>
        </w:tabs>
        <w:spacing w:after="60"/>
        <w:jc w:val="left"/>
      </w:pPr>
      <w:r>
        <w:t>Supplementary Fig. 2. Conceptual framework of the Comprehensive Urban Renewal Priority Index</w:t>
      </w:r>
    </w:p>
    <w:p w14:paraId="1B00098D">
      <w:pPr>
        <w:pStyle w:val="23"/>
        <w:tabs>
          <w:tab w:val="right" w:leader="dot" w:pos="11293"/>
        </w:tabs>
        <w:spacing w:after="60"/>
        <w:jc w:val="left"/>
      </w:pPr>
      <w:r>
        <w:t>Supplementary Fig. 3. Baseline urban and rural residential building stock, 1980–2020</w:t>
      </w:r>
    </w:p>
    <w:p w14:paraId="6B7B351F">
      <w:pPr>
        <w:pStyle w:val="23"/>
        <w:tabs>
          <w:tab w:val="right" w:leader="dot" w:pos="11293"/>
        </w:tabs>
        <w:spacing w:after="60"/>
        <w:jc w:val="left"/>
      </w:pPr>
      <w:r>
        <w:t>Supplementary Fig. 4. Temporal evolution of structural composition in urban and rural residential buildings, 1980–2020</w:t>
      </w:r>
    </w:p>
    <w:p w14:paraId="70B1CA5D">
      <w:pPr>
        <w:pStyle w:val="23"/>
        <w:tabs>
          <w:tab w:val="right" w:leader="dot" w:pos="11293"/>
        </w:tabs>
        <w:spacing w:after="60"/>
        <w:jc w:val="left"/>
      </w:pPr>
      <w:r>
        <w:t>Supplementary Fig. 5. Structural composition of newly added residential buildings across construction periods, 1980–2020</w:t>
      </w:r>
    </w:p>
    <w:p w14:paraId="6FAD4566">
      <w:pPr>
        <w:pStyle w:val="23"/>
        <w:tabs>
          <w:tab w:val="right" w:leader="dot" w:pos="11293"/>
        </w:tabs>
        <w:spacing w:after="60"/>
        <w:jc w:val="left"/>
      </w:pPr>
      <w:r>
        <w:t>Supplementary Fig. 6. Stage-specific structural composition of newly added urban residential buildings</w:t>
      </w:r>
    </w:p>
    <w:p w14:paraId="654C3E62">
      <w:pPr>
        <w:pStyle w:val="23"/>
        <w:tabs>
          <w:tab w:val="right" w:leader="dot" w:pos="11293"/>
        </w:tabs>
        <w:spacing w:after="60"/>
        <w:jc w:val="left"/>
      </w:pPr>
      <w:r>
        <w:t>Supplementary Fig. 7. Stage-specific structural composition of newly added rural residential buildings</w:t>
      </w:r>
    </w:p>
    <w:p w14:paraId="390217D5">
      <w:pPr>
        <w:pStyle w:val="22"/>
      </w:pPr>
      <w:r>
        <w:t>Supplementary Tables</w:t>
      </w:r>
    </w:p>
    <w:p w14:paraId="2059253E">
      <w:pPr>
        <w:pStyle w:val="23"/>
        <w:tabs>
          <w:tab w:val="right" w:leader="dot" w:pos="11293"/>
        </w:tabs>
        <w:spacing w:after="60"/>
        <w:jc w:val="left"/>
      </w:pPr>
      <w:r>
        <w:t>Supplementary Table 1. Indicator framework for the residential renewal priority</w:t>
      </w:r>
    </w:p>
    <w:p w14:paraId="16F66D5B">
      <w:pPr>
        <w:pStyle w:val="23"/>
        <w:tabs>
          <w:tab w:val="right" w:leader="dot" w:pos="11293"/>
        </w:tabs>
        <w:spacing w:after="60"/>
        <w:jc w:val="left"/>
      </w:pPr>
      <w:r>
        <w:t>Supplementary Table 2. Baseline vulnerability coefficients assigned to residential building structural types</w:t>
      </w:r>
    </w:p>
    <w:p w14:paraId="06CDE785">
      <w:pPr>
        <w:pStyle w:val="23"/>
        <w:tabs>
          <w:tab w:val="right" w:leader="dot" w:pos="11293"/>
        </w:tabs>
        <w:spacing w:after="60"/>
        <w:jc w:val="left"/>
      </w:pPr>
      <w:r>
        <w:t>Supplementary Table 3. Parameter settings for the cohort-component population projection and demographic inputs to the Social Need Index</w:t>
      </w:r>
    </w:p>
    <w:p w14:paraId="24379A48">
      <w:pPr>
        <w:pStyle w:val="23"/>
        <w:tabs>
          <w:tab w:val="right" w:leader="dot" w:pos="11293"/>
        </w:tabs>
        <w:spacing w:after="60"/>
        <w:jc w:val="left"/>
      </w:pPr>
      <w:r>
        <w:t>Supplementary Table 4. Baseline characteristics of urban and rural residential building stock by construction period, 1980–2020</w:t>
      </w:r>
    </w:p>
    <w:p w14:paraId="04268225">
      <w:pPr>
        <w:pStyle w:val="23"/>
        <w:tabs>
          <w:tab w:val="right" w:leader="dot" w:pos="11293"/>
        </w:tabs>
        <w:spacing w:after="60"/>
        <w:jc w:val="left"/>
      </w:pPr>
      <w:r>
        <w:t>Supplementary Table 5. Baseline characteristics of newly added urban and rural residential buildings by construction period, 1980–2020</w:t>
      </w:r>
    </w:p>
    <w:p w14:paraId="545B6B94">
      <w:pPr>
        <w:pStyle w:val="23"/>
        <w:tabs>
          <w:tab w:val="right" w:leader="dot" w:pos="11293"/>
        </w:tabs>
        <w:spacing w:after="60"/>
        <w:jc w:val="left"/>
      </w:pPr>
      <w:r>
        <w:t>Supplementary Table 6. Policy-calibrated renewal-pressure stock and pathway exposure in 2020, by urban and rural housing systems</w:t>
      </w:r>
    </w:p>
    <w:p w14:paraId="523AF810">
      <w:pPr>
        <w:pStyle w:val="23"/>
        <w:tabs>
          <w:tab w:val="right" w:leader="dot" w:pos="11293"/>
        </w:tabs>
        <w:spacing w:after="60"/>
        <w:jc w:val="left"/>
      </w:pPr>
      <w:r>
        <w:t>Supplementary Table 7. Projected cumulative renewal-pressure stock under low-, medium- and high-population-growth scenarios, 2025–2050</w:t>
      </w:r>
    </w:p>
    <w:p w14:paraId="3B4B5BD9">
      <w:pPr>
        <w:pStyle w:val="23"/>
        <w:tabs>
          <w:tab w:val="right" w:leader="dot" w:pos="11293"/>
        </w:tabs>
        <w:spacing w:after="60"/>
        <w:jc w:val="left"/>
      </w:pPr>
      <w:r>
        <w:t>Supplementary Table 8. Five-year additions to the renewal-pressure stock under low-, medium- and high-population-growth scenarios, 2020–2050</w:t>
      </w:r>
    </w:p>
    <w:p w14:paraId="550F6C19">
      <w:pPr>
        <w:pStyle w:val="23"/>
        <w:tabs>
          <w:tab w:val="right" w:leader="dot" w:pos="11293"/>
        </w:tabs>
        <w:spacing w:after="60"/>
        <w:jc w:val="left"/>
      </w:pPr>
      <w:r>
        <w:t>Supplementary Table 9. Projected cumulative urban renewal-pressure stock under low-, medium- and high-population-growth scenarios, 2020–2050</w:t>
      </w:r>
    </w:p>
    <w:p w14:paraId="4BB2D3DF">
      <w:pPr>
        <w:pStyle w:val="23"/>
        <w:tabs>
          <w:tab w:val="right" w:leader="dot" w:pos="11293"/>
        </w:tabs>
        <w:spacing w:after="60"/>
        <w:jc w:val="left"/>
      </w:pPr>
      <w:r>
        <w:t>Supplementary Table 10. Projected cumulative rural renewal-pressure stock under low-, medium- and high-population-growth scenarios, 2020–2050</w:t>
      </w:r>
    </w:p>
    <w:p w14:paraId="2676F538">
      <w:pPr>
        <w:pStyle w:val="23"/>
        <w:tabs>
          <w:tab w:val="right" w:leader="dot" w:pos="11293"/>
        </w:tabs>
        <w:spacing w:after="60"/>
        <w:jc w:val="left"/>
      </w:pPr>
      <w:r>
        <w:t>Supplementary Table 11. Crosswalk between census structure types and official rural replacement-value categories</w:t>
      </w:r>
    </w:p>
    <w:p w14:paraId="3CAA2BB4">
      <w:pPr>
        <w:pStyle w:val="23"/>
        <w:tabs>
          <w:tab w:val="right" w:leader="dot" w:pos="11293"/>
        </w:tabs>
        <w:spacing w:after="60"/>
        <w:jc w:val="left"/>
      </w:pPr>
      <w:r>
        <w:t>Supplementary Table 12. Building newness coefficient used for rural residential compensation</w:t>
      </w:r>
    </w:p>
    <w:p w14:paraId="675B615E">
      <w:pPr>
        <w:pStyle w:val="23"/>
        <w:tabs>
          <w:tab w:val="right" w:leader="dot" w:pos="11293"/>
        </w:tabs>
        <w:spacing w:after="60"/>
        <w:jc w:val="left"/>
      </w:pPr>
      <w:r>
        <w:t>Supplementary Table 13. Projected cumulative and five-year pathway costs under demolition and in situ renewal scenarios, 2020–2050</w:t>
      </w:r>
    </w:p>
    <w:p w14:paraId="37B35034">
      <w:pPr>
        <w:pStyle w:val="23"/>
        <w:tabs>
          <w:tab w:val="right" w:leader="dot" w:pos="11293"/>
        </w:tabs>
        <w:spacing w:after="60"/>
        <w:jc w:val="left"/>
      </w:pPr>
      <w:r>
        <w:t>Supplementary Table 14. Carbon-emission exposure of newly entering renewal-pressure buildings by scenario and urban–rural group</w:t>
      </w:r>
    </w:p>
    <w:p w14:paraId="7518BACC">
      <w:pPr>
        <w:pStyle w:val="23"/>
      </w:pPr>
      <w:r>
        <w:t>Supplementary Table 15. Parameters used in in situ renewal cost and carbon accounting</w:t>
      </w:r>
    </w:p>
    <w:p w14:paraId="667503EA">
      <w:pPr>
        <w:pStyle w:val="22"/>
      </w:pPr>
      <w:r>
        <w:t>Supplementary References</w:t>
      </w:r>
      <w:bookmarkStart w:id="3" w:name="_Toc227181464"/>
      <w:r>
        <w:br w:type="page"/>
      </w:r>
    </w:p>
    <w:p w14:paraId="32241B8C">
      <w:pPr>
        <w:pStyle w:val="27"/>
      </w:pPr>
      <w:r>
        <w:t>Supplementary Methods</w:t>
      </w:r>
      <w:bookmarkEnd w:id="3"/>
    </w:p>
    <w:p w14:paraId="2E41A726">
      <w:r>
        <w:pict>
          <v:rect id="矩形 21" o:spid="_x0000_s1033" o:spt="1" style="height:0.05pt;width:564.65pt;" filled="f" coordsize="21600,21600">
            <v:path/>
            <v:fill on="f" focussize="0,0"/>
            <v:stroke/>
            <v:imagedata o:title=""/>
            <o:lock v:ext="edit" aspectratio="t"/>
            <w10:wrap type="none"/>
            <w10:anchorlock/>
          </v:rect>
        </w:pict>
      </w:r>
    </w:p>
    <w:p w14:paraId="27B615C1">
      <w:pPr>
        <w:pStyle w:val="28"/>
      </w:pPr>
      <w:bookmarkStart w:id="4" w:name="_Toc227181465"/>
      <w:r>
        <w:t>S1. Study area and data sources</w:t>
      </w:r>
      <w:bookmarkEnd w:id="4"/>
    </w:p>
    <w:p w14:paraId="0F6D4264">
      <w:pPr>
        <w:pStyle w:val="29"/>
      </w:pPr>
      <w:bookmarkStart w:id="5" w:name="_Toc227181466"/>
      <w:r>
        <w:t>S1.1 Study area</w:t>
      </w:r>
      <w:bookmarkEnd w:id="5"/>
    </w:p>
    <w:p w14:paraId="6D98AF6C">
      <w:pPr>
        <w:pStyle w:val="30"/>
        <w:spacing w:line="276" w:lineRule="auto"/>
        <w:ind w:firstLine="440"/>
        <w:rPr>
          <w:sz w:val="22"/>
          <w:szCs w:val="22"/>
        </w:rPr>
      </w:pPr>
      <w:r>
        <w:rPr>
          <w:sz w:val="22"/>
          <w:szCs w:val="22"/>
        </w:rPr>
        <w:t>Quanzhou is a prefecture-level city on the southeastern coast of Fujian Province, China, within a major coastal urbanization corridor (</w:t>
      </w:r>
      <w:r>
        <w:rPr>
          <w:color w:val="4472C4" w:themeColor="accent1"/>
          <w:sz w:val="22"/>
          <w:szCs w:val="22"/>
          <w14:textFill>
            <w14:solidFill>
              <w14:schemeClr w14:val="accent1"/>
            </w14:solidFill>
          </w14:textFill>
        </w:rPr>
        <w:t>Supplementary Fig. 1</w:t>
      </w:r>
      <w:r>
        <w:rPr>
          <w:sz w:val="22"/>
          <w:szCs w:val="22"/>
        </w:rPr>
        <w:t>)</w:t>
      </w:r>
      <w:r>
        <w:rPr>
          <w:color w:val="000000" w:themeColor="text1"/>
          <w:sz w:val="22"/>
          <w:szCs w:val="22"/>
          <w14:textFill>
            <w14:solidFill>
              <w14:schemeClr w14:val="tx1"/>
            </w14:solidFill>
          </w14:textFill>
        </w:rPr>
        <w:t>. Expo</w:t>
      </w:r>
      <w:r>
        <w:rPr>
          <w:sz w:val="22"/>
          <w:szCs w:val="22"/>
        </w:rPr>
        <w:t>rt-oriented industrialization, population concentration and sustained construction since the reform era produced extensive residential development across urban districts, county-level centres, peri-urban corridors and rural settlements. Because much of this housing was built during concentrated development waves, the present stock displays pronounced cohort layering in construction age, morphology and structural type.</w:t>
      </w:r>
    </w:p>
    <w:p w14:paraId="158EABD0">
      <w:pPr>
        <w:pStyle w:val="30"/>
        <w:spacing w:line="276" w:lineRule="auto"/>
        <w:ind w:firstLine="440"/>
        <w:rPr>
          <w:sz w:val="22"/>
          <w:szCs w:val="22"/>
        </w:rPr>
      </w:pPr>
      <w:r>
        <w:rPr>
          <w:sz w:val="22"/>
          <w:szCs w:val="22"/>
        </w:rPr>
        <w:t>Quanzhou is analytically useful for three reasons. First, dense urban neighbourhoods, peri-urban development zones and extensive rural settlements coexist within one metropolitan administrative region, allowing the same diagnostic framework to be examined across contrasting settlement contexts. Second, successive construction waves since the 1980s make it possible to isolate the implications of synchronized cohort ageing. Third, the coexistence of state-owned urban land and collectively owned rural land creates distinct renewal, compensation and implementation regimes, making policy interpretation inseparable from tenure context.</w:t>
      </w:r>
    </w:p>
    <w:p w14:paraId="1D61FB7E">
      <w:pPr>
        <w:pStyle w:val="30"/>
        <w:spacing w:line="276" w:lineRule="auto"/>
        <w:ind w:firstLine="440"/>
        <w:rPr>
          <w:sz w:val="22"/>
          <w:szCs w:val="22"/>
        </w:rPr>
      </w:pPr>
      <w:r>
        <w:rPr>
          <w:sz w:val="22"/>
          <w:szCs w:val="22"/>
        </w:rPr>
        <w:t xml:space="preserve">The empirical domain covers the full administrative territory of Quanzhou and all identifiable residential buildings retained in the harmonized database. The analysis is restricted to residential buildings because housing is the most socially consequential component of the local built stock and because residential intervention directly implicates households, relocation, land reorganization and long-term public finance. The analytical architecture and core inputs are summarized in </w:t>
      </w:r>
      <w:r>
        <w:rPr>
          <w:color w:val="0070A8"/>
          <w:sz w:val="22"/>
          <w:szCs w:val="22"/>
        </w:rPr>
        <w:t>Supplementary Fig. 2</w:t>
      </w:r>
      <w:r>
        <w:rPr>
          <w:sz w:val="22"/>
          <w:szCs w:val="22"/>
        </w:rPr>
        <w:t xml:space="preserve"> and </w:t>
      </w:r>
      <w:r>
        <w:rPr>
          <w:color w:val="0070A8"/>
          <w:sz w:val="22"/>
          <w:szCs w:val="22"/>
        </w:rPr>
        <w:t>Supplementary Tables 1–3</w:t>
      </w:r>
      <w:r>
        <w:rPr>
          <w:sz w:val="22"/>
          <w:szCs w:val="22"/>
        </w:rPr>
        <w:t>.</w:t>
      </w:r>
    </w:p>
    <w:p w14:paraId="52F9DBB3">
      <w:pPr>
        <w:pStyle w:val="29"/>
      </w:pPr>
      <w:bookmarkStart w:id="6" w:name="_Toc227181467"/>
      <w:r>
        <w:t>S1.2 Administrative boundary data</w:t>
      </w:r>
      <w:bookmarkEnd w:id="6"/>
    </w:p>
    <w:p w14:paraId="566E5471">
      <w:pPr>
        <w:pStyle w:val="30"/>
        <w:spacing w:line="276" w:lineRule="auto"/>
        <w:ind w:firstLine="440"/>
        <w:rPr>
          <w:sz w:val="22"/>
          <w:szCs w:val="22"/>
        </w:rPr>
      </w:pPr>
      <w:r>
        <w:rPr>
          <w:color w:val="000000"/>
          <w:sz w:val="22"/>
          <w:szCs w:val="22"/>
        </w:rPr>
        <w:t>Administrative boundary data were used to define the spatial extent of the study area, organize multi-scalar analysis and provide the geographic framework for linking heterogeneous datasets. The boundary dataset includes prefecture-level, county-level and village-level administrative units covering the full territory of Quanzhou. These units were used to support spatial aggregation, cross-sectional comparison and the assignment of socio-demographic attributes to individual residential buildings.</w:t>
      </w:r>
    </w:p>
    <w:p w14:paraId="61AA5AE6">
      <w:pPr>
        <w:pStyle w:val="30"/>
        <w:spacing w:line="276" w:lineRule="auto"/>
        <w:ind w:firstLine="440"/>
        <w:rPr>
          <w:sz w:val="22"/>
          <w:szCs w:val="22"/>
        </w:rPr>
      </w:pPr>
      <w:r>
        <w:rPr>
          <w:sz w:val="22"/>
          <w:szCs w:val="22"/>
        </w:rPr>
        <w:t>County-level boundaries were used to summarize renewal patterns and compensation costs across districts and counties, while village-level boundaries were used as the primary unit for linking census-based demographic information to buildings. The use of nested administrative units enables the analysis to connect building-scale observations with governance-relevant territorial scales. This is particularly important in China, where planning authority, fiscal responsibilities and redevelopment implementation are often structured through administrative hierarchies.</w:t>
      </w:r>
    </w:p>
    <w:p w14:paraId="5F6E2050">
      <w:pPr>
        <w:pStyle w:val="30"/>
        <w:spacing w:line="276" w:lineRule="auto"/>
        <w:ind w:firstLine="440"/>
        <w:rPr>
          <w:sz w:val="22"/>
          <w:szCs w:val="22"/>
        </w:rPr>
      </w:pPr>
      <w:r>
        <w:rPr>
          <w:sz w:val="22"/>
          <w:szCs w:val="22"/>
        </w:rPr>
        <w:t>All administrative layers were transformed into a common projected coordinate system before analysis. Geometric validity checks were performed to identify missing polygons, sliver geometries, overlaps and boundary gaps. Where inconsistencies were detected across sources, the most recent official boundary definition was adopted as the reference layer for subsequent spatial matching and aggregation.</w:t>
      </w:r>
    </w:p>
    <w:p w14:paraId="1EDA9972">
      <w:pPr>
        <w:pStyle w:val="29"/>
      </w:pPr>
      <w:bookmarkStart w:id="7" w:name="_Toc227181468"/>
      <w:r>
        <w:t>S1.3 Residential building data</w:t>
      </w:r>
      <w:bookmarkEnd w:id="7"/>
    </w:p>
    <w:p w14:paraId="433D71F9">
      <w:pPr>
        <w:pStyle w:val="30"/>
        <w:spacing w:line="276" w:lineRule="auto"/>
        <w:ind w:firstLine="440"/>
        <w:rPr>
          <w:sz w:val="22"/>
          <w:szCs w:val="22"/>
        </w:rPr>
      </w:pPr>
      <w:r>
        <w:rPr>
          <w:sz w:val="22"/>
          <w:szCs w:val="22"/>
        </w:rPr>
        <w:t>Residential building data constitute the core empirical foundation of this study. The dataset was derived primarily from the First National Survey of Comprehensive Natural Disaster Risk, which provides building-level spatial and attribute information for the residential stock. After preprocessing and harmonization, the final database includes 1,52</w:t>
      </w:r>
      <w:r>
        <w:rPr>
          <w:rFonts w:hint="eastAsia" w:eastAsia="宋体"/>
          <w:sz w:val="22"/>
          <w:szCs w:val="22"/>
        </w:rPr>
        <w:t>7</w:t>
      </w:r>
      <w:r>
        <w:rPr>
          <w:sz w:val="22"/>
          <w:szCs w:val="22"/>
        </w:rPr>
        <w:t>,</w:t>
      </w:r>
      <w:r>
        <w:rPr>
          <w:rFonts w:hint="eastAsia" w:eastAsia="宋体"/>
          <w:sz w:val="22"/>
          <w:szCs w:val="22"/>
        </w:rPr>
        <w:t>878</w:t>
      </w:r>
      <w:r>
        <w:rPr>
          <w:color w:val="000000"/>
          <w:sz w:val="22"/>
          <w:szCs w:val="22"/>
        </w:rPr>
        <w:t xml:space="preserve"> residential buildings distributed across the full administrative territory of Quanzhou.</w:t>
      </w:r>
    </w:p>
    <w:p w14:paraId="274A22D8">
      <w:pPr>
        <w:pStyle w:val="30"/>
        <w:spacing w:line="276" w:lineRule="auto"/>
        <w:ind w:firstLine="440"/>
        <w:rPr>
          <w:sz w:val="22"/>
          <w:szCs w:val="22"/>
        </w:rPr>
      </w:pPr>
      <w:r>
        <w:rPr>
          <w:color w:val="000000"/>
          <w:sz w:val="22"/>
          <w:szCs w:val="22"/>
        </w:rPr>
        <w:t xml:space="preserve">Each building record includes a spatial footprint and a set of key structural attributes, including construction year, structural type, number of storeys, building height (where available), number of dwelling units, floor area and land occupation area. Together, these variables capture the age structure, morphological characteristics and residential capacity of the housing stock. Construction year is particularly important because it enables the identification of housing cohorts and the simulation of future ageing trajectories. Structural type provides the basis for assigning vulnerability coefficients, while storeys and floor area capture differences in density and built intensity. The historical composition of the residential stock, including differences between urban and rural sectors in construction period and structural transition, is further summarized in </w:t>
      </w:r>
      <w:r>
        <w:rPr>
          <w:color w:val="0563C1"/>
          <w:sz w:val="22"/>
          <w:szCs w:val="22"/>
        </w:rPr>
        <w:t>Supplementary Figs. 3</w:t>
      </w:r>
      <w:r>
        <w:rPr>
          <w:color w:val="000000"/>
          <w:sz w:val="22"/>
          <w:szCs w:val="22"/>
        </w:rPr>
        <w:t xml:space="preserve">–7 and </w:t>
      </w:r>
      <w:r>
        <w:rPr>
          <w:color w:val="0563C1"/>
          <w:sz w:val="22"/>
          <w:szCs w:val="22"/>
        </w:rPr>
        <w:t>Supplementary Tables 4–5</w:t>
      </w:r>
      <w:r>
        <w:rPr>
          <w:color w:val="000000"/>
          <w:sz w:val="22"/>
          <w:szCs w:val="22"/>
        </w:rPr>
        <w:t>.</w:t>
      </w:r>
    </w:p>
    <w:p w14:paraId="62277396">
      <w:pPr>
        <w:pStyle w:val="30"/>
        <w:spacing w:line="276" w:lineRule="auto"/>
        <w:ind w:firstLine="440"/>
        <w:rPr>
          <w:sz w:val="22"/>
          <w:szCs w:val="22"/>
        </w:rPr>
      </w:pPr>
      <w:r>
        <w:rPr>
          <w:sz w:val="22"/>
          <w:szCs w:val="22"/>
        </w:rPr>
        <w:t>To reflect China’s dual land system, buildings were classified as urban residential buildings or rural residential buildings according to their land tenure context and spatial location. Urban residential buildings refer to residential structures located on state-owned urban land, whereas rural residential buildings refer to residential structures located on collectively owned rural land. This distinction is analytically important because the two categories differ in development history, settlement morphology, compensation rules and likely renewal pathways.</w:t>
      </w:r>
    </w:p>
    <w:p w14:paraId="1E8A2766">
      <w:pPr>
        <w:pStyle w:val="30"/>
        <w:spacing w:line="276" w:lineRule="auto"/>
        <w:ind w:firstLine="440"/>
        <w:rPr>
          <w:sz w:val="22"/>
          <w:szCs w:val="22"/>
        </w:rPr>
      </w:pPr>
      <w:r>
        <w:rPr>
          <w:sz w:val="22"/>
          <w:szCs w:val="22"/>
        </w:rPr>
        <w:t>Duplicate records, incomplete geometries and implausible attribute values were screened and corrected during preprocessing. Buildings lacking minimum spatial integrity or essential identifiers were removed only when reliable correction was not possible. The resulting database provides a near-complete representation of the residential built environment at building resolution.</w:t>
      </w:r>
    </w:p>
    <w:p w14:paraId="351628BB">
      <w:pPr>
        <w:pStyle w:val="29"/>
      </w:pPr>
      <w:bookmarkStart w:id="8" w:name="_Toc227181469"/>
      <w:r>
        <w:t>S1.4 Land-use and facility data</w:t>
      </w:r>
      <w:bookmarkEnd w:id="8"/>
    </w:p>
    <w:p w14:paraId="2E255C03">
      <w:pPr>
        <w:pStyle w:val="30"/>
        <w:spacing w:line="276" w:lineRule="auto"/>
        <w:ind w:firstLine="440"/>
        <w:rPr>
          <w:sz w:val="22"/>
          <w:szCs w:val="22"/>
        </w:rPr>
      </w:pPr>
      <w:r>
        <w:t>Land-use and facility data characterize the locational context of each residential building and provide the inputs to the Economic Potential Index. We compiled commercial land, public-service facilities and road networks from the Second and Third National Land Surveys and annual land-use change surveys. These harmonized layers provide consistent coverage of land use, amenities and transport infrastructure across the study area.</w:t>
      </w:r>
    </w:p>
    <w:p w14:paraId="6A479CE7">
      <w:pPr>
        <w:pStyle w:val="30"/>
        <w:spacing w:line="276" w:lineRule="auto"/>
        <w:ind w:firstLine="440"/>
        <w:rPr>
          <w:sz w:val="22"/>
          <w:szCs w:val="22"/>
        </w:rPr>
      </w:pPr>
      <w:r>
        <w:rPr>
          <w:sz w:val="22"/>
          <w:szCs w:val="22"/>
        </w:rPr>
        <w:t>From the harmonized land-use layers, we extracted three classes of spatial features relevant to redevelopment feasibility and locational accessibility: commercial land, public service facilities and road networks. Commercial land captures proximity to economic activity and market potential. Public service facilities represent access to schools, healthcare, administrative services and other amenities that increase residential attractiveness and redevelopment value. Road networks capture transport accessibility and development connectivity.</w:t>
      </w:r>
    </w:p>
    <w:p w14:paraId="585B4480">
      <w:pPr>
        <w:pStyle w:val="30"/>
        <w:spacing w:line="276" w:lineRule="auto"/>
        <w:ind w:firstLine="440"/>
        <w:rPr>
          <w:sz w:val="22"/>
          <w:szCs w:val="22"/>
        </w:rPr>
      </w:pPr>
      <w:r>
        <w:rPr>
          <w:sz w:val="22"/>
          <w:szCs w:val="22"/>
        </w:rPr>
        <w:t>For each residential building, Euclidean distance or nearest-network proximity measures (depending on data availability and feature type) were calculated to the nearest commercial land parcel, public facility and road segment. These indicators were subsequently standardized and incorporated into the Economic Potential Index. Because locational accessibility generally changes more slowly than building ageing over the projection horizon considered here, these variables were treated as structurally stable during scenario simulation.</w:t>
      </w:r>
    </w:p>
    <w:p w14:paraId="405FC2A2">
      <w:pPr>
        <w:pStyle w:val="30"/>
        <w:spacing w:line="276" w:lineRule="auto"/>
        <w:ind w:firstLine="440"/>
        <w:rPr>
          <w:sz w:val="22"/>
          <w:szCs w:val="22"/>
        </w:rPr>
      </w:pPr>
      <w:r>
        <w:rPr>
          <w:sz w:val="22"/>
          <w:szCs w:val="22"/>
        </w:rPr>
        <w:t>Land-use layers were also used to verify settlement patterns and to support visual interpretation of the spatial distribution of renewal hotspots. By integrating building data with surrounding land-use structure, the analysis moves beyond physical building condition alone and captures the spatial-economic context in which renewal decisions are likely to occur.</w:t>
      </w:r>
    </w:p>
    <w:p w14:paraId="34BA9C6A">
      <w:pPr>
        <w:pStyle w:val="29"/>
      </w:pPr>
      <w:bookmarkStart w:id="9" w:name="_Toc227181470"/>
      <w:r>
        <w:t>S1.5 Population census and statistical data</w:t>
      </w:r>
      <w:bookmarkEnd w:id="9"/>
    </w:p>
    <w:p w14:paraId="760F66FF">
      <w:pPr>
        <w:pStyle w:val="30"/>
        <w:spacing w:line="276" w:lineRule="auto"/>
        <w:ind w:firstLine="440"/>
        <w:rPr>
          <w:sz w:val="22"/>
          <w:szCs w:val="22"/>
        </w:rPr>
      </w:pPr>
      <w:r>
        <w:t>Population census and statistical data characterize the social dimension and provide the baseline for future demographic change. The Seventh National Population Census (2020) supplies village-level resident population by sex and age group, which forms the starting population matrix for the cohort-component projection</w:t>
      </w:r>
      <w:r>
        <w:rPr>
          <w:vertAlign w:val="superscript"/>
        </w:rPr>
        <w:t>1,2</w:t>
      </w:r>
      <w:r>
        <w:t>.</w:t>
      </w:r>
    </w:p>
    <w:p w14:paraId="47EF3255">
      <w:pPr>
        <w:pStyle w:val="30"/>
        <w:spacing w:line="276" w:lineRule="auto"/>
        <w:ind w:firstLine="440"/>
        <w:rPr>
          <w:sz w:val="22"/>
          <w:szCs w:val="22"/>
        </w:rPr>
      </w:pPr>
      <w:r>
        <w:rPr>
          <w:color w:val="000000"/>
          <w:sz w:val="22"/>
          <w:szCs w:val="22"/>
        </w:rPr>
        <w:t>Village-level population information was used because it offers substantially finer spatial resolution than district- or county-level statistics and allows demographic conditions to be linked directly to the building stock. From the baseline census data, we derived total population, population aged 65 years and above, and age composition profiles for each village or community. Village-level total population and older-adult population were allocated to individual residential buildings in proportion to building floor area, so that building-scale demographic estimates preserve the village-level totals.</w:t>
      </w:r>
    </w:p>
    <w:p w14:paraId="3E6ABDB9">
      <w:pPr>
        <w:pStyle w:val="30"/>
        <w:spacing w:line="276" w:lineRule="auto"/>
        <w:ind w:firstLine="440"/>
        <w:rPr>
          <w:sz w:val="22"/>
          <w:szCs w:val="22"/>
        </w:rPr>
      </w:pPr>
      <w:r>
        <w:rPr>
          <w:color w:val="000000"/>
          <w:sz w:val="22"/>
          <w:szCs w:val="22"/>
        </w:rPr>
        <w:t>Additional parameters for demographic projection were compiled from official statistical sources, including the Quanzhou Statistical Yearbook and other publicly available demographic reports. These sources were used to estimate recent trends in fertility, mortality and migration. Age-specific fertility schedules were used to construct alternative fertility scenarios, while survival probabilities were derived from the 2025 China Life Insurance Industry Experience Life Table. Net migration rates were estimated from recent population change after accounting for natural increase.</w:t>
      </w:r>
    </w:p>
    <w:p w14:paraId="1FFD29B1">
      <w:pPr>
        <w:pStyle w:val="30"/>
        <w:spacing w:line="276" w:lineRule="auto"/>
        <w:ind w:firstLine="440"/>
        <w:rPr>
          <w:sz w:val="22"/>
          <w:szCs w:val="22"/>
        </w:rPr>
      </w:pPr>
      <w:r>
        <w:rPr>
          <w:color w:val="000000"/>
          <w:sz w:val="22"/>
          <w:szCs w:val="22"/>
        </w:rPr>
        <w:t>The demographic database therefore combines high-resolution census baselines with scenario parameters describing future demographic uncertainty. This enables the simulation of how building-scale population size, older-adult population and housing-space pressure may evolve over time and influence future renewal demand. The parameterization of the cohort-component projection and the resulting demographic inputs to the Social Need Index are summarize</w:t>
      </w:r>
      <w:bookmarkStart w:id="10" w:name="OLE_LINK1"/>
      <w:r>
        <w:rPr>
          <w:color w:val="000000"/>
          <w:sz w:val="22"/>
          <w:szCs w:val="22"/>
        </w:rPr>
        <w:t xml:space="preserve">d in </w:t>
      </w:r>
      <w:r>
        <w:rPr>
          <w:color w:val="0070A8"/>
          <w:sz w:val="22"/>
          <w:szCs w:val="22"/>
        </w:rPr>
        <w:t>Supplementary Table 3.</w:t>
      </w:r>
      <w:bookmarkEnd w:id="10"/>
    </w:p>
    <w:p w14:paraId="4E3529B7">
      <w:pPr>
        <w:pStyle w:val="29"/>
      </w:pPr>
      <w:bookmarkStart w:id="11" w:name="_Toc227181471"/>
      <w:r>
        <w:t>S1.6 Data integration and preprocessing</w:t>
      </w:r>
      <w:bookmarkEnd w:id="11"/>
    </w:p>
    <w:p w14:paraId="688E3715">
      <w:pPr>
        <w:pStyle w:val="30"/>
        <w:spacing w:line="276" w:lineRule="auto"/>
        <w:ind w:firstLine="440"/>
        <w:rPr>
          <w:sz w:val="22"/>
          <w:szCs w:val="22"/>
        </w:rPr>
      </w:pPr>
      <w:r>
        <w:rPr>
          <w:sz w:val="22"/>
          <w:szCs w:val="22"/>
        </w:rPr>
        <w:t>Because the analysis combines multiple datasets collected by different institutions and at different spatial scales, a comprehensive integration workflow was implemented before modelling. The objective was to create a consistent, building-level geospatial database linking physical building attributes, locational indicators and demographic variables within a unified analytical framework.</w:t>
      </w:r>
    </w:p>
    <w:p w14:paraId="32E40628">
      <w:pPr>
        <w:pStyle w:val="30"/>
        <w:spacing w:line="276" w:lineRule="auto"/>
        <w:ind w:firstLine="440"/>
        <w:rPr>
          <w:sz w:val="22"/>
          <w:szCs w:val="22"/>
        </w:rPr>
      </w:pPr>
      <w:r>
        <w:rPr>
          <w:sz w:val="22"/>
          <w:szCs w:val="22"/>
        </w:rPr>
        <w:t>First, all spatial datasets were transformed into a common coordinate reference system and subjected to topology checks. Invalid polygons, duplicated features, self-intersections and geometry gaps were corrected where possible. Second, attribute fields from different sources were standardized to consistent naming conventions, coding systems and measurement units. Temporal fields such as construction year were cleaned to ensure valid ranges and comparable formats.</w:t>
      </w:r>
    </w:p>
    <w:p w14:paraId="70CD0B17">
      <w:pPr>
        <w:pStyle w:val="30"/>
        <w:spacing w:line="276" w:lineRule="auto"/>
        <w:ind w:firstLine="440"/>
        <w:rPr>
          <w:sz w:val="22"/>
          <w:szCs w:val="22"/>
        </w:rPr>
      </w:pPr>
      <w:r>
        <w:rPr>
          <w:sz w:val="22"/>
          <w:szCs w:val="22"/>
        </w:rPr>
        <w:t>Third, spatial overlay operations were used to assign each building to its corresponding village, county and urban–rural category. This created a stable relational key through which census indicators, land-use accessibility measures and administrative identifiers could be linked to every building record. Fourth, outliers and implausible values were screened using rule-based thresholds and distributional diagnostics. Examples include impossible floor counts, negative areas and inconsistent combinations of height and storeys.</w:t>
      </w:r>
    </w:p>
    <w:p w14:paraId="052F540A">
      <w:pPr>
        <w:pStyle w:val="30"/>
        <w:spacing w:line="276" w:lineRule="auto"/>
        <w:ind w:firstLine="440"/>
        <w:rPr>
          <w:sz w:val="22"/>
          <w:szCs w:val="22"/>
        </w:rPr>
      </w:pPr>
      <w:r>
        <w:rPr>
          <w:sz w:val="22"/>
          <w:szCs w:val="22"/>
        </w:rPr>
        <w:t>where automated cleaning could not resolve conflicts, targeted manual verification and human–computer interactive checks were conducted for critical records and boundary cases. The final output of this workflow is a harmonized building-level database that supports reproducible estimation of renewal priority, scenario-based projection of renewal demand, governance pressure quantification and compensation cost accounting.</w:t>
      </w:r>
    </w:p>
    <w:p w14:paraId="03B7BFA8">
      <w:r>
        <w:pict>
          <v:rect id="矩形 19" o:spid="_x0000_s1032" o:spt="1" style="height:0.05pt;width:564.65pt;" filled="f" coordsize="21600,21600">
            <v:path/>
            <v:fill on="f" focussize="0,0"/>
            <v:stroke/>
            <v:imagedata o:title=""/>
            <o:lock v:ext="edit" aspectratio="t"/>
            <w10:wrap type="none"/>
            <w10:anchorlock/>
          </v:rect>
        </w:pict>
      </w:r>
    </w:p>
    <w:p w14:paraId="3B40301A">
      <w:pPr>
        <w:pStyle w:val="28"/>
      </w:pPr>
      <w:bookmarkStart w:id="12" w:name="_Toc227181472"/>
      <w:r>
        <w:t>S2. Analytical framework</w:t>
      </w:r>
      <w:bookmarkEnd w:id="12"/>
    </w:p>
    <w:p w14:paraId="28822565">
      <w:pPr>
        <w:pStyle w:val="29"/>
      </w:pPr>
      <w:bookmarkStart w:id="13" w:name="_Toc227181473"/>
      <w:r>
        <w:t>S2.1 Overview of the P4 framework</w:t>
      </w:r>
      <w:bookmarkEnd w:id="13"/>
    </w:p>
    <w:p w14:paraId="23E16644">
      <w:pPr>
        <w:pStyle w:val="30"/>
        <w:spacing w:line="276" w:lineRule="auto"/>
        <w:ind w:firstLine="440"/>
        <w:rPr>
          <w:sz w:val="22"/>
          <w:szCs w:val="22"/>
        </w:rPr>
      </w:pPr>
      <w:r>
        <w:rPr>
          <w:sz w:val="22"/>
          <w:szCs w:val="22"/>
        </w:rPr>
        <w:t>We developed the P4 framework—Priority, Projection, Pressure and Pathways—to trace how the historical formation of housing cohorts translates into future renewal exposure. The framework moves from building-level diagnosis to system-level estimates of spatial concentration, governance scale and pathway-specific fiscal and carbon accounts. It treats renewal pressure as an emergent property of an ageing housing system rather than as a collection of independent projects (</w:t>
      </w:r>
      <w:r>
        <w:rPr>
          <w:color w:val="0070A8"/>
          <w:sz w:val="22"/>
          <w:szCs w:val="22"/>
        </w:rPr>
        <w:t xml:space="preserve">Supplementary Fig. 2 </w:t>
      </w:r>
      <w:r>
        <w:rPr>
          <w:sz w:val="22"/>
          <w:szCs w:val="22"/>
        </w:rPr>
        <w:t xml:space="preserve">and </w:t>
      </w:r>
      <w:r>
        <w:rPr>
          <w:color w:val="0070A8"/>
          <w:sz w:val="22"/>
          <w:szCs w:val="22"/>
        </w:rPr>
        <w:t>Supplementary Tables 1–3 and 6</w:t>
      </w:r>
      <w:r>
        <w:rPr>
          <w:sz w:val="22"/>
          <w:szCs w:val="22"/>
        </w:rPr>
        <w:t>).</w:t>
      </w:r>
    </w:p>
    <w:p w14:paraId="191CF8A0">
      <w:pPr>
        <w:pStyle w:val="30"/>
        <w:spacing w:line="276" w:lineRule="auto"/>
        <w:ind w:firstLine="440"/>
        <w:rPr>
          <w:sz w:val="22"/>
          <w:szCs w:val="22"/>
        </w:rPr>
      </w:pPr>
      <w:r>
        <w:rPr>
          <w:sz w:val="22"/>
          <w:szCs w:val="22"/>
        </w:rPr>
        <w:t>Priority ranks buildings using physical, locational and social indicators. The output is a relative diagnostic of where renewal pressure is concentrated in the baseline stock; it is not an engineering-safety judgement or a prediction that a particular building will be redeveloped.</w:t>
      </w:r>
    </w:p>
    <w:p w14:paraId="077AD544">
      <w:pPr>
        <w:pStyle w:val="30"/>
        <w:spacing w:line="276" w:lineRule="auto"/>
        <w:ind w:firstLine="440"/>
        <w:rPr>
          <w:sz w:val="22"/>
          <w:szCs w:val="22"/>
        </w:rPr>
      </w:pPr>
      <w:r>
        <w:rPr>
          <w:sz w:val="22"/>
          <w:szCs w:val="22"/>
        </w:rPr>
        <w:t>Projection updates building age and demographic conditions to 2050 while retaining the observed building universe and a fixed policy-calibrated CPI threshold. This isolates the renewal pressure generated by ageing within the 2020 stock from uncertain future construction and redevelopment.</w:t>
      </w:r>
    </w:p>
    <w:p w14:paraId="0E543B97">
      <w:pPr>
        <w:pStyle w:val="30"/>
        <w:spacing w:line="276" w:lineRule="auto"/>
        <w:ind w:firstLine="440"/>
        <w:rPr>
          <w:sz w:val="22"/>
          <w:szCs w:val="22"/>
        </w:rPr>
      </w:pPr>
      <w:r>
        <w:rPr>
          <w:sz w:val="22"/>
          <w:szCs w:val="22"/>
        </w:rPr>
        <w:t>Pressure translates the annual diagnostic classification into four governance-relevant quantities: buildings, dwelling units, floor area and residential land area. These measures distinguish dispersed structural counts from concentrated household, built-area and territorial burdens.</w:t>
      </w:r>
    </w:p>
    <w:p w14:paraId="507ED7F0">
      <w:pPr>
        <w:pStyle w:val="30"/>
        <w:spacing w:line="276" w:lineRule="auto"/>
        <w:ind w:firstLine="440"/>
        <w:rPr>
          <w:sz w:val="22"/>
          <w:szCs w:val="22"/>
        </w:rPr>
      </w:pPr>
      <w:r>
        <w:rPr>
          <w:sz w:val="22"/>
          <w:szCs w:val="22"/>
        </w:rPr>
        <w:t>Pathways applies two stylized intervention accounts to buildings in the renewal-pressure range. Demolition is represented by compensation exposure and one-off demolition-stage emissions; in situ renewal is represented by direct engineering investment and recurring baseline operational emissions. The accounts are intentionally kept separate because they differ in institutional content and temporal boundary.</w:t>
      </w:r>
    </w:p>
    <w:p w14:paraId="2D2EE1FD">
      <w:pPr>
        <w:pStyle w:val="30"/>
        <w:spacing w:line="276" w:lineRule="auto"/>
        <w:ind w:firstLine="440"/>
        <w:rPr>
          <w:sz w:val="22"/>
          <w:szCs w:val="22"/>
        </w:rPr>
      </w:pPr>
      <w:r>
        <w:rPr>
          <w:sz w:val="22"/>
          <w:szCs w:val="22"/>
        </w:rPr>
        <w:t>Together, the modules identify where renewal pressure concentrates, how it evolves as cohorts age, what scale of coordination it may entail and which fiscal and carbon obligations are activated by alternative intervention pathways.</w:t>
      </w:r>
    </w:p>
    <w:p w14:paraId="7AA06B8B">
      <w:pPr>
        <w:pStyle w:val="29"/>
      </w:pPr>
      <w:r>
        <w:t>S2.2 Relationship between analytical modules and reported outcomes</w:t>
      </w:r>
    </w:p>
    <w:p w14:paraId="774A9C05">
      <w:pPr>
        <w:pStyle w:val="30"/>
        <w:spacing w:line="276" w:lineRule="auto"/>
        <w:ind w:firstLine="440"/>
        <w:rPr>
          <w:sz w:val="22"/>
          <w:szCs w:val="22"/>
        </w:rPr>
      </w:pPr>
      <w:r>
        <w:t>The reported results follow the substantive sequence of the evidence rather than reproducing the mechanics of the P4 framework. Housing-cohort formation establishes the historical stock from which all later diagnostics are derived. The Priority module then maps where physical, locational and social pressures overlap.</w:t>
      </w:r>
    </w:p>
    <w:p w14:paraId="045054A5">
      <w:pPr>
        <w:pStyle w:val="30"/>
        <w:spacing w:line="276" w:lineRule="auto"/>
        <w:ind w:firstLine="440"/>
        <w:rPr>
          <w:sz w:val="22"/>
          <w:szCs w:val="22"/>
        </w:rPr>
      </w:pPr>
      <w:r>
        <w:t>The Projection and Pressure modules generate annual and five-year trajectories, revealing the extent to which future exposure is inherited from the 2020 stock rather than created by later threshold entrants. The Pathways module then evaluates the distinct fiscal and carbon accounts attached to demolition and retention.</w:t>
      </w:r>
    </w:p>
    <w:p w14:paraId="18CBF5EA">
      <w:pPr>
        <w:pStyle w:val="30"/>
        <w:spacing w:line="276" w:lineRule="auto"/>
        <w:ind w:firstLine="440"/>
        <w:rPr>
          <w:sz w:val="22"/>
          <w:szCs w:val="22"/>
        </w:rPr>
      </w:pPr>
      <w:r>
        <w:t>This organization maintains a traceable link between method and result while keeping the scientific argument centred on four findings: cohort formation, metropolitan spatial concentration, baseline-dominated temporal exposure and pathway-dependent liabilities.</w:t>
      </w:r>
    </w:p>
    <w:p w14:paraId="63A5DFC8">
      <w:pPr>
        <w:pStyle w:val="30"/>
        <w:spacing w:line="276" w:lineRule="auto"/>
        <w:ind w:firstLine="440"/>
        <w:rPr>
          <w:sz w:val="22"/>
          <w:szCs w:val="22"/>
        </w:rPr>
      </w:pPr>
    </w:p>
    <w:p w14:paraId="6D86EA53">
      <w:pPr>
        <w:pStyle w:val="29"/>
      </w:pPr>
      <w:bookmarkStart w:id="14" w:name="_Toc227181475"/>
      <w:r>
        <w:t>S2.3 Annual building-level workflow</w:t>
      </w:r>
      <w:bookmarkEnd w:id="14"/>
    </w:p>
    <w:p w14:paraId="6BD856DB">
      <w:pPr>
        <w:pStyle w:val="30"/>
        <w:spacing w:line="276" w:lineRule="auto"/>
        <w:ind w:firstLine="440"/>
        <w:rPr>
          <w:sz w:val="22"/>
          <w:szCs w:val="22"/>
        </w:rPr>
      </w:pPr>
      <w:r>
        <w:rPr>
          <w:sz w:val="22"/>
          <w:szCs w:val="22"/>
        </w:rPr>
        <w:t>The framework operates at the level of individual residential buildings and is implemented as an annual simulation from the baseline year to 2050. In each simulation year, every building is treated as a dynamic observation whose priority status can change as physical ageing and demographic conditions evolve.</w:t>
      </w:r>
    </w:p>
    <w:p w14:paraId="6588EE31">
      <w:pPr>
        <w:pStyle w:val="30"/>
        <w:spacing w:line="276" w:lineRule="auto"/>
        <w:ind w:firstLine="440"/>
        <w:rPr>
          <w:sz w:val="22"/>
          <w:szCs w:val="22"/>
        </w:rPr>
      </w:pPr>
      <w:r>
        <w:rPr>
          <w:sz w:val="22"/>
          <w:szCs w:val="22"/>
        </w:rPr>
        <w:t>The workflow begins with the harmonized baseline database described in Section S1. For each building, static attributes (for example structural type, footprint and initial location) are combined with dynamic attributes (for example building age and assigned demographic indicators). These variables are used to calculate the three component indices—Physical Potential Index (PPI), Economic Potential Index (EPI) and Social Need Index (SNI)—and the resulting Comprehensive Urban Renewal Priority Index (CPI).</w:t>
      </w:r>
    </w:p>
    <w:p w14:paraId="5126B786">
      <w:pPr>
        <w:pStyle w:val="30"/>
        <w:spacing w:line="276" w:lineRule="auto"/>
        <w:ind w:firstLine="440"/>
        <w:rPr>
          <w:sz w:val="22"/>
          <w:szCs w:val="22"/>
        </w:rPr>
      </w:pPr>
      <w:r>
        <w:t>Annual CPI values are compared with the fixed policy-calibrated threshold derived from Quanzhou’s 2020 implementation baseline. Urban buildings are ranked from highest to lowest CPI until cumulative dwelling units first reach the documented 56,000-household programme scale</w:t>
      </w:r>
      <w:r>
        <w:rPr>
          <w:vertAlign w:val="superscript"/>
        </w:rPr>
        <w:t>3</w:t>
      </w:r>
      <w:r>
        <w:t>. The resulting threshold is 0.41681972, corresponding to 56,009 urban dwelling units at the cutoff.</w:t>
      </w:r>
    </w:p>
    <w:p w14:paraId="555B74D5">
      <w:pPr>
        <w:pStyle w:val="30"/>
        <w:spacing w:line="276" w:lineRule="auto"/>
        <w:ind w:firstLine="440"/>
        <w:rPr>
          <w:sz w:val="22"/>
          <w:szCs w:val="22"/>
        </w:rPr>
      </w:pPr>
      <w:r>
        <w:t>The resulting renewal-pressure set is aggregated by building count, dwelling units, floor area and land area. These quantities characterize different dimensions of planning and implementation exposure rather than constituting a project list.</w:t>
      </w:r>
    </w:p>
    <w:p w14:paraId="309DF176">
      <w:pPr>
        <w:pStyle w:val="30"/>
        <w:spacing w:line="276" w:lineRule="auto"/>
        <w:ind w:firstLine="440"/>
        <w:rPr>
          <w:sz w:val="22"/>
          <w:szCs w:val="22"/>
        </w:rPr>
      </w:pPr>
      <w:r>
        <w:rPr>
          <w:color w:val="000000"/>
          <w:sz w:val="22"/>
          <w:szCs w:val="22"/>
        </w:rPr>
        <w:t>Finally, pathway exposure is estimated for all buildings in the renewal-pressure range. The demolition pathway uses urban and rural compensation rules plus demolition-stage carbon accounting, whereas the in situ pathway uses locally calibrated retrofit costs and annual operational carbon accounting. Annual outputs are stored and aggregated to produce long-term trajectories of renewal demand, cost exposure and carbon implications.</w:t>
      </w:r>
    </w:p>
    <w:p w14:paraId="36450CCA">
      <w:pPr>
        <w:pStyle w:val="30"/>
        <w:spacing w:line="276" w:lineRule="auto"/>
        <w:ind w:firstLine="440"/>
        <w:rPr>
          <w:sz w:val="22"/>
          <w:szCs w:val="22"/>
        </w:rPr>
      </w:pPr>
      <w:r>
        <w:rPr>
          <w:sz w:val="22"/>
          <w:szCs w:val="22"/>
        </w:rPr>
        <w:t>Repeating this workflow for each year from the baseline to 2050 yields a temporally consistent building-level simulation of how the existing housing stock transitions from present-day conditions to future renewal systems. The annual structure of the model is essential because it captures gradual stock ageing, progressive demographic change and the cumulative emergence of renewal pressure rather than representing renewal as a single end-state forecast.</w:t>
      </w:r>
    </w:p>
    <w:p w14:paraId="120881D2">
      <w:r>
        <w:pict>
          <v:rect id="矩形 17" o:spid="_x0000_s1031" o:spt="1" style="height:0.05pt;width:564.65pt;" filled="f" coordsize="21600,21600">
            <v:path/>
            <v:fill on="f" focussize="0,0"/>
            <v:stroke/>
            <v:imagedata o:title=""/>
            <o:lock v:ext="edit" aspectratio="t"/>
            <w10:wrap type="none"/>
            <w10:anchorlock/>
          </v:rect>
        </w:pict>
      </w:r>
    </w:p>
    <w:p w14:paraId="6B68FFFF">
      <w:pPr>
        <w:pStyle w:val="28"/>
      </w:pPr>
      <w:bookmarkStart w:id="15" w:name="_Toc227181476"/>
      <w:r>
        <w:t>S3. Priority ranking module</w:t>
      </w:r>
      <w:bookmarkEnd w:id="15"/>
    </w:p>
    <w:p w14:paraId="3631C802">
      <w:pPr>
        <w:pStyle w:val="29"/>
      </w:pPr>
      <w:bookmarkStart w:id="16" w:name="_Toc227181477"/>
      <w:r>
        <w:t>S3.1 Conceptual basis of renewal priority</w:t>
      </w:r>
      <w:bookmarkEnd w:id="16"/>
    </w:p>
    <w:p w14:paraId="2ED2BDA2">
      <w:pPr>
        <w:pStyle w:val="30"/>
        <w:spacing w:line="276" w:lineRule="auto"/>
        <w:ind w:firstLine="440"/>
        <w:rPr>
          <w:sz w:val="22"/>
          <w:szCs w:val="22"/>
        </w:rPr>
      </w:pPr>
      <w:r>
        <w:t>Urban renewal is multidimensional</w:t>
      </w:r>
      <w:r>
        <w:rPr>
          <w:vertAlign w:val="superscript"/>
        </w:rPr>
        <w:t>4,5</w:t>
      </w:r>
      <w:r>
        <w:t>. Physical deterioration can elevate intervention priority</w:t>
      </w:r>
      <w:r>
        <w:rPr>
          <w:vertAlign w:val="superscript"/>
        </w:rPr>
        <w:t>6</w:t>
      </w:r>
      <w:r>
        <w:t>, but redevelopment incentives also depend on location</w:t>
      </w:r>
      <w:r>
        <w:rPr>
          <w:vertAlign w:val="superscript"/>
        </w:rPr>
        <w:t>7</w:t>
      </w:r>
      <w:r>
        <w:t>, and social need may be greatest where market incentives are weak</w:t>
      </w:r>
      <w:r>
        <w:rPr>
          <w:vertAlign w:val="superscript"/>
        </w:rPr>
        <w:t>8</w:t>
      </w:r>
      <w:r>
        <w:t>. Conversely, a well-located building may remain structurally serviceable</w:t>
      </w:r>
      <w:r>
        <w:rPr>
          <w:vertAlign w:val="superscript"/>
        </w:rPr>
        <w:t>9</w:t>
      </w:r>
      <w:r>
        <w:t>. A credible diagnostic must therefore integrate physical, locational and social information rather than rely on a single proxy</w:t>
      </w:r>
      <w:r>
        <w:rPr>
          <w:vertAlign w:val="superscript"/>
        </w:rPr>
        <w:t>5,10</w:t>
      </w:r>
      <w:r>
        <w:t>.</w:t>
      </w:r>
    </w:p>
    <w:p w14:paraId="65C1BF93">
      <w:pPr>
        <w:pStyle w:val="30"/>
        <w:spacing w:line="276" w:lineRule="auto"/>
        <w:ind w:firstLine="440"/>
        <w:rPr>
          <w:sz w:val="22"/>
          <w:szCs w:val="22"/>
        </w:rPr>
      </w:pPr>
      <w:r>
        <w:t>We define renewal priority as the relative urgency and strategic relevance of further assessment or intervention within the wider housing system. It differs from observed redevelopment activity, which is also shaped by political negotiation, fiscal capacity, developer behaviour, ownership and resident preferences. The index therefore measures latent renewal pressure, not implementation probability.</w:t>
      </w:r>
    </w:p>
    <w:p w14:paraId="54DF4E6E">
      <w:pPr>
        <w:pStyle w:val="30"/>
        <w:spacing w:line="276" w:lineRule="auto"/>
        <w:ind w:firstLine="440"/>
        <w:rPr>
          <w:sz w:val="22"/>
          <w:szCs w:val="22"/>
        </w:rPr>
      </w:pPr>
      <w:r>
        <w:t>The framework contains three complementary dimensions. Physical potential captures cohort age, structural vulnerability and building form. Economic potential represents locational accessibility and redevelopment feasibility. Social need captures allocated population, population ageing and housing-space pressure. Their combination separates the diagnostic bases of renewal while retaining a transparent overall ranking.</w:t>
      </w:r>
    </w:p>
    <w:p w14:paraId="15D0BE9C">
      <w:pPr>
        <w:pStyle w:val="30"/>
        <w:spacing w:line="276" w:lineRule="auto"/>
        <w:ind w:firstLine="440"/>
        <w:rPr>
          <w:sz w:val="22"/>
          <w:szCs w:val="22"/>
        </w:rPr>
      </w:pPr>
      <w:r>
        <w:rPr>
          <w:color w:val="000000"/>
          <w:sz w:val="22"/>
          <w:szCs w:val="22"/>
        </w:rPr>
        <w:t xml:space="preserve">This framing is particularly appropriate for Quanzhou and similar metropolitan regions where urban and rural housing systems coexist. In such settings, renewal cannot be understood solely through land value logic or solely through physical deterioration. A multidimensional ranking allows buildings across heterogeneous settlement contexts to be assessed using a common analytical language while preserving differences in the drivers of renewal pressure. </w:t>
      </w:r>
    </w:p>
    <w:p w14:paraId="042D28B0">
      <w:pPr>
        <w:pStyle w:val="29"/>
      </w:pPr>
      <w:bookmarkStart w:id="17" w:name="_Toc227181478"/>
      <w:r>
        <w:t>S3.2 Indicator framework</w:t>
      </w:r>
      <w:bookmarkEnd w:id="17"/>
    </w:p>
    <w:p w14:paraId="537E9C63">
      <w:pPr>
        <w:pStyle w:val="30"/>
        <w:spacing w:line="276" w:lineRule="auto"/>
        <w:ind w:firstLine="440"/>
        <w:rPr>
          <w:sz w:val="22"/>
          <w:szCs w:val="22"/>
        </w:rPr>
      </w:pPr>
      <w:r>
        <w:rPr>
          <w:sz w:val="22"/>
          <w:szCs w:val="22"/>
        </w:rPr>
        <w:t xml:space="preserve">Based on the conceptual framework above, we constructed a building-level indicator system comprising the </w:t>
      </w:r>
      <w:r>
        <w:rPr>
          <w:b/>
          <w:bCs/>
          <w:sz w:val="22"/>
          <w:szCs w:val="22"/>
        </w:rPr>
        <w:t>Physical Potential Index (PPI), Economic Potential Index (EPI) and Social Need Index (SNI)</w:t>
      </w:r>
      <w:r>
        <w:rPr>
          <w:sz w:val="22"/>
          <w:szCs w:val="22"/>
        </w:rPr>
        <w:t>. Each dimension contains three indicators chosen to capture a distinct component of renewal pressure while maintaining interpretability and reproducibility.</w:t>
      </w:r>
    </w:p>
    <w:p w14:paraId="3B426180">
      <w:pPr>
        <w:pStyle w:val="30"/>
        <w:spacing w:line="276" w:lineRule="auto"/>
        <w:ind w:firstLine="440"/>
        <w:rPr>
          <w:sz w:val="22"/>
          <w:szCs w:val="22"/>
        </w:rPr>
      </w:pPr>
      <w:r>
        <w:rPr>
          <w:sz w:val="22"/>
          <w:szCs w:val="22"/>
        </w:rPr>
        <w:t xml:space="preserve">The </w:t>
      </w:r>
      <w:r>
        <w:rPr>
          <w:b/>
          <w:bCs/>
          <w:sz w:val="22"/>
          <w:szCs w:val="22"/>
        </w:rPr>
        <w:t xml:space="preserve">Physical Potential Index </w:t>
      </w:r>
      <w:r>
        <w:rPr>
          <w:sz w:val="22"/>
          <w:szCs w:val="22"/>
        </w:rPr>
        <w:t>includes:</w:t>
      </w:r>
      <w:r>
        <w:rPr>
          <w:sz w:val="22"/>
          <w:szCs w:val="22"/>
        </w:rPr>
        <w:br w:type="textWrapping"/>
      </w:r>
      <w:r>
        <w:rPr>
          <w:sz w:val="22"/>
          <w:szCs w:val="22"/>
        </w:rPr>
        <w:t xml:space="preserve">(1) </w:t>
      </w:r>
      <w:r>
        <w:rPr>
          <w:b/>
          <w:bCs/>
          <w:sz w:val="22"/>
          <w:szCs w:val="22"/>
        </w:rPr>
        <w:t>Building age</w:t>
      </w:r>
      <w:r>
        <w:rPr>
          <w:sz w:val="22"/>
          <w:szCs w:val="22"/>
        </w:rPr>
        <w:t>, representing lifecycle stage and cumulative depreciation;</w:t>
      </w:r>
      <w:r>
        <w:rPr>
          <w:sz w:val="22"/>
          <w:szCs w:val="22"/>
        </w:rPr>
        <w:br w:type="textWrapping"/>
      </w:r>
      <w:r>
        <w:rPr>
          <w:sz w:val="22"/>
          <w:szCs w:val="22"/>
        </w:rPr>
        <w:t xml:space="preserve">(2) </w:t>
      </w:r>
      <w:r>
        <w:rPr>
          <w:b/>
          <w:bCs/>
          <w:sz w:val="22"/>
          <w:szCs w:val="22"/>
        </w:rPr>
        <w:t>Structural vulnerability</w:t>
      </w:r>
      <w:r>
        <w:rPr>
          <w:sz w:val="22"/>
          <w:szCs w:val="22"/>
        </w:rPr>
        <w:t>, representing intrinsic construction risk associated with structural type; and</w:t>
      </w:r>
      <w:r>
        <w:rPr>
          <w:sz w:val="22"/>
          <w:szCs w:val="22"/>
        </w:rPr>
        <w:br w:type="textWrapping"/>
      </w:r>
      <w:r>
        <w:rPr>
          <w:sz w:val="22"/>
          <w:szCs w:val="22"/>
        </w:rPr>
        <w:t xml:space="preserve">(3) </w:t>
      </w:r>
      <w:r>
        <w:rPr>
          <w:b/>
          <w:bCs/>
          <w:sz w:val="22"/>
          <w:szCs w:val="22"/>
        </w:rPr>
        <w:t>Number of storeys</w:t>
      </w:r>
      <w:r>
        <w:rPr>
          <w:sz w:val="22"/>
          <w:szCs w:val="22"/>
        </w:rPr>
        <w:t>, representing building intensity and redevelopment complexity.</w:t>
      </w:r>
      <w:r>
        <w:rPr>
          <w:sz w:val="22"/>
          <w:szCs w:val="22"/>
        </w:rPr>
        <w:br w:type="textWrapping"/>
      </w:r>
      <w:r>
        <w:rPr>
          <w:sz w:val="22"/>
          <w:szCs w:val="22"/>
        </w:rPr>
        <w:t>Together, these indicators characterize the material condition and structural profile of the residential stock.</w:t>
      </w:r>
    </w:p>
    <w:p w14:paraId="7CA335AD">
      <w:pPr>
        <w:pStyle w:val="30"/>
        <w:spacing w:line="276" w:lineRule="auto"/>
        <w:ind w:firstLine="440"/>
        <w:rPr>
          <w:sz w:val="22"/>
          <w:szCs w:val="22"/>
        </w:rPr>
      </w:pPr>
      <w:r>
        <w:rPr>
          <w:sz w:val="22"/>
          <w:szCs w:val="22"/>
        </w:rPr>
        <w:t xml:space="preserve">The </w:t>
      </w:r>
      <w:r>
        <w:rPr>
          <w:b/>
          <w:bCs/>
          <w:sz w:val="22"/>
          <w:szCs w:val="22"/>
        </w:rPr>
        <w:t>Economic Potential Index</w:t>
      </w:r>
      <w:r>
        <w:rPr>
          <w:sz w:val="22"/>
          <w:szCs w:val="22"/>
        </w:rPr>
        <w:t xml:space="preserve"> includes:</w:t>
      </w:r>
      <w:r>
        <w:rPr>
          <w:sz w:val="22"/>
          <w:szCs w:val="22"/>
        </w:rPr>
        <w:br w:type="textWrapping"/>
      </w:r>
      <w:r>
        <w:rPr>
          <w:sz w:val="22"/>
          <w:szCs w:val="22"/>
        </w:rPr>
        <w:t xml:space="preserve">(4) </w:t>
      </w:r>
      <w:r>
        <w:rPr>
          <w:b/>
          <w:bCs/>
          <w:sz w:val="22"/>
          <w:szCs w:val="22"/>
        </w:rPr>
        <w:t>Distance to commercial land</w:t>
      </w:r>
      <w:r>
        <w:rPr>
          <w:sz w:val="22"/>
          <w:szCs w:val="22"/>
        </w:rPr>
        <w:t>, capturing proximity to economic activity and redevelopment opportunity;</w:t>
      </w:r>
      <w:r>
        <w:rPr>
          <w:sz w:val="22"/>
          <w:szCs w:val="22"/>
        </w:rPr>
        <w:br w:type="textWrapping"/>
      </w:r>
      <w:r>
        <w:rPr>
          <w:sz w:val="22"/>
          <w:szCs w:val="22"/>
        </w:rPr>
        <w:t xml:space="preserve">(5) </w:t>
      </w:r>
      <w:r>
        <w:rPr>
          <w:b/>
          <w:bCs/>
          <w:sz w:val="22"/>
          <w:szCs w:val="22"/>
        </w:rPr>
        <w:t>Distance to public service facilities</w:t>
      </w:r>
      <w:r>
        <w:rPr>
          <w:sz w:val="22"/>
          <w:szCs w:val="22"/>
        </w:rPr>
        <w:t>, capturing access to urban amenities and public services; and</w:t>
      </w:r>
      <w:r>
        <w:rPr>
          <w:sz w:val="22"/>
          <w:szCs w:val="22"/>
        </w:rPr>
        <w:br w:type="textWrapping"/>
      </w:r>
      <w:r>
        <w:rPr>
          <w:sz w:val="22"/>
          <w:szCs w:val="22"/>
        </w:rPr>
        <w:t xml:space="preserve">(6) </w:t>
      </w:r>
      <w:r>
        <w:rPr>
          <w:b/>
          <w:bCs/>
          <w:sz w:val="22"/>
          <w:szCs w:val="22"/>
        </w:rPr>
        <w:t>Distance to the road network</w:t>
      </w:r>
      <w:r>
        <w:rPr>
          <w:sz w:val="22"/>
          <w:szCs w:val="22"/>
        </w:rPr>
        <w:t>, capturing transport accessibility and development connectivity.</w:t>
      </w:r>
      <w:r>
        <w:rPr>
          <w:sz w:val="22"/>
          <w:szCs w:val="22"/>
        </w:rPr>
        <w:br w:type="textWrapping"/>
      </w:r>
      <w:r>
        <w:rPr>
          <w:sz w:val="22"/>
          <w:szCs w:val="22"/>
        </w:rPr>
        <w:t>These indicators describe the locational attractiveness and feasibility of redevelopment under existing spatial conditions.</w:t>
      </w:r>
    </w:p>
    <w:p w14:paraId="1C4F274F">
      <w:pPr>
        <w:pStyle w:val="30"/>
        <w:spacing w:line="276" w:lineRule="auto"/>
        <w:ind w:firstLine="440"/>
        <w:rPr>
          <w:color w:val="000000"/>
          <w:sz w:val="22"/>
          <w:szCs w:val="22"/>
        </w:rPr>
      </w:pPr>
      <w:r>
        <w:rPr>
          <w:color w:val="000000"/>
          <w:sz w:val="22"/>
          <w:szCs w:val="22"/>
        </w:rPr>
        <w:t xml:space="preserve">The Social Need Index includes: </w:t>
      </w:r>
    </w:p>
    <w:p w14:paraId="23A3C61C">
      <w:pPr>
        <w:pStyle w:val="30"/>
        <w:spacing w:line="276" w:lineRule="auto"/>
        <w:rPr>
          <w:color w:val="000000"/>
          <w:sz w:val="22"/>
          <w:szCs w:val="22"/>
        </w:rPr>
      </w:pPr>
      <w:r>
        <w:rPr>
          <w:rFonts w:ascii="Times New Roman Bold" w:hAnsi="Times New Roman Bold" w:cs="Times New Roman Bold"/>
          <w:color w:val="000000"/>
          <w:sz w:val="22"/>
          <w:szCs w:val="22"/>
        </w:rPr>
        <w:t xml:space="preserve">(7) </w:t>
      </w:r>
      <w:r>
        <w:rPr>
          <w:rFonts w:hint="eastAsia" w:ascii="Times New Roman Bold" w:hAnsi="Times New Roman Bold" w:cs="Times New Roman Bold"/>
          <w:b/>
          <w:bCs/>
          <w:color w:val="000000"/>
          <w:sz w:val="22"/>
          <w:szCs w:val="22"/>
        </w:rPr>
        <w:t>B</w:t>
      </w:r>
      <w:r>
        <w:rPr>
          <w:rFonts w:ascii="Times New Roman Bold" w:hAnsi="Times New Roman Bold" w:cs="Times New Roman Bold"/>
          <w:b/>
          <w:bCs/>
          <w:color w:val="000000"/>
          <w:sz w:val="22"/>
          <w:szCs w:val="22"/>
        </w:rPr>
        <w:t xml:space="preserve">uilding-scale population size, </w:t>
      </w:r>
      <w:r>
        <w:rPr>
          <w:color w:val="000000"/>
          <w:sz w:val="22"/>
          <w:szCs w:val="22"/>
        </w:rPr>
        <w:t xml:space="preserve">representing the scale of housing demand after village population is allocated to buildings by floor area; </w:t>
      </w:r>
    </w:p>
    <w:p w14:paraId="5CF3F3CA">
      <w:pPr>
        <w:pStyle w:val="30"/>
        <w:spacing w:line="276" w:lineRule="auto"/>
        <w:rPr>
          <w:color w:val="000000"/>
          <w:sz w:val="22"/>
          <w:szCs w:val="22"/>
        </w:rPr>
      </w:pPr>
      <w:r>
        <w:rPr>
          <w:rFonts w:ascii="Times New Roman Bold" w:hAnsi="Times New Roman Bold" w:cs="Times New Roman Bold"/>
          <w:color w:val="000000"/>
          <w:sz w:val="22"/>
          <w:szCs w:val="22"/>
        </w:rPr>
        <w:t xml:space="preserve">(8) </w:t>
      </w:r>
      <w:r>
        <w:rPr>
          <w:rFonts w:hint="eastAsia" w:ascii="Times New Roman Bold" w:hAnsi="Times New Roman Bold" w:cs="Times New Roman Bold"/>
          <w:color w:val="000000"/>
          <w:sz w:val="22"/>
          <w:szCs w:val="22"/>
        </w:rPr>
        <w:t>B</w:t>
      </w:r>
      <w:r>
        <w:rPr>
          <w:rFonts w:ascii="Times New Roman Bold" w:hAnsi="Times New Roman Bold" w:cs="Times New Roman Bold"/>
          <w:b/>
          <w:bCs/>
          <w:color w:val="000000"/>
          <w:sz w:val="22"/>
          <w:szCs w:val="22"/>
        </w:rPr>
        <w:t xml:space="preserve">uilding-scale older-adult population, </w:t>
      </w:r>
      <w:r>
        <w:rPr>
          <w:color w:val="000000"/>
          <w:sz w:val="22"/>
          <w:szCs w:val="22"/>
        </w:rPr>
        <w:t xml:space="preserve">representing the concentration of older residents and potential accessibility or safety needs; and </w:t>
      </w:r>
    </w:p>
    <w:p w14:paraId="15DC8180">
      <w:pPr>
        <w:pStyle w:val="30"/>
        <w:spacing w:line="276" w:lineRule="auto"/>
        <w:rPr>
          <w:sz w:val="22"/>
          <w:szCs w:val="22"/>
        </w:rPr>
      </w:pPr>
      <w:r>
        <w:rPr>
          <w:rFonts w:ascii="Times New Roman Bold" w:hAnsi="Times New Roman Bold" w:cs="Times New Roman Bold"/>
          <w:color w:val="000000"/>
          <w:sz w:val="22"/>
          <w:szCs w:val="22"/>
        </w:rPr>
        <w:t xml:space="preserve">(9) </w:t>
      </w:r>
      <w:r>
        <w:rPr>
          <w:rFonts w:hint="eastAsia" w:ascii="Times New Roman Bold" w:hAnsi="Times New Roman Bold" w:cs="Times New Roman Bold"/>
          <w:b/>
          <w:bCs/>
          <w:color w:val="000000"/>
          <w:sz w:val="22"/>
          <w:szCs w:val="22"/>
        </w:rPr>
        <w:t>I</w:t>
      </w:r>
      <w:r>
        <w:rPr>
          <w:rFonts w:ascii="Times New Roman Bold" w:hAnsi="Times New Roman Bold" w:cs="Times New Roman Bold"/>
          <w:b/>
          <w:bCs/>
          <w:color w:val="000000"/>
          <w:sz w:val="22"/>
          <w:szCs w:val="22"/>
        </w:rPr>
        <w:t xml:space="preserve">nverse per-capita residential floor area, </w:t>
      </w:r>
      <w:r>
        <w:rPr>
          <w:color w:val="000000"/>
          <w:sz w:val="22"/>
          <w:szCs w:val="22"/>
        </w:rPr>
        <w:t>representing housing-space pressure. Because this third indicator is expressed as the reciprocal of per-capita floor area, higher values indicate tighter housing conditions and therefore higher renewal priority.</w:t>
      </w:r>
    </w:p>
    <w:p w14:paraId="4760BB4E">
      <w:pPr>
        <w:pStyle w:val="30"/>
        <w:spacing w:line="276" w:lineRule="auto"/>
        <w:ind w:firstLine="440"/>
        <w:rPr>
          <w:sz w:val="22"/>
          <w:szCs w:val="22"/>
        </w:rPr>
      </w:pPr>
      <w:r>
        <w:rPr>
          <w:sz w:val="22"/>
          <w:szCs w:val="22"/>
        </w:rPr>
        <w:t xml:space="preserve">The use of a parsimonious three-by-three structure balances conceptual breadth with operational transparency. It allows heterogeneous building, locational and demographic attributes to be translated into a unified ranking system while avoiding excessive model complexity. The full indicator definitions and baseline structural vulnerability assignments are reported in </w:t>
      </w:r>
      <w:r>
        <w:rPr>
          <w:color w:val="0563C1"/>
          <w:sz w:val="22"/>
          <w:szCs w:val="22"/>
        </w:rPr>
        <w:t>Supplementary Tables 1 and 2</w:t>
      </w:r>
      <w:r>
        <w:rPr>
          <w:sz w:val="22"/>
          <w:szCs w:val="22"/>
        </w:rPr>
        <w:t>.</w:t>
      </w:r>
    </w:p>
    <w:p w14:paraId="64FE74D4">
      <w:pPr>
        <w:pStyle w:val="29"/>
      </w:pPr>
      <w:bookmarkStart w:id="18" w:name="_Toc227181479"/>
      <w:r>
        <w:t>S3.3 Indicator normalization</w:t>
      </w:r>
      <w:bookmarkEnd w:id="18"/>
    </w:p>
    <w:p w14:paraId="10D4CC86">
      <w:pPr>
        <w:pStyle w:val="30"/>
        <w:spacing w:line="276" w:lineRule="auto"/>
        <w:ind w:firstLine="440"/>
        <w:rPr>
          <w:sz w:val="22"/>
          <w:szCs w:val="22"/>
        </w:rPr>
      </w:pPr>
      <w:r>
        <w:rPr>
          <w:sz w:val="22"/>
          <w:szCs w:val="22"/>
        </w:rPr>
        <w:t>Because the nine indicators have different units and ranges, each was standardized by min–max normalization using the minimum and maximum observed in the 2020 baseline stock. Fixing these bounds preserves a common scale for the 2020 baseline and all 2025–2050 projections.</w:t>
      </w:r>
    </w:p>
    <w:p w14:paraId="4EB6EC8C">
      <w:pPr>
        <w:pStyle w:val="30"/>
        <w:spacing w:line="276" w:lineRule="auto"/>
        <w:ind w:firstLine="440"/>
        <w:rPr>
          <w:sz w:val="22"/>
          <w:szCs w:val="22"/>
        </w:rPr>
      </w:pPr>
      <w:r>
        <w:rPr>
          <w:sz w:val="22"/>
          <w:szCs w:val="22"/>
        </w:rPr>
        <w:t>For indicators positively associated with renewal priority, normalized values were calculated as:</w:t>
      </w:r>
    </w:p>
    <w:p w14:paraId="5A9D95B8">
      <w:pPr>
        <w:pStyle w:val="31"/>
        <w:spacing w:before="0" w:after="0" w:line="240" w:lineRule="auto"/>
        <w:rPr>
          <w:sz w:val="22"/>
          <w:szCs w:val="22"/>
        </w:rPr>
      </w:pPr>
      <m:oMath>
        <m:sSubSup>
          <m:sSubSupPr>
            <m:ctrlPr>
              <w:rPr>
                <w:rFonts w:ascii="DejaVu Math TeX Gyre" w:hAnsi="DejaVu Math TeX Gyre"/>
                <w:sz w:val="22"/>
                <w:szCs w:val="22"/>
              </w:rPr>
            </m:ctrlPr>
          </m:sSubSupPr>
          <m:e>
            <m:r>
              <m:rPr>
                <m:sty m:val="p"/>
              </m:rPr>
              <w:rPr>
                <w:rFonts w:ascii="Cambria Math" w:hAnsi="Cambria Math"/>
                <w:sz w:val="22"/>
                <w:szCs w:val="22"/>
              </w:rPr>
              <m:t>X</m:t>
            </m:r>
            <m:ctrlPr>
              <w:rPr>
                <w:rFonts w:ascii="DejaVu Math TeX Gyre" w:hAnsi="DejaVu Math TeX Gyre"/>
                <w:sz w:val="22"/>
                <w:szCs w:val="22"/>
              </w:rPr>
            </m:ctrlPr>
          </m:e>
          <m:sub>
            <m:r>
              <m:rPr>
                <m:sty m:val="p"/>
              </m:rPr>
              <w:rPr>
                <w:rFonts w:ascii="Cambria Math" w:hAnsi="Cambria Math"/>
                <w:sz w:val="22"/>
                <w:szCs w:val="22"/>
              </w:rPr>
              <m:t>i,t</m:t>
            </m:r>
            <m:ctrlPr>
              <w:rPr>
                <w:rFonts w:ascii="DejaVu Math TeX Gyre" w:hAnsi="DejaVu Math TeX Gyre"/>
                <w:sz w:val="22"/>
                <w:szCs w:val="22"/>
              </w:rPr>
            </m:ctrlPr>
          </m:sub>
          <m:sup>
            <m:r>
              <m:rPr>
                <m:sty m:val="p"/>
              </m:rPr>
              <w:rPr>
                <w:rFonts w:hint="eastAsia" w:ascii="Cambria Math" w:hAnsi="Cambria Math"/>
                <w:sz w:val="22"/>
                <w:szCs w:val="22"/>
              </w:rPr>
              <m:t>'</m:t>
            </m:r>
            <m:ctrlPr>
              <w:rPr>
                <w:rFonts w:ascii="DejaVu Math TeX Gyre" w:hAnsi="DejaVu Math TeX Gyre"/>
                <w:sz w:val="22"/>
                <w:szCs w:val="22"/>
              </w:rPr>
            </m:ctrlPr>
          </m:sup>
        </m:sSubSup>
        <m:r>
          <m:rPr>
            <m:sty m:val="p"/>
          </m:rPr>
          <w:rPr>
            <w:rFonts w:ascii="Cambria Math" w:hAnsi="Cambria Math"/>
            <w:sz w:val="22"/>
            <w:szCs w:val="22"/>
          </w:rPr>
          <m:t>=</m:t>
        </m:r>
        <m:f>
          <m:fPr>
            <m:ctrlPr>
              <w:rPr>
                <w:rFonts w:ascii="DejaVu Math TeX Gyre" w:hAnsi="DejaVu Math TeX Gyre"/>
                <w:sz w:val="22"/>
                <w:szCs w:val="22"/>
              </w:rPr>
            </m:ctrlPr>
          </m:fPr>
          <m:num>
            <m:sSub>
              <m:sSubPr>
                <m:ctrlPr>
                  <w:rPr>
                    <w:rFonts w:ascii="DejaVu Math TeX Gyre" w:hAnsi="DejaVu Math TeX Gyre"/>
                    <w:sz w:val="22"/>
                    <w:szCs w:val="22"/>
                  </w:rPr>
                </m:ctrlPr>
              </m:sSubPr>
              <m:e>
                <m:r>
                  <m:rPr>
                    <m:sty m:val="p"/>
                  </m:rPr>
                  <w:rPr>
                    <w:rFonts w:ascii="Cambria Math" w:hAnsi="Cambria Math"/>
                    <w:sz w:val="22"/>
                    <w:szCs w:val="22"/>
                  </w:rPr>
                  <m:t>X</m:t>
                </m:r>
                <m:ctrlPr>
                  <w:rPr>
                    <w:rFonts w:ascii="DejaVu Math TeX Gyre" w:hAnsi="DejaVu Math TeX Gyre"/>
                    <w:sz w:val="22"/>
                    <w:szCs w:val="22"/>
                  </w:rPr>
                </m:ctrlPr>
              </m:e>
              <m:sub>
                <m:r>
                  <m:rPr>
                    <m:sty m:val="p"/>
                  </m:rPr>
                  <w:rPr>
                    <w:rFonts w:ascii="Cambria Math" w:hAnsi="Cambria Math"/>
                    <w:sz w:val="22"/>
                    <w:szCs w:val="22"/>
                  </w:rPr>
                  <m:t>i,t</m:t>
                </m:r>
                <m:ctrlPr>
                  <w:rPr>
                    <w:rFonts w:ascii="DejaVu Math TeX Gyre" w:hAnsi="DejaVu Math TeX Gyre"/>
                    <w:sz w:val="22"/>
                    <w:szCs w:val="22"/>
                  </w:rPr>
                </m:ctrlPr>
              </m:sub>
            </m:sSub>
            <m:r>
              <m:rPr>
                <m:sty m:val="p"/>
              </m:rPr>
              <w:rPr>
                <w:rFonts w:ascii="Cambria Math" w:hAnsi="Cambria Math"/>
                <w:sz w:val="22"/>
                <w:szCs w:val="22"/>
              </w:rPr>
              <m:t>−</m:t>
            </m:r>
            <m:sSub>
              <m:sSubPr>
                <m:ctrlPr>
                  <w:rPr>
                    <w:rFonts w:ascii="DejaVu Math TeX Gyre" w:hAnsi="DejaVu Math TeX Gyre"/>
                    <w:sz w:val="22"/>
                    <w:szCs w:val="22"/>
                  </w:rPr>
                </m:ctrlPr>
              </m:sSubPr>
              <m:e>
                <m:r>
                  <m:rPr>
                    <m:sty m:val="p"/>
                  </m:rPr>
                  <w:rPr>
                    <w:rFonts w:ascii="Cambria Math" w:hAnsi="Cambria Math"/>
                    <w:sz w:val="22"/>
                    <w:szCs w:val="22"/>
                  </w:rPr>
                  <m:t>X</m:t>
                </m:r>
                <m:ctrlPr>
                  <w:rPr>
                    <w:rFonts w:ascii="DejaVu Math TeX Gyre" w:hAnsi="DejaVu Math TeX Gyre"/>
                    <w:sz w:val="22"/>
                    <w:szCs w:val="22"/>
                  </w:rPr>
                </m:ctrlPr>
              </m:e>
              <m:sub>
                <m:r>
                  <m:rPr>
                    <m:sty m:val="p"/>
                  </m:rPr>
                  <w:rPr>
                    <w:rFonts w:ascii="Cambria Math" w:hAnsi="Cambria Math"/>
                    <w:sz w:val="22"/>
                    <w:szCs w:val="22"/>
                  </w:rPr>
                  <m:t>min</m:t>
                </m:r>
                <m:ctrlPr>
                  <w:rPr>
                    <w:rFonts w:ascii="DejaVu Math TeX Gyre" w:hAnsi="DejaVu Math TeX Gyre"/>
                    <w:sz w:val="22"/>
                    <w:szCs w:val="22"/>
                  </w:rPr>
                </m:ctrlPr>
              </m:sub>
            </m:sSub>
            <m:ctrlPr>
              <w:rPr>
                <w:rFonts w:ascii="DejaVu Math TeX Gyre" w:hAnsi="DejaVu Math TeX Gyre"/>
                <w:sz w:val="22"/>
                <w:szCs w:val="22"/>
              </w:rPr>
            </m:ctrlPr>
          </m:num>
          <m:den>
            <m:sSub>
              <m:sSubPr>
                <m:ctrlPr>
                  <w:rPr>
                    <w:rFonts w:ascii="DejaVu Math TeX Gyre" w:hAnsi="DejaVu Math TeX Gyre"/>
                    <w:sz w:val="22"/>
                    <w:szCs w:val="22"/>
                  </w:rPr>
                </m:ctrlPr>
              </m:sSubPr>
              <m:e>
                <m:r>
                  <m:rPr>
                    <m:sty m:val="p"/>
                  </m:rPr>
                  <w:rPr>
                    <w:rFonts w:ascii="Cambria Math" w:hAnsi="Cambria Math"/>
                    <w:sz w:val="22"/>
                    <w:szCs w:val="22"/>
                  </w:rPr>
                  <m:t>X</m:t>
                </m:r>
                <m:ctrlPr>
                  <w:rPr>
                    <w:rFonts w:ascii="DejaVu Math TeX Gyre" w:hAnsi="DejaVu Math TeX Gyre"/>
                    <w:sz w:val="22"/>
                    <w:szCs w:val="22"/>
                  </w:rPr>
                </m:ctrlPr>
              </m:e>
              <m:sub>
                <m:r>
                  <m:rPr>
                    <m:sty m:val="p"/>
                  </m:rPr>
                  <w:rPr>
                    <w:rFonts w:ascii="Cambria Math" w:hAnsi="Cambria Math"/>
                    <w:sz w:val="22"/>
                    <w:szCs w:val="22"/>
                  </w:rPr>
                  <m:t>max</m:t>
                </m:r>
                <m:ctrlPr>
                  <w:rPr>
                    <w:rFonts w:ascii="DejaVu Math TeX Gyre" w:hAnsi="DejaVu Math TeX Gyre"/>
                    <w:sz w:val="22"/>
                    <w:szCs w:val="22"/>
                  </w:rPr>
                </m:ctrlPr>
              </m:sub>
            </m:sSub>
            <m:r>
              <m:rPr>
                <m:sty m:val="p"/>
              </m:rPr>
              <w:rPr>
                <w:rFonts w:ascii="Cambria Math" w:hAnsi="Cambria Math"/>
                <w:sz w:val="22"/>
                <w:szCs w:val="22"/>
              </w:rPr>
              <m:t>−</m:t>
            </m:r>
            <m:sSub>
              <m:sSubPr>
                <m:ctrlPr>
                  <w:rPr>
                    <w:rFonts w:ascii="DejaVu Math TeX Gyre" w:hAnsi="DejaVu Math TeX Gyre"/>
                    <w:sz w:val="22"/>
                    <w:szCs w:val="22"/>
                  </w:rPr>
                </m:ctrlPr>
              </m:sSubPr>
              <m:e>
                <m:r>
                  <m:rPr>
                    <m:sty m:val="p"/>
                  </m:rPr>
                  <w:rPr>
                    <w:rFonts w:ascii="Cambria Math" w:hAnsi="Cambria Math"/>
                    <w:sz w:val="22"/>
                    <w:szCs w:val="22"/>
                  </w:rPr>
                  <m:t>X</m:t>
                </m:r>
                <m:ctrlPr>
                  <w:rPr>
                    <w:rFonts w:ascii="DejaVu Math TeX Gyre" w:hAnsi="DejaVu Math TeX Gyre"/>
                    <w:sz w:val="22"/>
                    <w:szCs w:val="22"/>
                  </w:rPr>
                </m:ctrlPr>
              </m:e>
              <m:sub>
                <m:r>
                  <m:rPr>
                    <m:sty m:val="p"/>
                  </m:rPr>
                  <w:rPr>
                    <w:rFonts w:ascii="Cambria Math" w:hAnsi="Cambria Math"/>
                    <w:sz w:val="22"/>
                    <w:szCs w:val="22"/>
                  </w:rPr>
                  <m:t>min</m:t>
                </m:r>
                <m:ctrlPr>
                  <w:rPr>
                    <w:rFonts w:ascii="DejaVu Math TeX Gyre" w:hAnsi="DejaVu Math TeX Gyre"/>
                    <w:sz w:val="22"/>
                    <w:szCs w:val="22"/>
                  </w:rPr>
                </m:ctrlPr>
              </m:sub>
            </m:sSub>
            <m:ctrlPr>
              <w:rPr>
                <w:rFonts w:ascii="DejaVu Math TeX Gyre" w:hAnsi="DejaVu Math TeX Gyre"/>
                <w:sz w:val="22"/>
                <w:szCs w:val="22"/>
              </w:rPr>
            </m:ctrlPr>
          </m:den>
        </m:f>
      </m:oMath>
      <w:r>
        <w:rPr>
          <w:sz w:val="22"/>
          <w:szCs w:val="22"/>
        </w:rPr>
        <w:t xml:space="preserve">                            </w:t>
      </w:r>
      <w:r>
        <w:rPr>
          <w:rFonts w:eastAsia="宋体"/>
          <w:sz w:val="22"/>
          <w:szCs w:val="22"/>
        </w:rPr>
        <w:t xml:space="preserve">   </w:t>
      </w:r>
      <w:r>
        <w:rPr>
          <w:sz w:val="22"/>
          <w:szCs w:val="22"/>
        </w:rPr>
        <w:t xml:space="preserve">                (S1)</w:t>
      </w:r>
    </w:p>
    <w:p w14:paraId="6A858C08">
      <w:pPr>
        <w:pStyle w:val="30"/>
        <w:ind w:firstLine="440"/>
        <w:rPr>
          <w:sz w:val="22"/>
          <w:szCs w:val="22"/>
        </w:rPr>
      </w:pPr>
      <w:r>
        <w:rPr>
          <w:sz w:val="22"/>
          <w:szCs w:val="22"/>
        </w:rPr>
        <w:t>For indicators negatively associated with renewal priority, normalized values were calculated as:</w:t>
      </w:r>
      <w:r>
        <w:rPr>
          <w:rFonts w:hint="eastAsia"/>
          <w:sz w:val="22"/>
          <w:szCs w:val="22"/>
        </w:rPr>
        <w:t xml:space="preserve"> </w:t>
      </w:r>
    </w:p>
    <w:p w14:paraId="205A0718">
      <w:pPr>
        <w:pStyle w:val="31"/>
        <w:spacing w:before="0" w:after="0" w:line="240" w:lineRule="auto"/>
        <w:rPr>
          <w:sz w:val="22"/>
          <w:szCs w:val="22"/>
        </w:rPr>
      </w:pPr>
      <m:oMath>
        <m:sSubSup>
          <m:sSubSupPr>
            <m:ctrlPr>
              <w:rPr>
                <w:rFonts w:ascii="DejaVu Math TeX Gyre" w:hAnsi="DejaVu Math TeX Gyre"/>
                <w:sz w:val="22"/>
                <w:szCs w:val="22"/>
              </w:rPr>
            </m:ctrlPr>
          </m:sSubSupPr>
          <m:e>
            <m:r>
              <m:rPr>
                <m:sty m:val="p"/>
              </m:rPr>
              <w:rPr>
                <w:rFonts w:ascii="Cambria Math" w:hAnsi="Cambria Math"/>
                <w:sz w:val="22"/>
                <w:szCs w:val="22"/>
              </w:rPr>
              <m:t>X</m:t>
            </m:r>
            <m:ctrlPr>
              <w:rPr>
                <w:rFonts w:ascii="DejaVu Math TeX Gyre" w:hAnsi="DejaVu Math TeX Gyre"/>
                <w:sz w:val="22"/>
                <w:szCs w:val="22"/>
              </w:rPr>
            </m:ctrlPr>
          </m:e>
          <m:sub>
            <m:r>
              <m:rPr>
                <m:sty m:val="p"/>
              </m:rPr>
              <w:rPr>
                <w:rFonts w:ascii="Cambria Math" w:hAnsi="Cambria Math"/>
                <w:sz w:val="22"/>
                <w:szCs w:val="22"/>
              </w:rPr>
              <m:t>i,t</m:t>
            </m:r>
            <m:ctrlPr>
              <w:rPr>
                <w:rFonts w:ascii="DejaVu Math TeX Gyre" w:hAnsi="DejaVu Math TeX Gyre"/>
                <w:sz w:val="22"/>
                <w:szCs w:val="22"/>
              </w:rPr>
            </m:ctrlPr>
          </m:sub>
          <m:sup>
            <m:r>
              <m:rPr>
                <m:sty m:val="p"/>
              </m:rPr>
              <w:rPr>
                <w:rFonts w:hint="eastAsia" w:ascii="Cambria Math" w:hAnsi="Cambria Math"/>
                <w:sz w:val="22"/>
                <w:szCs w:val="22"/>
              </w:rPr>
              <m:t>'</m:t>
            </m:r>
            <m:ctrlPr>
              <w:rPr>
                <w:rFonts w:ascii="DejaVu Math TeX Gyre" w:hAnsi="DejaVu Math TeX Gyre"/>
                <w:sz w:val="22"/>
                <w:szCs w:val="22"/>
              </w:rPr>
            </m:ctrlPr>
          </m:sup>
        </m:sSubSup>
        <m:r>
          <m:rPr>
            <m:sty m:val="p"/>
          </m:rPr>
          <w:rPr>
            <w:rFonts w:ascii="Cambria Math" w:hAnsi="Cambria Math"/>
            <w:sz w:val="22"/>
            <w:szCs w:val="22"/>
          </w:rPr>
          <m:t>=</m:t>
        </m:r>
        <m:f>
          <m:fPr>
            <m:ctrlPr>
              <w:rPr>
                <w:rFonts w:ascii="DejaVu Math TeX Gyre" w:hAnsi="DejaVu Math TeX Gyre"/>
                <w:sz w:val="22"/>
                <w:szCs w:val="22"/>
              </w:rPr>
            </m:ctrlPr>
          </m:fPr>
          <m:num>
            <m:sSub>
              <m:sSubPr>
                <m:ctrlPr>
                  <w:rPr>
                    <w:rFonts w:ascii="DejaVu Math TeX Gyre" w:hAnsi="DejaVu Math TeX Gyre"/>
                    <w:sz w:val="22"/>
                    <w:szCs w:val="22"/>
                  </w:rPr>
                </m:ctrlPr>
              </m:sSubPr>
              <m:e>
                <m:r>
                  <m:rPr>
                    <m:sty m:val="p"/>
                  </m:rPr>
                  <w:rPr>
                    <w:rFonts w:ascii="Cambria Math" w:hAnsi="Cambria Math"/>
                    <w:sz w:val="22"/>
                    <w:szCs w:val="22"/>
                  </w:rPr>
                  <m:t>X</m:t>
                </m:r>
                <m:ctrlPr>
                  <w:rPr>
                    <w:rFonts w:ascii="DejaVu Math TeX Gyre" w:hAnsi="DejaVu Math TeX Gyre"/>
                    <w:sz w:val="22"/>
                    <w:szCs w:val="22"/>
                  </w:rPr>
                </m:ctrlPr>
              </m:e>
              <m:sub>
                <m:r>
                  <m:rPr>
                    <m:sty m:val="p"/>
                  </m:rPr>
                  <w:rPr>
                    <w:rFonts w:ascii="Cambria Math" w:hAnsi="Cambria Math"/>
                    <w:sz w:val="22"/>
                    <w:szCs w:val="22"/>
                  </w:rPr>
                  <m:t>max</m:t>
                </m:r>
                <m:ctrlPr>
                  <w:rPr>
                    <w:rFonts w:ascii="DejaVu Math TeX Gyre" w:hAnsi="DejaVu Math TeX Gyre"/>
                    <w:sz w:val="22"/>
                    <w:szCs w:val="22"/>
                  </w:rPr>
                </m:ctrlPr>
              </m:sub>
            </m:sSub>
            <m:r>
              <m:rPr>
                <m:sty m:val="p"/>
              </m:rPr>
              <w:rPr>
                <w:rFonts w:ascii="Cambria Math" w:hAnsi="Cambria Math"/>
                <w:sz w:val="22"/>
                <w:szCs w:val="22"/>
              </w:rPr>
              <m:t>−</m:t>
            </m:r>
            <m:sSub>
              <m:sSubPr>
                <m:ctrlPr>
                  <w:rPr>
                    <w:rFonts w:ascii="DejaVu Math TeX Gyre" w:hAnsi="DejaVu Math TeX Gyre"/>
                    <w:sz w:val="22"/>
                    <w:szCs w:val="22"/>
                  </w:rPr>
                </m:ctrlPr>
              </m:sSubPr>
              <m:e>
                <m:r>
                  <m:rPr>
                    <m:sty m:val="p"/>
                  </m:rPr>
                  <w:rPr>
                    <w:rFonts w:ascii="Cambria Math" w:hAnsi="Cambria Math"/>
                    <w:sz w:val="22"/>
                    <w:szCs w:val="22"/>
                  </w:rPr>
                  <m:t>X</m:t>
                </m:r>
                <m:ctrlPr>
                  <w:rPr>
                    <w:rFonts w:ascii="DejaVu Math TeX Gyre" w:hAnsi="DejaVu Math TeX Gyre"/>
                    <w:sz w:val="22"/>
                    <w:szCs w:val="22"/>
                  </w:rPr>
                </m:ctrlPr>
              </m:e>
              <m:sub>
                <m:r>
                  <m:rPr>
                    <m:sty m:val="p"/>
                  </m:rPr>
                  <w:rPr>
                    <w:rFonts w:ascii="Cambria Math" w:hAnsi="Cambria Math"/>
                    <w:sz w:val="22"/>
                    <w:szCs w:val="22"/>
                  </w:rPr>
                  <m:t>i,t</m:t>
                </m:r>
                <m:ctrlPr>
                  <w:rPr>
                    <w:rFonts w:ascii="DejaVu Math TeX Gyre" w:hAnsi="DejaVu Math TeX Gyre"/>
                    <w:sz w:val="22"/>
                    <w:szCs w:val="22"/>
                  </w:rPr>
                </m:ctrlPr>
              </m:sub>
            </m:sSub>
            <m:ctrlPr>
              <w:rPr>
                <w:rFonts w:ascii="DejaVu Math TeX Gyre" w:hAnsi="DejaVu Math TeX Gyre"/>
                <w:sz w:val="22"/>
                <w:szCs w:val="22"/>
              </w:rPr>
            </m:ctrlPr>
          </m:num>
          <m:den>
            <m:sSub>
              <m:sSubPr>
                <m:ctrlPr>
                  <w:rPr>
                    <w:rFonts w:ascii="DejaVu Math TeX Gyre" w:hAnsi="DejaVu Math TeX Gyre"/>
                    <w:sz w:val="22"/>
                    <w:szCs w:val="22"/>
                  </w:rPr>
                </m:ctrlPr>
              </m:sSubPr>
              <m:e>
                <m:r>
                  <m:rPr>
                    <m:sty m:val="p"/>
                  </m:rPr>
                  <w:rPr>
                    <w:rFonts w:ascii="Cambria Math" w:hAnsi="Cambria Math"/>
                    <w:sz w:val="22"/>
                    <w:szCs w:val="22"/>
                  </w:rPr>
                  <m:t>X</m:t>
                </m:r>
                <m:ctrlPr>
                  <w:rPr>
                    <w:rFonts w:ascii="DejaVu Math TeX Gyre" w:hAnsi="DejaVu Math TeX Gyre"/>
                    <w:sz w:val="22"/>
                    <w:szCs w:val="22"/>
                  </w:rPr>
                </m:ctrlPr>
              </m:e>
              <m:sub>
                <m:r>
                  <m:rPr>
                    <m:sty m:val="p"/>
                  </m:rPr>
                  <w:rPr>
                    <w:rFonts w:ascii="Cambria Math" w:hAnsi="Cambria Math"/>
                    <w:sz w:val="22"/>
                    <w:szCs w:val="22"/>
                  </w:rPr>
                  <m:t>max</m:t>
                </m:r>
                <m:ctrlPr>
                  <w:rPr>
                    <w:rFonts w:ascii="DejaVu Math TeX Gyre" w:hAnsi="DejaVu Math TeX Gyre"/>
                    <w:sz w:val="22"/>
                    <w:szCs w:val="22"/>
                  </w:rPr>
                </m:ctrlPr>
              </m:sub>
            </m:sSub>
            <m:r>
              <m:rPr>
                <m:sty m:val="p"/>
              </m:rPr>
              <w:rPr>
                <w:rFonts w:ascii="Cambria Math" w:hAnsi="Cambria Math"/>
                <w:sz w:val="22"/>
                <w:szCs w:val="22"/>
              </w:rPr>
              <m:t>−</m:t>
            </m:r>
            <m:sSub>
              <m:sSubPr>
                <m:ctrlPr>
                  <w:rPr>
                    <w:rFonts w:ascii="DejaVu Math TeX Gyre" w:hAnsi="DejaVu Math TeX Gyre"/>
                    <w:sz w:val="22"/>
                    <w:szCs w:val="22"/>
                  </w:rPr>
                </m:ctrlPr>
              </m:sSubPr>
              <w:bookmarkStart w:id="19" w:name="OLE_LINK10"/>
              <m:e>
                <m:r>
                  <m:rPr>
                    <m:sty m:val="p"/>
                  </m:rPr>
                  <w:rPr>
                    <w:rFonts w:ascii="Cambria Math" w:hAnsi="Cambria Math"/>
                    <w:sz w:val="22"/>
                    <w:szCs w:val="22"/>
                  </w:rPr>
                  <m:t>X</m:t>
                </m:r>
                <m:ctrlPr>
                  <w:rPr>
                    <w:rFonts w:ascii="DejaVu Math TeX Gyre" w:hAnsi="DejaVu Math TeX Gyre"/>
                    <w:sz w:val="22"/>
                    <w:szCs w:val="22"/>
                  </w:rPr>
                </m:ctrlPr>
              </m:e>
              <m:sub>
                <m:r>
                  <m:rPr>
                    <m:sty m:val="p"/>
                  </m:rPr>
                  <w:rPr>
                    <w:rFonts w:ascii="Cambria Math" w:hAnsi="Cambria Math"/>
                    <w:sz w:val="22"/>
                    <w:szCs w:val="22"/>
                  </w:rPr>
                  <m:t>min</m:t>
                </m:r>
                <w:bookmarkEnd w:id="19"/>
                <m:ctrlPr>
                  <w:rPr>
                    <w:rFonts w:ascii="DejaVu Math TeX Gyre" w:hAnsi="DejaVu Math TeX Gyre"/>
                    <w:sz w:val="22"/>
                    <w:szCs w:val="22"/>
                  </w:rPr>
                </m:ctrlPr>
              </m:sub>
            </m:sSub>
            <m:ctrlPr>
              <w:rPr>
                <w:rFonts w:ascii="DejaVu Math TeX Gyre" w:hAnsi="DejaVu Math TeX Gyre"/>
                <w:sz w:val="22"/>
                <w:szCs w:val="22"/>
              </w:rPr>
            </m:ctrlPr>
          </m:den>
        </m:f>
      </m:oMath>
      <w:r>
        <w:rPr>
          <w:sz w:val="22"/>
          <w:szCs w:val="22"/>
        </w:rPr>
        <w:t xml:space="preserve">                         </w:t>
      </w:r>
      <w:r>
        <w:rPr>
          <w:rFonts w:eastAsia="宋体"/>
          <w:sz w:val="22"/>
          <w:szCs w:val="22"/>
        </w:rPr>
        <w:t xml:space="preserve">   </w:t>
      </w:r>
      <w:r>
        <w:rPr>
          <w:sz w:val="22"/>
          <w:szCs w:val="22"/>
        </w:rPr>
        <w:t xml:space="preserve">                   (S2)</w:t>
      </w:r>
    </w:p>
    <w:p w14:paraId="38CEE4AF">
      <w:pPr>
        <w:spacing w:line="276" w:lineRule="auto"/>
        <w:ind w:firstLine="440"/>
      </w:pPr>
      <w:r>
        <w:rPr>
          <w:color w:val="000000"/>
        </w:rPr>
        <w:t>where the raw value of the indicator for building i in year t is standardized using the corresponding 2020 baseline minimum and maximum values.</w:t>
      </w:r>
    </w:p>
    <w:p w14:paraId="7427D38E">
      <w:pPr>
        <w:pStyle w:val="29"/>
      </w:pPr>
      <w:r>
        <w:t>S3.4 Comprehensive Urban Renewal Priority Index construction</w:t>
      </w:r>
    </w:p>
    <w:p w14:paraId="36EBE174">
      <w:pPr>
        <w:pStyle w:val="30"/>
        <w:tabs>
          <w:tab w:val="right" w:pos="11293"/>
        </w:tabs>
        <w:spacing w:line="276" w:lineRule="auto"/>
        <w:ind w:firstLine="440"/>
        <w:rPr>
          <w:sz w:val="22"/>
          <w:szCs w:val="22"/>
        </w:rPr>
      </w:pPr>
      <w:r>
        <w:rPr>
          <w:sz w:val="22"/>
          <w:szCs w:val="22"/>
        </w:rPr>
        <w:t xml:space="preserve">After normalization, entropy-derived relative weights were estimated among the three indicators within each dimension and normalized to sum to one. Each within-dimension weight was then multiplied by one-third. The final weights reported in </w:t>
      </w:r>
      <w:r>
        <w:rPr>
          <w:color w:val="0070A8"/>
          <w:sz w:val="22"/>
          <w:szCs w:val="22"/>
        </w:rPr>
        <w:t>Supplementary Table 1</w:t>
      </w:r>
      <w:r>
        <w:rPr>
          <w:sz w:val="22"/>
          <w:szCs w:val="22"/>
        </w:rPr>
        <w:t xml:space="preserve"> therefore sum to one-third within each dimension and to one across all nine indicators. PPI, EPI and SNI in equations S3–S5 are weighted dimension contributions, and the CPI in equation S6 is their sum.</w:t>
      </w:r>
    </w:p>
    <w:p w14:paraId="1234E427">
      <w:pPr>
        <w:pStyle w:val="30"/>
        <w:spacing w:line="276" w:lineRule="auto"/>
        <w:ind w:firstLine="440"/>
        <w:rPr>
          <w:sz w:val="22"/>
          <w:szCs w:val="22"/>
        </w:rPr>
      </w:pPr>
      <w:r>
        <w:rPr>
          <w:sz w:val="22"/>
          <w:szCs w:val="22"/>
        </w:rPr>
        <w:t xml:space="preserve">The </w:t>
      </w:r>
      <w:r>
        <w:rPr>
          <w:b/>
          <w:bCs/>
          <w:sz w:val="22"/>
          <w:szCs w:val="22"/>
        </w:rPr>
        <w:t>Physical Potential Index</w:t>
      </w:r>
      <w:r>
        <w:rPr>
          <w:sz w:val="22"/>
          <w:szCs w:val="22"/>
        </w:rPr>
        <w:t xml:space="preserve"> for building i</w:t>
      </w:r>
      <w:r>
        <w:rPr>
          <w:rFonts w:hint="eastAsia" w:eastAsia="宋体"/>
          <w:sz w:val="22"/>
          <w:szCs w:val="22"/>
        </w:rPr>
        <w:t xml:space="preserve"> </w:t>
      </w:r>
      <w:r>
        <w:rPr>
          <w:sz w:val="22"/>
          <w:szCs w:val="22"/>
        </w:rPr>
        <w:t>was calculated as:</w:t>
      </w:r>
    </w:p>
    <w:p w14:paraId="12216AD0">
      <w:pPr>
        <w:pStyle w:val="31"/>
        <w:spacing w:before="0" w:after="0" w:line="240" w:lineRule="auto"/>
        <w:rPr>
          <w:sz w:val="22"/>
          <w:szCs w:val="22"/>
        </w:rPr>
      </w:pPr>
      <m:oMath>
        <m:sSub>
          <m:sSubPr>
            <m:ctrlPr>
              <w:rPr>
                <w:rFonts w:ascii="DejaVu Math TeX Gyre" w:hAnsi="DejaVu Math TeX Gyre"/>
                <w:sz w:val="22"/>
                <w:szCs w:val="22"/>
              </w:rPr>
            </m:ctrlPr>
          </m:sSubPr>
          <m:e>
            <m:r>
              <m:rPr>
                <m:sty m:val="p"/>
              </m:rPr>
              <w:rPr>
                <w:rFonts w:ascii="Cambria Math" w:hAnsi="Cambria Math"/>
                <w:sz w:val="22"/>
                <w:szCs w:val="22"/>
              </w:rPr>
              <m:t>PPI</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w</m:t>
            </m:r>
            <m:ctrlPr>
              <w:rPr>
                <w:rFonts w:ascii="DejaVu Math TeX Gyre" w:hAnsi="DejaVu Math TeX Gyre"/>
                <w:sz w:val="22"/>
                <w:szCs w:val="22"/>
              </w:rPr>
            </m:ctrlPr>
          </m:e>
          <m:sub>
            <m:r>
              <m:rPr>
                <m:sty m:val="p"/>
              </m:rPr>
              <w:rPr>
                <w:rFonts w:ascii="Cambria Math" w:hAnsi="Cambria Math"/>
                <w:sz w:val="22"/>
                <w:szCs w:val="22"/>
              </w:rPr>
              <m:t>1</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Age</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w</m:t>
            </m:r>
            <m:ctrlPr>
              <w:rPr>
                <w:rFonts w:ascii="DejaVu Math TeX Gyre" w:hAnsi="DejaVu Math TeX Gyre"/>
                <w:sz w:val="22"/>
                <w:szCs w:val="22"/>
              </w:rPr>
            </m:ctrlPr>
          </m:e>
          <m:sub>
            <m:r>
              <m:rPr>
                <m:sty m:val="p"/>
              </m:rPr>
              <w:rPr>
                <w:rFonts w:ascii="Cambria Math" w:hAnsi="Cambria Math"/>
                <w:sz w:val="22"/>
                <w:szCs w:val="22"/>
              </w:rPr>
              <m:t>2</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Vul</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w</m:t>
            </m:r>
            <m:ctrlPr>
              <w:rPr>
                <w:rFonts w:ascii="DejaVu Math TeX Gyre" w:hAnsi="DejaVu Math TeX Gyre"/>
                <w:sz w:val="22"/>
                <w:szCs w:val="22"/>
              </w:rPr>
            </m:ctrlPr>
          </m:e>
          <m:sub>
            <m:r>
              <m:rPr>
                <m:sty m:val="p"/>
              </m:rPr>
              <w:rPr>
                <w:rFonts w:ascii="Cambria Math" w:hAnsi="Cambria Math"/>
                <w:sz w:val="22"/>
                <w:szCs w:val="22"/>
              </w:rPr>
              <m:t>3</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Floor</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oMath>
      <w:r>
        <w:rPr>
          <w:sz w:val="22"/>
          <w:szCs w:val="22"/>
        </w:rPr>
        <w:t xml:space="preserve">          </w:t>
      </w:r>
      <w:r>
        <w:rPr>
          <w:rFonts w:eastAsia="宋体"/>
          <w:sz w:val="22"/>
          <w:szCs w:val="22"/>
        </w:rPr>
        <w:t xml:space="preserve">  </w:t>
      </w:r>
      <w:r>
        <w:rPr>
          <w:sz w:val="22"/>
          <w:szCs w:val="22"/>
        </w:rPr>
        <w:t xml:space="preserve">              (S3)</w:t>
      </w:r>
    </w:p>
    <w:p w14:paraId="270B5B58">
      <w:pPr>
        <w:pStyle w:val="30"/>
        <w:spacing w:line="276" w:lineRule="auto"/>
        <w:ind w:firstLine="440"/>
        <w:rPr>
          <w:sz w:val="22"/>
          <w:szCs w:val="22"/>
        </w:rPr>
      </w:pPr>
      <w:r>
        <w:rPr>
          <w:sz w:val="22"/>
          <w:szCs w:val="22"/>
        </w:rPr>
        <w:t xml:space="preserve">where the normalized indicators represent building age, structural vulnerability and number of storeys, and the corresponding entropy-derived weights are reported in </w:t>
      </w:r>
      <w:r>
        <w:rPr>
          <w:color w:val="0070A8"/>
          <w:sz w:val="22"/>
          <w:szCs w:val="22"/>
        </w:rPr>
        <w:t>Supplementary Table 1</w:t>
      </w:r>
      <w:r>
        <w:rPr>
          <w:sz w:val="22"/>
          <w:szCs w:val="22"/>
        </w:rPr>
        <w:t>.</w:t>
      </w:r>
    </w:p>
    <w:p w14:paraId="79BC1821">
      <w:pPr>
        <w:pStyle w:val="30"/>
        <w:spacing w:line="276" w:lineRule="auto"/>
        <w:ind w:firstLine="440"/>
        <w:rPr>
          <w:sz w:val="22"/>
          <w:szCs w:val="22"/>
        </w:rPr>
      </w:pPr>
      <w:r>
        <w:rPr>
          <w:sz w:val="22"/>
          <w:szCs w:val="22"/>
        </w:rPr>
        <w:t xml:space="preserve">The </w:t>
      </w:r>
      <w:r>
        <w:rPr>
          <w:b/>
          <w:bCs/>
          <w:sz w:val="22"/>
          <w:szCs w:val="22"/>
        </w:rPr>
        <w:t>Economic Potential Index</w:t>
      </w:r>
      <w:r>
        <w:rPr>
          <w:sz w:val="22"/>
          <w:szCs w:val="22"/>
        </w:rPr>
        <w:t xml:space="preserve"> was calculated as:</w:t>
      </w:r>
    </w:p>
    <w:p w14:paraId="3FF6B009">
      <w:pPr>
        <w:pStyle w:val="31"/>
        <w:spacing w:before="0" w:after="0" w:line="240" w:lineRule="auto"/>
        <w:rPr>
          <w:sz w:val="22"/>
          <w:szCs w:val="22"/>
        </w:rPr>
      </w:pPr>
      <m:oMath>
        <m:sSub>
          <m:sSubPr>
            <m:ctrlPr>
              <w:rPr>
                <w:rFonts w:ascii="DejaVu Math TeX Gyre" w:hAnsi="DejaVu Math TeX Gyre"/>
                <w:sz w:val="22"/>
                <w:szCs w:val="22"/>
              </w:rPr>
            </m:ctrlPr>
          </m:sSubPr>
          <m:e>
            <m:r>
              <m:rPr>
                <m:sty m:val="p"/>
              </m:rPr>
              <w:rPr>
                <w:rFonts w:ascii="Cambria Math" w:hAnsi="Cambria Math"/>
                <w:sz w:val="22"/>
                <w:szCs w:val="22"/>
              </w:rPr>
              <m:t>EPI</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w</m:t>
            </m:r>
            <m:ctrlPr>
              <w:rPr>
                <w:rFonts w:ascii="DejaVu Math TeX Gyre" w:hAnsi="DejaVu Math TeX Gyre"/>
                <w:sz w:val="22"/>
                <w:szCs w:val="22"/>
              </w:rPr>
            </m:ctrlPr>
          </m:e>
          <m:sub>
            <m:r>
              <m:rPr>
                <m:sty m:val="p"/>
              </m:rPr>
              <w:rPr>
                <w:rFonts w:ascii="Cambria Math" w:hAnsi="Cambria Math"/>
                <w:sz w:val="22"/>
                <w:szCs w:val="22"/>
              </w:rPr>
              <m:t>4</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Com</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w</m:t>
            </m:r>
            <m:ctrlPr>
              <w:rPr>
                <w:rFonts w:ascii="DejaVu Math TeX Gyre" w:hAnsi="DejaVu Math TeX Gyre"/>
                <w:sz w:val="22"/>
                <w:szCs w:val="22"/>
              </w:rPr>
            </m:ctrlPr>
          </m:e>
          <m:sub>
            <m:r>
              <m:rPr>
                <m:sty m:val="p"/>
              </m:rPr>
              <w:rPr>
                <w:rFonts w:ascii="Cambria Math" w:hAnsi="Cambria Math"/>
                <w:sz w:val="22"/>
                <w:szCs w:val="22"/>
              </w:rPr>
              <m:t>5</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Pub</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w</m:t>
            </m:r>
            <m:ctrlPr>
              <w:rPr>
                <w:rFonts w:ascii="DejaVu Math TeX Gyre" w:hAnsi="DejaVu Math TeX Gyre"/>
                <w:sz w:val="22"/>
                <w:szCs w:val="22"/>
              </w:rPr>
            </m:ctrlPr>
          </m:e>
          <m:sub>
            <m:r>
              <m:rPr>
                <m:sty m:val="p"/>
              </m:rPr>
              <w:rPr>
                <w:rFonts w:ascii="Cambria Math" w:hAnsi="Cambria Math"/>
                <w:sz w:val="22"/>
                <w:szCs w:val="22"/>
              </w:rPr>
              <m:t>6</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Road</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oMath>
      <w:r>
        <w:rPr>
          <w:sz w:val="22"/>
          <w:szCs w:val="22"/>
        </w:rPr>
        <w:t xml:space="preserve">           </w:t>
      </w:r>
      <w:r>
        <w:rPr>
          <w:rFonts w:eastAsia="宋体"/>
          <w:sz w:val="22"/>
          <w:szCs w:val="22"/>
        </w:rPr>
        <w:t xml:space="preserve">  </w:t>
      </w:r>
      <w:r>
        <w:rPr>
          <w:sz w:val="22"/>
          <w:szCs w:val="22"/>
        </w:rPr>
        <w:t xml:space="preserve">            (S4)</w:t>
      </w:r>
    </w:p>
    <w:p w14:paraId="75CC2175">
      <w:pPr>
        <w:pStyle w:val="30"/>
        <w:spacing w:line="276" w:lineRule="auto"/>
        <w:ind w:firstLine="440"/>
        <w:rPr>
          <w:sz w:val="22"/>
          <w:szCs w:val="22"/>
        </w:rPr>
      </w:pPr>
      <w:r>
        <w:rPr>
          <w:sz w:val="22"/>
          <w:szCs w:val="22"/>
        </w:rPr>
        <w:t xml:space="preserve">where the normalized indicators represent distance to commercial land, public facilities and the road network, and the corresponding entropy-derived weights are reported in </w:t>
      </w:r>
      <w:r>
        <w:rPr>
          <w:color w:val="0070A8"/>
          <w:sz w:val="22"/>
          <w:szCs w:val="22"/>
        </w:rPr>
        <w:t>Supplementary Table 1</w:t>
      </w:r>
      <w:r>
        <w:rPr>
          <w:sz w:val="22"/>
          <w:szCs w:val="22"/>
        </w:rPr>
        <w:t>.</w:t>
      </w:r>
    </w:p>
    <w:p w14:paraId="332C7DB1">
      <w:pPr>
        <w:pStyle w:val="30"/>
        <w:spacing w:line="276" w:lineRule="auto"/>
        <w:ind w:firstLine="440"/>
        <w:rPr>
          <w:sz w:val="22"/>
          <w:szCs w:val="22"/>
        </w:rPr>
      </w:pPr>
      <w:r>
        <w:rPr>
          <w:sz w:val="22"/>
          <w:szCs w:val="22"/>
        </w:rPr>
        <w:t xml:space="preserve">The </w:t>
      </w:r>
      <w:r>
        <w:rPr>
          <w:b/>
          <w:bCs/>
          <w:sz w:val="22"/>
          <w:szCs w:val="22"/>
        </w:rPr>
        <w:t>Social Need Index</w:t>
      </w:r>
      <w:r>
        <w:rPr>
          <w:sz w:val="22"/>
          <w:szCs w:val="22"/>
        </w:rPr>
        <w:t xml:space="preserve"> was calculated as:</w:t>
      </w:r>
    </w:p>
    <w:p w14:paraId="4CDEB043">
      <w:pPr>
        <w:pStyle w:val="31"/>
        <w:spacing w:before="0" w:after="0" w:line="240" w:lineRule="auto"/>
        <w:rPr>
          <w:sz w:val="22"/>
          <w:szCs w:val="22"/>
        </w:rPr>
      </w:pPr>
      <m:oMath>
        <m:sSub>
          <m:sSubPr>
            <m:ctrlPr>
              <w:rPr>
                <w:rFonts w:ascii="DejaVu Math TeX Gyre" w:hAnsi="DejaVu Math TeX Gyre"/>
                <w:sz w:val="22"/>
                <w:szCs w:val="22"/>
              </w:rPr>
            </m:ctrlPr>
          </m:sSubPr>
          <m:e>
            <m:r>
              <m:rPr>
                <m:sty m:val="p"/>
              </m:rPr>
              <w:rPr>
                <w:rFonts w:ascii="Cambria Math" w:hAnsi="Cambria Math"/>
                <w:sz w:val="22"/>
                <w:szCs w:val="22"/>
              </w:rPr>
              <m:t>SNI</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w</m:t>
            </m:r>
            <m:ctrlPr>
              <w:rPr>
                <w:rFonts w:ascii="DejaVu Math TeX Gyre" w:hAnsi="DejaVu Math TeX Gyre"/>
                <w:sz w:val="22"/>
                <w:szCs w:val="22"/>
              </w:rPr>
            </m:ctrlPr>
          </m:e>
          <m:sub>
            <m:r>
              <m:rPr>
                <m:sty m:val="p"/>
              </m:rPr>
              <w:rPr>
                <w:rFonts w:ascii="Cambria Math" w:hAnsi="Cambria Math"/>
                <w:sz w:val="22"/>
                <w:szCs w:val="22"/>
              </w:rPr>
              <m:t>7</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Pop</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w</m:t>
            </m:r>
            <m:ctrlPr>
              <w:rPr>
                <w:rFonts w:ascii="DejaVu Math TeX Gyre" w:hAnsi="DejaVu Math TeX Gyre"/>
                <w:sz w:val="22"/>
                <w:szCs w:val="22"/>
              </w:rPr>
            </m:ctrlPr>
          </m:e>
          <m:sub>
            <m:r>
              <m:rPr>
                <m:sty m:val="p"/>
              </m:rPr>
              <w:rPr>
                <w:rFonts w:ascii="Cambria Math" w:hAnsi="Cambria Math"/>
                <w:sz w:val="22"/>
                <w:szCs w:val="22"/>
              </w:rPr>
              <m:t>8</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Older</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w</m:t>
            </m:r>
            <m:ctrlPr>
              <w:rPr>
                <w:rFonts w:ascii="DejaVu Math TeX Gyre" w:hAnsi="DejaVu Math TeX Gyre"/>
                <w:sz w:val="22"/>
                <w:szCs w:val="22"/>
              </w:rPr>
            </m:ctrlPr>
          </m:e>
          <m:sub>
            <m:r>
              <m:rPr>
                <m:sty m:val="p"/>
              </m:rPr>
              <w:rPr>
                <w:rFonts w:ascii="Cambria Math" w:hAnsi="Cambria Math"/>
                <w:sz w:val="22"/>
                <w:szCs w:val="22"/>
              </w:rPr>
              <m:t>9</m:t>
            </m:r>
            <m:ctrlPr>
              <w:rPr>
                <w:rFonts w:ascii="DejaVu Math TeX Gyre" w:hAnsi="DejaVu Math TeX Gyre"/>
                <w:sz w:val="22"/>
                <w:szCs w:val="22"/>
              </w:rPr>
            </m:ctrlPr>
          </m:sub>
        </m:sSub>
        <m:r>
          <m:rPr>
            <m:sty m:val="p"/>
          </m:rPr>
          <w:rPr>
            <w:rFonts w:ascii="Cambria Math" w:hAnsi="Cambria Math"/>
            <w:sz w:val="22"/>
            <w:szCs w:val="22"/>
          </w:rPr>
          <m:t xml:space="preserve"> × </m:t>
        </m:r>
        <m:sSub>
          <m:sSubPr>
            <m:ctrlPr>
              <w:rPr>
                <w:rFonts w:ascii="DejaVu Math TeX Gyre" w:hAnsi="DejaVu Math TeX Gyre"/>
                <w:sz w:val="22"/>
                <w:szCs w:val="22"/>
              </w:rPr>
            </m:ctrlPr>
          </m:sSubPr>
          <m:e>
            <m:r>
              <m:rPr>
                <m:sty m:val="p"/>
              </m:rPr>
              <w:rPr>
                <w:rFonts w:ascii="Cambria Math" w:hAnsi="Cambria Math"/>
                <w:sz w:val="22"/>
                <w:szCs w:val="22"/>
              </w:rPr>
              <m:t>AreaPerCap</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oMath>
      <w:r>
        <w:rPr>
          <w:sz w:val="22"/>
          <w:szCs w:val="22"/>
        </w:rPr>
        <w:t xml:space="preserve">          </w:t>
      </w:r>
      <w:r>
        <w:rPr>
          <w:rFonts w:eastAsia="宋体"/>
          <w:sz w:val="22"/>
          <w:szCs w:val="22"/>
        </w:rPr>
        <w:t xml:space="preserve">  </w:t>
      </w:r>
      <w:r>
        <w:rPr>
          <w:sz w:val="22"/>
          <w:szCs w:val="22"/>
        </w:rPr>
        <w:t xml:space="preserve">       (S5)</w:t>
      </w:r>
    </w:p>
    <w:p w14:paraId="161CE6B0">
      <w:pPr>
        <w:pStyle w:val="30"/>
        <w:spacing w:line="276" w:lineRule="auto"/>
        <w:ind w:firstLine="440"/>
        <w:rPr>
          <w:sz w:val="22"/>
          <w:szCs w:val="22"/>
        </w:rPr>
      </w:pPr>
      <w:r>
        <w:rPr>
          <w:sz w:val="22"/>
          <w:szCs w:val="22"/>
        </w:rPr>
        <w:t xml:space="preserve">where the normalized indicators represent building-scale population, building-scale older-adult population and inverse per-capita residential floor area, and the corresponding entropy-derived weights are reported in </w:t>
      </w:r>
      <w:r>
        <w:rPr>
          <w:color w:val="0070A8"/>
          <w:sz w:val="22"/>
          <w:szCs w:val="22"/>
        </w:rPr>
        <w:t>Supplementary Table 1</w:t>
      </w:r>
      <w:r>
        <w:rPr>
          <w:sz w:val="22"/>
          <w:szCs w:val="22"/>
        </w:rPr>
        <w:t>.</w:t>
      </w:r>
    </w:p>
    <w:p w14:paraId="6DCABA70">
      <w:pPr>
        <w:pStyle w:val="30"/>
        <w:ind w:firstLine="420"/>
        <w:rPr>
          <w:sz w:val="22"/>
          <w:szCs w:val="22"/>
        </w:rPr>
      </w:pPr>
      <w:r>
        <w:rPr>
          <w:sz w:val="22"/>
          <w:szCs w:val="22"/>
        </w:rPr>
        <w:t>The three dimension scores were then combined into the Comprehensive Urban Renewal Priority Index:</w:t>
      </w:r>
    </w:p>
    <w:p w14:paraId="155F45FD">
      <w:pPr>
        <w:pStyle w:val="31"/>
        <w:spacing w:before="0" w:after="0"/>
        <w:rPr>
          <w:sz w:val="22"/>
          <w:szCs w:val="22"/>
        </w:rPr>
      </w:pPr>
      <m:oMath>
        <m:r>
          <m:rPr>
            <m:sty m:val="p"/>
          </m:rPr>
          <w:rPr>
            <w:rFonts w:ascii="Cambria Math" w:hAnsi="Cambria Math"/>
            <w:sz w:val="22"/>
            <w:szCs w:val="22"/>
          </w:rPr>
          <m:t>CP</m:t>
        </m:r>
        <m:sSub>
          <m:sSubPr>
            <m:ctrlPr>
              <w:rPr>
                <w:rFonts w:ascii="DejaVu Math TeX Gyre" w:hAnsi="DejaVu Math TeX Gyre"/>
                <w:sz w:val="22"/>
                <w:szCs w:val="22"/>
              </w:rPr>
            </m:ctrlPr>
          </m:sSubPr>
          <m:e>
            <m:r>
              <m:rPr>
                <m:sty m:val="p"/>
              </m:rPr>
              <w:rPr>
                <w:rFonts w:ascii="Cambria Math" w:hAnsi="Cambria Math"/>
                <w:sz w:val="22"/>
                <w:szCs w:val="22"/>
              </w:rPr>
              <m:t>I</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m:t>
        </m:r>
        <m:sSub>
          <m:sSubPr>
            <m:ctrlPr>
              <w:rPr>
                <w:rFonts w:ascii="DejaVu Math TeX Gyre" w:hAnsi="DejaVu Math TeX Gyre"/>
                <w:sz w:val="22"/>
                <w:szCs w:val="22"/>
              </w:rPr>
            </m:ctrlPr>
          </m:sSubPr>
          <m:e>
            <m:r>
              <m:rPr>
                <m:sty m:val="p"/>
              </m:rPr>
              <w:rPr>
                <w:rFonts w:ascii="Cambria Math" w:hAnsi="Cambria Math"/>
                <w:sz w:val="22"/>
                <w:szCs w:val="22"/>
              </w:rPr>
              <m:t>PPI</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m:t>
        </m:r>
        <m:sSub>
          <m:sSubPr>
            <m:ctrlPr>
              <w:rPr>
                <w:rFonts w:ascii="DejaVu Math TeX Gyre" w:hAnsi="DejaVu Math TeX Gyre"/>
                <w:sz w:val="22"/>
                <w:szCs w:val="22"/>
              </w:rPr>
            </m:ctrlPr>
          </m:sSubPr>
          <m:e>
            <m:r>
              <m:rPr>
                <m:sty m:val="p"/>
              </m:rPr>
              <w:rPr>
                <w:rFonts w:ascii="Cambria Math" w:hAnsi="Cambria Math"/>
                <w:sz w:val="22"/>
                <w:szCs w:val="22"/>
              </w:rPr>
              <m:t>EPI</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r>
          <m:rPr>
            <m:sty m:val="p"/>
          </m:rPr>
          <w:rPr>
            <w:rFonts w:ascii="Cambria Math" w:hAnsi="Cambria Math"/>
            <w:sz w:val="22"/>
            <w:szCs w:val="22"/>
          </w:rPr>
          <m:t>+</m:t>
        </m:r>
        <m:sSub>
          <m:sSubPr>
            <m:ctrlPr>
              <w:rPr>
                <w:rFonts w:ascii="DejaVu Math TeX Gyre" w:hAnsi="DejaVu Math TeX Gyre"/>
                <w:sz w:val="22"/>
                <w:szCs w:val="22"/>
              </w:rPr>
            </m:ctrlPr>
          </m:sSubPr>
          <m:e>
            <m:r>
              <m:rPr>
                <m:sty m:val="p"/>
              </m:rPr>
              <w:rPr>
                <w:rFonts w:ascii="Cambria Math" w:hAnsi="Cambria Math"/>
                <w:sz w:val="22"/>
                <w:szCs w:val="22"/>
              </w:rPr>
              <m:t>SNI</m:t>
            </m:r>
            <m:ctrlPr>
              <w:rPr>
                <w:rFonts w:ascii="DejaVu Math TeX Gyre" w:hAnsi="DejaVu Math TeX Gyre"/>
                <w:sz w:val="22"/>
                <w:szCs w:val="22"/>
              </w:rPr>
            </m:ctrlPr>
          </m:e>
          <m:sub>
            <m:r>
              <m:rPr>
                <m:sty m:val="p"/>
              </m:rPr>
              <w:rPr>
                <w:rFonts w:ascii="Cambria Math" w:hAnsi="Cambria Math"/>
                <w:sz w:val="22"/>
                <w:szCs w:val="22"/>
              </w:rPr>
              <m:t>i</m:t>
            </m:r>
            <m:ctrlPr>
              <w:rPr>
                <w:rFonts w:ascii="DejaVu Math TeX Gyre" w:hAnsi="DejaVu Math TeX Gyre"/>
                <w:sz w:val="22"/>
                <w:szCs w:val="22"/>
              </w:rPr>
            </m:ctrlPr>
          </m:sub>
        </m:sSub>
      </m:oMath>
      <w:r>
        <w:rPr>
          <w:sz w:val="22"/>
          <w:szCs w:val="22"/>
        </w:rPr>
        <w:t xml:space="preserve">                 </w:t>
      </w:r>
      <w:r>
        <w:rPr>
          <w:rFonts w:eastAsia="宋体"/>
          <w:sz w:val="22"/>
          <w:szCs w:val="22"/>
        </w:rPr>
        <w:t xml:space="preserve"> </w:t>
      </w:r>
      <w:r>
        <w:rPr>
          <w:rFonts w:hint="eastAsia" w:eastAsia="宋体"/>
          <w:sz w:val="22"/>
          <w:szCs w:val="22"/>
        </w:rPr>
        <w:t xml:space="preserve">        </w:t>
      </w:r>
      <w:r>
        <w:rPr>
          <w:rFonts w:eastAsia="宋体"/>
          <w:sz w:val="22"/>
          <w:szCs w:val="22"/>
        </w:rPr>
        <w:t xml:space="preserve">  </w:t>
      </w:r>
      <w:r>
        <w:rPr>
          <w:sz w:val="22"/>
          <w:szCs w:val="22"/>
        </w:rPr>
        <w:t xml:space="preserve">                (S6)</w:t>
      </w:r>
    </w:p>
    <w:p w14:paraId="030CB296">
      <w:pPr>
        <w:pStyle w:val="30"/>
        <w:spacing w:line="276" w:lineRule="auto"/>
        <w:ind w:firstLine="440"/>
        <w:rPr>
          <w:sz w:val="22"/>
          <w:szCs w:val="22"/>
        </w:rPr>
      </w:pPr>
      <w:r>
        <w:rPr>
          <w:sz w:val="22"/>
          <w:szCs w:val="22"/>
        </w:rPr>
        <w:t>Higher CPI values indicate greater overall renewal priority. This hierarchical structure preserves interpretability by allowing renewal pressure to be examined both at the overall level and by component dimension.</w:t>
      </w:r>
    </w:p>
    <w:p w14:paraId="192BD666">
      <w:pPr>
        <w:pStyle w:val="29"/>
      </w:pPr>
      <w:r>
        <w:t>S3.5 Policy calibration and renewal-pressure classification</w:t>
      </w:r>
    </w:p>
    <w:p w14:paraId="41CCB97C">
      <w:pPr>
        <w:pStyle w:val="30"/>
        <w:spacing w:line="276" w:lineRule="auto"/>
        <w:ind w:firstLine="440"/>
        <w:rPr>
          <w:sz w:val="22"/>
          <w:szCs w:val="22"/>
        </w:rPr>
      </w:pPr>
      <w:r>
        <w:rPr>
          <w:sz w:val="22"/>
          <w:szCs w:val="22"/>
        </w:rPr>
        <w:t>The CPI provides a continuous ranking, whereas long-term exposure analysis requires an operational boundary. We therefore calibrated the boundary to an observed 2020 municipal policy scale rather than selecting an internal quantile, natural break or arbitrary score.</w:t>
      </w:r>
    </w:p>
    <w:p w14:paraId="65F49DE4">
      <w:pPr>
        <w:pStyle w:val="30"/>
        <w:spacing w:line="276" w:lineRule="auto"/>
        <w:ind w:firstLine="440"/>
        <w:rPr>
          <w:sz w:val="22"/>
          <w:szCs w:val="22"/>
        </w:rPr>
      </w:pPr>
      <w:r>
        <w:rPr>
          <w:sz w:val="22"/>
          <w:szCs w:val="22"/>
        </w:rPr>
        <w:t>The policy anchor is the 56,000 households documented for Quanzhou’s 2020 old residential community renovation programme</w:t>
      </w:r>
      <w:r>
        <w:rPr>
          <w:sz w:val="22"/>
          <w:szCs w:val="22"/>
          <w:vertAlign w:val="superscript"/>
        </w:rPr>
        <w:t>3</w:t>
      </w:r>
      <w:r>
        <w:rPr>
          <w:sz w:val="22"/>
          <w:szCs w:val="22"/>
        </w:rPr>
        <w:t>. Calibration is restricted to the urban residential reference pool because the anchor describes a formal urban programme. Buildings are ranked from highest to lowest CPI, and the score at which cumulative dwelling units first reach the anchor becomes the entry threshold. This procedure yields 0.41681972, with 56,009 urban dwelling units at the cutoff.</w:t>
      </w:r>
    </w:p>
    <w:p w14:paraId="745A177B">
      <w:pPr>
        <w:pStyle w:val="30"/>
        <w:spacing w:line="276" w:lineRule="auto"/>
        <w:ind w:firstLine="440"/>
        <w:rPr>
          <w:sz w:val="22"/>
          <w:szCs w:val="22"/>
        </w:rPr>
      </w:pPr>
      <w:r>
        <w:rPr>
          <w:sz w:val="22"/>
          <w:szCs w:val="22"/>
        </w:rPr>
        <w:t>The fixed threshold is applied to the 2020 baseline and all 2025–2050 projections for both urban and rural residential buildings. Urban results are interpreted as policy-calibrated demand. Rural results represent latent settlement-renewal pressure under the same diagnostic standard, not inclusion in the formal urban programme. Holding the boundary constant ensures that intertemporal change reflects building ageing and demographic restructuring rather than annual reclassification.</w:t>
      </w:r>
    </w:p>
    <w:p w14:paraId="3F43B9DA">
      <w:pPr>
        <w:pStyle w:val="5"/>
        <w:widowControl/>
        <w:spacing w:beforeAutospacing="0" w:afterAutospacing="0" w:line="274" w:lineRule="auto"/>
        <w:ind w:firstLine="442"/>
        <w:rPr>
          <w:rFonts w:eastAsia="Times New Roman"/>
          <w:sz w:val="22"/>
          <w:szCs w:val="22"/>
        </w:rPr>
      </w:pPr>
      <w:r>
        <w:rPr>
          <w:rFonts w:eastAsia="Times New Roman"/>
          <w:sz w:val="22"/>
          <w:szCs w:val="22"/>
        </w:rPr>
        <w:t xml:space="preserve">The annual binary classification is the input to the Projection, Pressure and Pathways modules. It converts the continuous CPI into a reproducible diagnostic set that can be aggregated, mapped and subjected to scenario accounting. Baseline outcomes and the urban–rural composition of the above-threshold stock are reported in </w:t>
      </w:r>
      <w:r>
        <w:rPr>
          <w:rFonts w:eastAsia="Times New Roman"/>
          <w:color w:val="0070A8"/>
          <w:sz w:val="22"/>
          <w:szCs w:val="22"/>
        </w:rPr>
        <w:t>Supplementary Table 6</w:t>
      </w:r>
      <w:r>
        <w:rPr>
          <w:rFonts w:eastAsia="Times New Roman"/>
          <w:sz w:val="22"/>
          <w:szCs w:val="22"/>
        </w:rPr>
        <w:t>.</w:t>
      </w:r>
    </w:p>
    <w:p w14:paraId="243DB6E4">
      <w:pPr>
        <w:pStyle w:val="30"/>
        <w:spacing w:line="276" w:lineRule="auto"/>
        <w:ind w:firstLine="440"/>
        <w:rPr>
          <w:color w:val="000000"/>
          <w:sz w:val="22"/>
          <w:szCs w:val="22"/>
        </w:rPr>
      </w:pPr>
    </w:p>
    <w:p w14:paraId="6E9E025F">
      <w:r>
        <w:pict>
          <v:rect id="矩形 15" o:spid="_x0000_s1030" o:spt="1" style="height:0.05pt;width:564.65pt;" filled="f" coordsize="21600,21600">
            <v:path/>
            <v:fill on="f" focussize="0,0"/>
            <v:stroke/>
            <v:imagedata o:title=""/>
            <o:lock v:ext="edit" aspectratio="t"/>
            <w10:wrap type="none"/>
            <w10:anchorlock/>
          </v:rect>
        </w:pict>
      </w:r>
    </w:p>
    <w:p w14:paraId="3ECDE388">
      <w:pPr>
        <w:pStyle w:val="28"/>
      </w:pPr>
      <w:bookmarkStart w:id="20" w:name="_Toc227181482"/>
      <w:r>
        <w:t>S4. Scenario projection module</w:t>
      </w:r>
      <w:bookmarkEnd w:id="20"/>
    </w:p>
    <w:p w14:paraId="7B9EBD55">
      <w:pPr>
        <w:pStyle w:val="29"/>
      </w:pPr>
      <w:bookmarkStart w:id="21" w:name="_Toc227181483"/>
      <w:r>
        <w:t>S4.1 Projection logic and stock-constant assumption</w:t>
      </w:r>
      <w:bookmarkEnd w:id="21"/>
    </w:p>
    <w:p w14:paraId="13D2596C">
      <w:pPr>
        <w:pStyle w:val="30"/>
        <w:spacing w:line="276" w:lineRule="auto"/>
        <w:ind w:firstLine="440"/>
        <w:rPr>
          <w:sz w:val="22"/>
          <w:szCs w:val="22"/>
        </w:rPr>
      </w:pPr>
      <w:r>
        <w:rPr>
          <w:sz w:val="22"/>
          <w:szCs w:val="22"/>
        </w:rPr>
        <w:t>The projection module was developed to estimate how renewal demand may evolve as the existing housing stock continues to age under changing demographic conditions. The purpose of this module is not to forecast the total future volume of construction, but to identify how the internal composition of the current residential stock shifts over time as different housing cohorts move into higher renewal-priority states. The analytical focus is therefore on stock transition, rather than on future housing supply expansion.</w:t>
      </w:r>
    </w:p>
    <w:p w14:paraId="07BD3B4F">
      <w:pPr>
        <w:pStyle w:val="30"/>
        <w:spacing w:line="276" w:lineRule="auto"/>
        <w:ind w:firstLine="440"/>
        <w:rPr>
          <w:sz w:val="22"/>
          <w:szCs w:val="22"/>
        </w:rPr>
      </w:pPr>
      <w:r>
        <w:rPr>
          <w:sz w:val="22"/>
          <w:szCs w:val="22"/>
        </w:rPr>
        <w:t>All simulations use the complete residential building stock in the baseline year as the common starting point. We assume that the total number of residential buildings remains constant over the projection horizon to 2050. This assumption was adopted for two reasons. First, it isolates the structural effects of cohort ageing and demographic change from the uncertain and policy-dependent effects of future new construction. Second, it provides a conservative and transparent benchmark for comparing scenarios. Under this design, buildings can move into or out of higher priority states as their attributes evolve, but the overall stock universe remains fixed.</w:t>
      </w:r>
    </w:p>
    <w:p w14:paraId="01990C96">
      <w:pPr>
        <w:pStyle w:val="30"/>
        <w:spacing w:line="276" w:lineRule="auto"/>
        <w:ind w:firstLine="440"/>
        <w:rPr>
          <w:sz w:val="22"/>
          <w:szCs w:val="22"/>
        </w:rPr>
      </w:pPr>
      <w:r>
        <w:rPr>
          <w:sz w:val="22"/>
          <w:szCs w:val="22"/>
        </w:rPr>
        <w:t>The projection therefore captures how latent renewal pressure accumulates within the existing built environment. In practical terms, it asks how much of today’s housing stock is likely to require intervention in future decades if buildings continue to age and local demographic conditions continue to change. This logic is especially relevant in rapidly urbanizing regions where large volumes of housing were built recently and where the key challenge may be the management of ageing stock rather than the creation of entirely new stock.</w:t>
      </w:r>
    </w:p>
    <w:p w14:paraId="67848386">
      <w:pPr>
        <w:pStyle w:val="30"/>
        <w:spacing w:line="276" w:lineRule="auto"/>
        <w:ind w:firstLine="440"/>
        <w:rPr>
          <w:sz w:val="22"/>
          <w:szCs w:val="22"/>
        </w:rPr>
      </w:pPr>
      <w:r>
        <w:rPr>
          <w:color w:val="000000"/>
          <w:sz w:val="22"/>
          <w:szCs w:val="22"/>
        </w:rPr>
        <w:t xml:space="preserve">The simulation horizon extends from the baseline year to 2050, with annual updates used to maintain temporal continuity. Demographic scenarios are implemented through alternative assumptions about fertility and associated population change, while the locational structure of the city is treated as stable over the medium term. This allows the projection to distinguish the relative contribution of physical ageing and demographic dynamics to future renewal demand. Projected stock trajectories under alternative scenarios are summarized in </w:t>
      </w:r>
      <w:r>
        <w:rPr>
          <w:color w:val="0070A8"/>
          <w:sz w:val="22"/>
          <w:szCs w:val="22"/>
        </w:rPr>
        <w:t>Supplementary Tables 7–10</w:t>
      </w:r>
      <w:r>
        <w:rPr>
          <w:sz w:val="22"/>
          <w:szCs w:val="22"/>
        </w:rPr>
        <w:t>.</w:t>
      </w:r>
    </w:p>
    <w:p w14:paraId="61B68BE3">
      <w:pPr>
        <w:pStyle w:val="29"/>
      </w:pPr>
      <w:bookmarkStart w:id="22" w:name="_Toc227181484"/>
      <w:r>
        <w:t>S4.2 Updating the physical dimension</w:t>
      </w:r>
      <w:bookmarkEnd w:id="22"/>
    </w:p>
    <w:p w14:paraId="33217176">
      <w:pPr>
        <w:pStyle w:val="30"/>
        <w:spacing w:line="276" w:lineRule="auto"/>
        <w:ind w:firstLine="440"/>
        <w:rPr>
          <w:sz w:val="22"/>
          <w:szCs w:val="22"/>
        </w:rPr>
      </w:pPr>
      <w:r>
        <w:rPr>
          <w:sz w:val="22"/>
          <w:szCs w:val="22"/>
        </w:rPr>
        <w:t>The physical dimension of renewal priority evolves primarily through the ageing of buildings. For each residential building, age in year</w:t>
      </w:r>
      <w:r>
        <w:rPr>
          <w:rFonts w:ascii="Times New Roman Italic" w:hAnsi="Times New Roman Italic" w:cs="Times New Roman Italic"/>
          <w:i/>
          <w:iCs/>
          <w:sz w:val="22"/>
          <w:szCs w:val="22"/>
        </w:rPr>
        <w:t xml:space="preserve"> </w:t>
      </w:r>
      <m:oMath>
        <m:r>
          <m:rPr>
            <m:nor/>
          </m:rPr>
          <w:rPr>
            <w:rFonts w:ascii="DejaVu Math TeX Gyre" w:hAnsi="DejaVu Math TeX Gyre" w:eastAsia="宋体" w:cs="Times New Roman Italic"/>
            <w:i/>
            <w:iCs/>
            <w:sz w:val="22"/>
            <w:szCs w:val="22"/>
          </w:rPr>
          <m:t>t</m:t>
        </m:r>
      </m:oMath>
      <w:r>
        <w:rPr>
          <w:rFonts w:hint="eastAsia" w:eastAsia="宋体"/>
          <w:sz w:val="22"/>
          <w:szCs w:val="22"/>
        </w:rPr>
        <w:t xml:space="preserve"> </w:t>
      </w:r>
      <w:r>
        <w:rPr>
          <w:sz w:val="22"/>
          <w:szCs w:val="22"/>
        </w:rPr>
        <w:t>was updated according to its construction year:</w:t>
      </w:r>
    </w:p>
    <w:p w14:paraId="250A8839">
      <w:pPr>
        <w:pStyle w:val="31"/>
        <w:spacing w:before="0" w:after="0" w:line="240" w:lineRule="auto"/>
        <w:rPr>
          <w:sz w:val="22"/>
          <w:szCs w:val="22"/>
        </w:rPr>
      </w:pPr>
      <m:oMath>
        <m:sSub>
          <m:sSubPr>
            <m:ctrlPr>
              <w:rPr>
                <w:rFonts w:ascii="DejaVu Math TeX Gyre" w:hAnsi="DejaVu Math TeX Gyre"/>
                <w:sz w:val="22"/>
                <w:szCs w:val="22"/>
              </w:rPr>
            </m:ctrlPr>
          </m:sSubPr>
          <m:e>
            <m:r>
              <m:rPr>
                <m:sty m:val="p"/>
              </m:rPr>
              <w:rPr>
                <w:rFonts w:ascii="Cambria Math" w:hAnsi="Cambria Math"/>
                <w:sz w:val="22"/>
                <w:szCs w:val="22"/>
              </w:rPr>
              <m:t>Age</m:t>
            </m:r>
            <m:ctrlPr>
              <w:rPr>
                <w:rFonts w:ascii="DejaVu Math TeX Gyre" w:hAnsi="DejaVu Math TeX Gyre"/>
                <w:sz w:val="22"/>
                <w:szCs w:val="22"/>
              </w:rPr>
            </m:ctrlPr>
          </m:e>
          <m:sub>
            <m:r>
              <m:rPr>
                <m:sty m:val="p"/>
              </m:rPr>
              <w:rPr>
                <w:rFonts w:ascii="Cambria Math" w:hAnsi="Cambria Math"/>
                <w:sz w:val="22"/>
                <w:szCs w:val="22"/>
              </w:rPr>
              <m:t>i,t</m:t>
            </m:r>
            <m:ctrlPr>
              <w:rPr>
                <w:rFonts w:ascii="DejaVu Math TeX Gyre" w:hAnsi="DejaVu Math TeX Gyre"/>
                <w:sz w:val="22"/>
                <w:szCs w:val="22"/>
              </w:rPr>
            </m:ctrlPr>
          </m:sub>
        </m:sSub>
        <m:r>
          <m:rPr>
            <m:sty m:val="p"/>
          </m:rPr>
          <w:rPr>
            <w:rFonts w:ascii="Cambria Math" w:hAnsi="Cambria Math"/>
            <w:sz w:val="22"/>
            <w:szCs w:val="22"/>
          </w:rPr>
          <m:t>=t−</m:t>
        </m:r>
        <m:sSub>
          <m:sSubPr>
            <m:ctrlPr>
              <w:rPr>
                <w:rFonts w:ascii="DejaVu Math TeX Gyre" w:hAnsi="DejaVu Math TeX Gyre"/>
                <w:sz w:val="22"/>
                <w:szCs w:val="22"/>
              </w:rPr>
            </m:ctrlPr>
          </m:sSubPr>
          <m:e>
            <m:r>
              <m:rPr>
                <m:sty m:val="p"/>
              </m:rPr>
              <w:rPr>
                <w:rFonts w:ascii="Cambria Math" w:hAnsi="Cambria Math"/>
                <w:sz w:val="22"/>
                <w:szCs w:val="22"/>
              </w:rPr>
              <m:t>YearBuilt</m:t>
            </m:r>
            <m:ctrlPr>
              <w:rPr>
                <w:rFonts w:ascii="DejaVu Math TeX Gyre" w:hAnsi="DejaVu Math TeX Gyre"/>
                <w:sz w:val="22"/>
                <w:szCs w:val="22"/>
              </w:rPr>
            </m:ctrlPr>
          </m:e>
          <m:sub>
            <m:r>
              <m:rPr>
                <m:sty m:val="p"/>
              </m:rPr>
              <w:rPr>
                <w:rFonts w:ascii="Cambria Math" w:hAnsi="Cambria Math"/>
                <w:sz w:val="22"/>
                <w:szCs w:val="22"/>
              </w:rPr>
              <m:t>t</m:t>
            </m:r>
            <m:ctrlPr>
              <w:rPr>
                <w:rFonts w:ascii="DejaVu Math TeX Gyre" w:hAnsi="DejaVu Math TeX Gyre"/>
                <w:sz w:val="22"/>
                <w:szCs w:val="22"/>
              </w:rPr>
            </m:ctrlPr>
          </m:sub>
        </m:sSub>
      </m:oMath>
      <w:r>
        <w:rPr>
          <w:sz w:val="22"/>
          <w:szCs w:val="22"/>
        </w:rPr>
        <w:t xml:space="preserve">                                                 (S7)</w:t>
      </w:r>
    </w:p>
    <w:p w14:paraId="2018A9B5">
      <w:pPr>
        <w:pStyle w:val="30"/>
        <w:spacing w:line="276" w:lineRule="auto"/>
        <w:ind w:firstLine="440"/>
        <w:rPr>
          <w:sz w:val="22"/>
          <w:szCs w:val="22"/>
        </w:rPr>
      </w:pPr>
      <w:r>
        <w:rPr>
          <w:sz w:val="22"/>
          <w:szCs w:val="22"/>
        </w:rPr>
        <w:t xml:space="preserve">where </w:t>
      </w:r>
      <m:oMath>
        <m:sSub>
          <m:sSubPr>
            <m:ctrlPr>
              <w:rPr>
                <w:rFonts w:ascii="Cambria Math" w:hAnsi="Cambria Math"/>
                <w:sz w:val="22"/>
                <w:szCs w:val="22"/>
              </w:rPr>
            </m:ctrlPr>
          </m:sSubPr>
          <m:e>
            <m:r>
              <m:rPr/>
              <w:rPr>
                <w:rFonts w:ascii="Cambria Math" w:hAnsi="Cambria Math"/>
                <w:sz w:val="22"/>
                <w:szCs w:val="22"/>
              </w:rPr>
              <m:t>YearBuilt</m:t>
            </m:r>
            <m:ctrlPr>
              <w:rPr>
                <w:rFonts w:ascii="Cambria Math" w:hAnsi="Cambria Math"/>
                <w:sz w:val="22"/>
                <w:szCs w:val="22"/>
              </w:rPr>
            </m:ctrlPr>
          </m:e>
          <m:sub>
            <m:r>
              <m:rPr/>
              <w:rPr>
                <w:rFonts w:ascii="Cambria Math" w:hAnsi="Cambria Math"/>
                <w:sz w:val="22"/>
                <w:szCs w:val="22"/>
              </w:rPr>
              <m:t>t</m:t>
            </m:r>
            <m:ctrlPr>
              <w:rPr>
                <w:rFonts w:ascii="Cambria Math" w:hAnsi="Cambria Math"/>
                <w:sz w:val="22"/>
                <w:szCs w:val="22"/>
              </w:rPr>
            </m:ctrlPr>
          </m:sub>
        </m:sSub>
      </m:oMath>
      <w:r>
        <w:rPr>
          <w:rFonts w:hint="eastAsia"/>
          <w:sz w:val="22"/>
          <w:szCs w:val="22"/>
        </w:rPr>
        <w:t xml:space="preserve"> </w:t>
      </w:r>
      <w:r>
        <w:rPr>
          <w:sz w:val="22"/>
          <w:szCs w:val="22"/>
        </w:rPr>
        <w:t xml:space="preserve">denotes the recorded construction year of building </w:t>
      </w:r>
      <m:oMath>
        <m:r>
          <m:rPr>
            <m:nor/>
          </m:rPr>
          <w:rPr>
            <w:rFonts w:ascii="DejaVu Math TeX Gyre" w:hAnsi="DejaVu Math TeX Gyre" w:eastAsia="宋体" w:cs="Times New Roman Italic"/>
            <w:i/>
            <w:iCs/>
            <w:sz w:val="22"/>
            <w:szCs w:val="22"/>
          </w:rPr>
          <m:t>i</m:t>
        </m:r>
      </m:oMath>
      <w:r>
        <w:rPr>
          <w:sz w:val="22"/>
          <w:szCs w:val="22"/>
        </w:rPr>
        <w:t>. This specification allows all housing cohorts to progress through time simultaneously, thereby capturing the synchronized ageing process that underpins the emergence of future renewal demand.</w:t>
      </w:r>
    </w:p>
    <w:p w14:paraId="6D3344AA">
      <w:pPr>
        <w:pStyle w:val="30"/>
        <w:spacing w:line="276" w:lineRule="auto"/>
        <w:ind w:firstLine="440"/>
        <w:rPr>
          <w:sz w:val="22"/>
          <w:szCs w:val="22"/>
        </w:rPr>
      </w:pPr>
      <w:r>
        <w:rPr>
          <w:sz w:val="22"/>
          <w:szCs w:val="22"/>
        </w:rPr>
        <w:t>Other physical attributes were held constant during the projection period. In particular, structural type and number of storeys were assumed not to change unless a building is renewed, which lies outside the scope of the stock-transition simulation. Structural vulnerability coefficients assigned at baseline were therefore retained over time:</w:t>
      </w:r>
    </w:p>
    <w:p w14:paraId="62DE2BA3">
      <w:pPr>
        <w:pStyle w:val="31"/>
        <w:spacing w:before="0" w:after="0" w:line="240" w:lineRule="auto"/>
        <w:rPr>
          <w:sz w:val="22"/>
          <w:szCs w:val="22"/>
        </w:rPr>
      </w:pPr>
      <m:oMath>
        <m:sSub>
          <m:sSubPr>
            <m:ctrlPr>
              <w:rPr>
                <w:rFonts w:ascii="DejaVu Math TeX Gyre" w:hAnsi="DejaVu Math TeX Gyre"/>
                <w:sz w:val="22"/>
                <w:szCs w:val="22"/>
              </w:rPr>
            </m:ctrlPr>
          </m:sSubPr>
          <m:e>
            <m:r>
              <m:rPr>
                <m:sty m:val="p"/>
              </m:rPr>
              <w:rPr>
                <w:rFonts w:ascii="Cambria Math" w:hAnsi="Cambria Math"/>
                <w:sz w:val="22"/>
                <w:szCs w:val="22"/>
              </w:rPr>
              <m:t>Vul</m:t>
            </m:r>
            <m:ctrlPr>
              <w:rPr>
                <w:rFonts w:ascii="DejaVu Math TeX Gyre" w:hAnsi="DejaVu Math TeX Gyre"/>
                <w:sz w:val="22"/>
                <w:szCs w:val="22"/>
              </w:rPr>
            </m:ctrlPr>
          </m:e>
          <m:sub>
            <m:r>
              <m:rPr>
                <m:sty m:val="p"/>
              </m:rPr>
              <w:rPr>
                <w:rFonts w:ascii="Cambria Math" w:hAnsi="Cambria Math"/>
                <w:sz w:val="22"/>
                <w:szCs w:val="22"/>
              </w:rPr>
              <m:t>i,t</m:t>
            </m:r>
            <m:ctrlPr>
              <w:rPr>
                <w:rFonts w:ascii="DejaVu Math TeX Gyre" w:hAnsi="DejaVu Math TeX Gyre"/>
                <w:sz w:val="22"/>
                <w:szCs w:val="22"/>
              </w:rPr>
            </m:ctrlPr>
          </m:sub>
        </m:sSub>
        <m:r>
          <m:rPr>
            <m:sty m:val="p"/>
          </m:rPr>
          <w:rPr>
            <w:rFonts w:ascii="Cambria Math" w:hAnsi="Cambria Math"/>
            <w:sz w:val="22"/>
            <w:szCs w:val="22"/>
          </w:rPr>
          <m:t>=</m:t>
        </m:r>
        <m:sSub>
          <m:sSubPr>
            <m:ctrlPr>
              <w:rPr>
                <w:rFonts w:ascii="DejaVu Math TeX Gyre" w:hAnsi="DejaVu Math TeX Gyre"/>
                <w:sz w:val="22"/>
                <w:szCs w:val="22"/>
              </w:rPr>
            </m:ctrlPr>
          </m:sSubPr>
          <m:e>
            <m:r>
              <m:rPr>
                <m:sty m:val="p"/>
              </m:rPr>
              <w:rPr>
                <w:rFonts w:ascii="Cambria Math" w:hAnsi="Cambria Math"/>
                <w:sz w:val="22"/>
                <w:szCs w:val="22"/>
              </w:rPr>
              <m:t>Vul</m:t>
            </m:r>
            <m:ctrlPr>
              <w:rPr>
                <w:rFonts w:ascii="DejaVu Math TeX Gyre" w:hAnsi="DejaVu Math TeX Gyre"/>
                <w:sz w:val="22"/>
                <w:szCs w:val="22"/>
              </w:rPr>
            </m:ctrlPr>
          </m:e>
          <m:sub>
            <m:r>
              <m:rPr>
                <m:sty m:val="p"/>
              </m:rPr>
              <w:rPr>
                <w:rFonts w:ascii="Cambria Math" w:hAnsi="Cambria Math"/>
                <w:sz w:val="22"/>
                <w:szCs w:val="22"/>
              </w:rPr>
              <m:t>i,0</m:t>
            </m:r>
            <m:ctrlPr>
              <w:rPr>
                <w:rFonts w:ascii="DejaVu Math TeX Gyre" w:hAnsi="DejaVu Math TeX Gyre"/>
                <w:sz w:val="22"/>
                <w:szCs w:val="22"/>
              </w:rPr>
            </m:ctrlPr>
          </m:sub>
        </m:sSub>
      </m:oMath>
      <w:r>
        <w:rPr>
          <w:sz w:val="22"/>
          <w:szCs w:val="22"/>
        </w:rPr>
        <w:t xml:space="preserve">                                        </w:t>
      </w:r>
      <w:r>
        <w:rPr>
          <w:rFonts w:eastAsia="宋体"/>
          <w:sz w:val="22"/>
          <w:szCs w:val="22"/>
        </w:rPr>
        <w:t xml:space="preserve">  </w:t>
      </w:r>
      <w:r>
        <w:rPr>
          <w:sz w:val="22"/>
          <w:szCs w:val="22"/>
        </w:rPr>
        <w:t xml:space="preserve">              (S8)</w:t>
      </w:r>
    </w:p>
    <w:p w14:paraId="003CEC0D">
      <w:pPr>
        <w:pStyle w:val="30"/>
        <w:spacing w:line="276" w:lineRule="auto"/>
        <w:ind w:firstLine="440"/>
        <w:rPr>
          <w:sz w:val="22"/>
          <w:szCs w:val="22"/>
        </w:rPr>
      </w:pPr>
      <w:r>
        <w:rPr>
          <w:sz w:val="22"/>
          <w:szCs w:val="22"/>
        </w:rPr>
        <w:t xml:space="preserve">where </w:t>
      </w:r>
      <m:oMath>
        <m:sSub>
          <m:sSubPr>
            <m:ctrlPr>
              <w:rPr>
                <w:rFonts w:ascii="Cambria Math" w:hAnsi="Cambria Math"/>
                <w:sz w:val="22"/>
                <w:szCs w:val="22"/>
              </w:rPr>
            </m:ctrlPr>
          </m:sSubPr>
          <m:e>
            <m:r>
              <m:rPr/>
              <w:rPr>
                <w:rFonts w:ascii="Cambria Math" w:hAnsi="Cambria Math"/>
                <w:sz w:val="22"/>
                <w:szCs w:val="22"/>
              </w:rPr>
              <m:t>Vul</m:t>
            </m:r>
            <m:ctrlPr>
              <w:rPr>
                <w:rFonts w:ascii="Cambria Math" w:hAnsi="Cambria Math"/>
                <w:sz w:val="22"/>
                <w:szCs w:val="22"/>
              </w:rPr>
            </m:ctrlPr>
          </m:e>
          <m:sub>
            <m:r>
              <m:rPr/>
              <w:rPr>
                <w:rFonts w:ascii="Cambria Math" w:hAnsi="Cambria Math"/>
                <w:sz w:val="22"/>
                <w:szCs w:val="22"/>
              </w:rPr>
              <m:t>i,0</m:t>
            </m:r>
            <m:ctrlPr>
              <w:rPr>
                <w:rFonts w:ascii="Cambria Math" w:hAnsi="Cambria Math"/>
                <w:sz w:val="22"/>
                <w:szCs w:val="22"/>
              </w:rPr>
            </m:ctrlPr>
          </m:sub>
        </m:sSub>
      </m:oMath>
      <w:r>
        <w:rPr>
          <w:rFonts w:hint="eastAsia"/>
          <w:sz w:val="22"/>
          <w:szCs w:val="22"/>
        </w:rPr>
        <w:t xml:space="preserve"> </w:t>
      </w:r>
      <w:r>
        <w:rPr>
          <w:sz w:val="22"/>
          <w:szCs w:val="22"/>
        </w:rPr>
        <w:t xml:space="preserve">is the baseline vulnerability coefficient associated with the structural type of building </w:t>
      </w:r>
      <m:oMath>
        <m:r>
          <m:rPr>
            <m:nor/>
          </m:rPr>
          <w:rPr>
            <w:rFonts w:ascii="DejaVu Math TeX Gyre" w:hAnsi="DejaVu Math TeX Gyre" w:eastAsia="宋体" w:cs="Times New Roman Italic"/>
            <w:i/>
            <w:iCs/>
            <w:sz w:val="22"/>
            <w:szCs w:val="22"/>
          </w:rPr>
          <m:t>i</m:t>
        </m:r>
      </m:oMath>
      <w:r>
        <w:rPr>
          <w:sz w:val="22"/>
          <w:szCs w:val="22"/>
        </w:rPr>
        <w:t>. The number of storeys was also treated as fixed:</w:t>
      </w:r>
    </w:p>
    <w:p w14:paraId="3C386E6A">
      <w:pPr>
        <w:pStyle w:val="31"/>
        <w:spacing w:before="0" w:after="0" w:line="240" w:lineRule="auto"/>
        <w:rPr>
          <w:sz w:val="22"/>
          <w:szCs w:val="22"/>
        </w:rPr>
      </w:pPr>
      <m:oMath>
        <m:sSub>
          <m:sSubPr>
            <m:ctrlPr>
              <w:rPr>
                <w:rFonts w:ascii="DejaVu Math TeX Gyre" w:hAnsi="DejaVu Math TeX Gyre"/>
                <w:sz w:val="22"/>
                <w:szCs w:val="22"/>
              </w:rPr>
            </m:ctrlPr>
          </m:sSubPr>
          <m:e>
            <m:r>
              <m:rPr>
                <m:sty m:val="p"/>
              </m:rPr>
              <w:rPr>
                <w:rFonts w:ascii="Cambria Math" w:hAnsi="Cambria Math"/>
                <w:sz w:val="22"/>
                <w:szCs w:val="22"/>
              </w:rPr>
              <m:t>Floor</m:t>
            </m:r>
            <m:ctrlPr>
              <w:rPr>
                <w:rFonts w:ascii="DejaVu Math TeX Gyre" w:hAnsi="DejaVu Math TeX Gyre"/>
                <w:sz w:val="22"/>
                <w:szCs w:val="22"/>
              </w:rPr>
            </m:ctrlPr>
          </m:e>
          <m:sub>
            <m:r>
              <m:rPr>
                <m:sty m:val="p"/>
              </m:rPr>
              <w:rPr>
                <w:rFonts w:ascii="Cambria Math" w:hAnsi="Cambria Math"/>
                <w:sz w:val="22"/>
                <w:szCs w:val="22"/>
              </w:rPr>
              <m:t>i,t</m:t>
            </m:r>
            <m:ctrlPr>
              <w:rPr>
                <w:rFonts w:ascii="DejaVu Math TeX Gyre" w:hAnsi="DejaVu Math TeX Gyre"/>
                <w:sz w:val="22"/>
                <w:szCs w:val="22"/>
              </w:rPr>
            </m:ctrlPr>
          </m:sub>
        </m:sSub>
        <m:r>
          <m:rPr>
            <m:sty m:val="p"/>
          </m:rPr>
          <w:rPr>
            <w:rFonts w:ascii="Cambria Math" w:hAnsi="Cambria Math"/>
            <w:sz w:val="22"/>
            <w:szCs w:val="22"/>
          </w:rPr>
          <m:t>=</m:t>
        </m:r>
        <m:sSub>
          <m:sSubPr>
            <m:ctrlPr>
              <w:rPr>
                <w:rFonts w:ascii="DejaVu Math TeX Gyre" w:hAnsi="DejaVu Math TeX Gyre"/>
                <w:sz w:val="22"/>
                <w:szCs w:val="22"/>
              </w:rPr>
            </m:ctrlPr>
          </m:sSubPr>
          <m:e>
            <m:r>
              <m:rPr>
                <m:sty m:val="p"/>
              </m:rPr>
              <w:rPr>
                <w:rFonts w:ascii="Cambria Math" w:hAnsi="Cambria Math"/>
                <w:sz w:val="22"/>
                <w:szCs w:val="22"/>
              </w:rPr>
              <m:t>Floor</m:t>
            </m:r>
            <m:ctrlPr>
              <w:rPr>
                <w:rFonts w:ascii="DejaVu Math TeX Gyre" w:hAnsi="DejaVu Math TeX Gyre"/>
                <w:sz w:val="22"/>
                <w:szCs w:val="22"/>
              </w:rPr>
            </m:ctrlPr>
          </m:e>
          <m:sub>
            <m:r>
              <m:rPr>
                <m:sty m:val="p"/>
              </m:rPr>
              <w:rPr>
                <w:rFonts w:ascii="Cambria Math" w:hAnsi="Cambria Math"/>
                <w:sz w:val="22"/>
                <w:szCs w:val="22"/>
              </w:rPr>
              <m:t>i,0</m:t>
            </m:r>
            <m:ctrlPr>
              <w:rPr>
                <w:rFonts w:ascii="DejaVu Math TeX Gyre" w:hAnsi="DejaVu Math TeX Gyre"/>
                <w:sz w:val="22"/>
                <w:szCs w:val="22"/>
              </w:rPr>
            </m:ctrlPr>
          </m:sub>
        </m:sSub>
      </m:oMath>
      <w:r>
        <w:rPr>
          <w:sz w:val="22"/>
          <w:szCs w:val="22"/>
        </w:rPr>
        <w:t xml:space="preserve">                  </w:t>
      </w:r>
      <w:r>
        <w:rPr>
          <w:rFonts w:eastAsia="宋体"/>
          <w:sz w:val="22"/>
          <w:szCs w:val="22"/>
        </w:rPr>
        <w:t xml:space="preserve">              </w:t>
      </w:r>
      <w:r>
        <w:rPr>
          <w:sz w:val="22"/>
          <w:szCs w:val="22"/>
        </w:rPr>
        <w:t xml:space="preserve">                   (S9)</w:t>
      </w:r>
    </w:p>
    <w:p w14:paraId="5BF09B1F">
      <w:pPr>
        <w:pStyle w:val="30"/>
        <w:spacing w:line="276" w:lineRule="auto"/>
        <w:ind w:firstLine="440"/>
        <w:rPr>
          <w:sz w:val="22"/>
          <w:szCs w:val="22"/>
        </w:rPr>
      </w:pPr>
      <w:r>
        <w:rPr>
          <w:sz w:val="22"/>
          <w:szCs w:val="22"/>
        </w:rPr>
        <w:t>This assumption reflects the fact that building height and structural system generally remain stable in the absence of reconstruction. Together, these specifications mean that the physical dimension changes through lifecycle ageing rather than through endogenous redevelopment. This is consistent with the objective of identifying when existing buildings are likely to enter higher-priority renewal states.</w:t>
      </w:r>
    </w:p>
    <w:p w14:paraId="387BC87B">
      <w:pPr>
        <w:pStyle w:val="30"/>
        <w:spacing w:line="276" w:lineRule="auto"/>
        <w:ind w:firstLine="440"/>
        <w:rPr>
          <w:sz w:val="22"/>
          <w:szCs w:val="22"/>
        </w:rPr>
      </w:pPr>
      <w:r>
        <w:rPr>
          <w:sz w:val="22"/>
          <w:szCs w:val="22"/>
        </w:rPr>
        <w:t>By updating age while holding structural form constant, the model isolates the temporal effect of housing cohorts reaching later lifecycle stages. This mechanism is central to the study’s interpretation of renewal demand as a delayed consequence of earlier construction waves.</w:t>
      </w:r>
    </w:p>
    <w:p w14:paraId="7FC6F6D0">
      <w:pPr>
        <w:pStyle w:val="29"/>
      </w:pPr>
      <w:bookmarkStart w:id="23" w:name="_Toc227181485"/>
      <w:r>
        <w:t>S4.3 Updating the economic dimension</w:t>
      </w:r>
      <w:bookmarkEnd w:id="23"/>
    </w:p>
    <w:p w14:paraId="0EF78B7E">
      <w:pPr>
        <w:pStyle w:val="30"/>
        <w:spacing w:line="276" w:lineRule="auto"/>
        <w:ind w:firstLine="440"/>
        <w:rPr>
          <w:sz w:val="22"/>
          <w:szCs w:val="22"/>
        </w:rPr>
      </w:pPr>
      <w:r>
        <w:rPr>
          <w:sz w:val="22"/>
          <w:szCs w:val="22"/>
        </w:rPr>
        <w:t>The economic dimension represents the locational feasibility and redevelopment attractiveness of each building under the prevailing urban spatial structure. It is measured using accessibility indicators based on proximity to commercial land, public service facilities and the road network. Unlike building age, these locational attributes typically evolve more gradually over the medium term and are less directly tied to the lifecycle of individual buildings.</w:t>
      </w:r>
    </w:p>
    <w:p w14:paraId="49AF130D">
      <w:pPr>
        <w:pStyle w:val="30"/>
        <w:spacing w:line="276" w:lineRule="auto"/>
        <w:ind w:firstLine="440"/>
        <w:rPr>
          <w:sz w:val="22"/>
          <w:szCs w:val="22"/>
        </w:rPr>
      </w:pPr>
      <w:r>
        <w:rPr>
          <w:sz w:val="22"/>
          <w:szCs w:val="22"/>
        </w:rPr>
        <w:t>To focus the simulation on stock ageing and demographic change, all three accessibility indicators were held constant at their baseline values throughout the projection period:</w:t>
      </w:r>
    </w:p>
    <w:p w14:paraId="5C7AAEFD">
      <w:pPr>
        <w:pStyle w:val="30"/>
        <w:spacing w:line="276" w:lineRule="auto"/>
        <w:ind w:firstLine="440"/>
        <w:jc w:val="right"/>
        <w:rPr>
          <w:sz w:val="22"/>
          <w:szCs w:val="22"/>
        </w:rPr>
      </w:pPr>
      <w:r>
        <w:rPr>
          <w:rFonts w:eastAsiaTheme="minorEastAsia"/>
          <w:sz w:val="22"/>
          <w:szCs w:val="22"/>
        </w:rPr>
        <w:t xml:space="preserve">              </w:t>
      </w:r>
      <m:oMath>
        <m:sSub>
          <m:sSubPr>
            <m:ctrlPr>
              <w:rPr>
                <w:rFonts w:ascii="Cambria Math" w:hAnsi="Cambria Math"/>
                <w:sz w:val="22"/>
                <w:szCs w:val="22"/>
              </w:rPr>
            </m:ctrlPr>
          </m:sSubPr>
          <m:e>
            <m:r>
              <m:rPr>
                <m:sty m:val="p"/>
              </m:rPr>
              <w:rPr>
                <w:rFonts w:ascii="Cambria Math" w:hAnsi="Cambria Math"/>
                <w:sz w:val="22"/>
                <w:szCs w:val="22"/>
              </w:rPr>
              <m:t>Com</m:t>
            </m:r>
            <m:ctrlPr>
              <w:rPr>
                <w:rFonts w:ascii="Cambria Math" w:hAnsi="Cambria Math"/>
                <w:sz w:val="22"/>
                <w:szCs w:val="22"/>
              </w:rPr>
            </m:ctrlPr>
          </m:e>
          <m:sub>
            <m:r>
              <m:rPr>
                <m:sty m:val="p"/>
              </m:rPr>
              <w:rPr>
                <w:rFonts w:ascii="Cambria Math" w:hAnsi="Cambria Math"/>
                <w:sz w:val="22"/>
                <w:szCs w:val="22"/>
              </w:rPr>
              <m:t>i,t</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Com</m:t>
            </m:r>
            <m:ctrlPr>
              <w:rPr>
                <w:rFonts w:ascii="Cambria Math" w:hAnsi="Cambria Math"/>
                <w:sz w:val="22"/>
                <w:szCs w:val="22"/>
              </w:rPr>
            </m:ctrlPr>
          </m:e>
          <m:sub>
            <m:r>
              <m:rPr>
                <m:sty m:val="p"/>
              </m:rPr>
              <w:rPr>
                <w:rFonts w:ascii="Cambria Math" w:hAnsi="Cambria Math"/>
                <w:sz w:val="22"/>
                <w:szCs w:val="22"/>
              </w:rPr>
              <m:t>i,0</m:t>
            </m:r>
            <m:ctrlPr>
              <w:rPr>
                <w:rFonts w:ascii="Cambria Math" w:hAnsi="Cambria Math"/>
                <w:sz w:val="22"/>
                <w:szCs w:val="22"/>
              </w:rPr>
            </m:ctrlPr>
          </m:sub>
        </m:sSub>
      </m:oMath>
      <w:r>
        <w:rPr>
          <w:sz w:val="22"/>
          <w:szCs w:val="22"/>
        </w:rPr>
        <w:t xml:space="preserve"> </w:t>
      </w:r>
      <w:bookmarkStart w:id="24" w:name="OLE_LINK2"/>
      <w:r>
        <w:rPr>
          <w:sz w:val="22"/>
          <w:szCs w:val="22"/>
        </w:rPr>
        <w:t xml:space="preserve">                              </w:t>
      </w:r>
      <w:r>
        <w:rPr>
          <w:rFonts w:eastAsia="宋体"/>
          <w:sz w:val="22"/>
          <w:szCs w:val="22"/>
        </w:rPr>
        <w:t xml:space="preserve">  </w:t>
      </w:r>
      <w:r>
        <w:rPr>
          <w:sz w:val="22"/>
          <w:szCs w:val="22"/>
        </w:rPr>
        <w:t xml:space="preserve">                    </w:t>
      </w:r>
      <w:bookmarkEnd w:id="24"/>
      <w:r>
        <w:rPr>
          <w:sz w:val="22"/>
          <w:szCs w:val="22"/>
        </w:rPr>
        <w:t xml:space="preserve"> (S10)</w:t>
      </w:r>
    </w:p>
    <w:p w14:paraId="699814DF">
      <w:pPr>
        <w:pStyle w:val="30"/>
        <w:spacing w:line="276" w:lineRule="auto"/>
        <w:ind w:firstLine="440"/>
        <w:jc w:val="right"/>
        <w:rPr>
          <w:rFonts w:eastAsiaTheme="minorEastAsia"/>
          <w:sz w:val="22"/>
          <w:szCs w:val="22"/>
        </w:rPr>
      </w:pPr>
      <w:r>
        <w:rPr>
          <w:rFonts w:eastAsiaTheme="minorEastAsia"/>
          <w:sz w:val="22"/>
          <w:szCs w:val="22"/>
        </w:rPr>
        <w:t xml:space="preserve">           </w:t>
      </w:r>
      <m:oMath>
        <m:sSub>
          <m:sSubPr>
            <m:ctrlPr>
              <w:rPr>
                <w:rFonts w:ascii="Cambria Math" w:hAnsi="Cambria Math"/>
                <w:sz w:val="22"/>
                <w:szCs w:val="22"/>
              </w:rPr>
            </m:ctrlPr>
          </m:sSubPr>
          <m:e>
            <m:r>
              <m:rPr>
                <m:sty m:val="p"/>
              </m:rPr>
              <w:rPr>
                <w:rFonts w:ascii="Cambria Math" w:hAnsi="Cambria Math"/>
                <w:sz w:val="22"/>
                <w:szCs w:val="22"/>
              </w:rPr>
              <m:t>Pub</m:t>
            </m:r>
            <m:ctrlPr>
              <w:rPr>
                <w:rFonts w:ascii="Cambria Math" w:hAnsi="Cambria Math"/>
                <w:sz w:val="22"/>
                <w:szCs w:val="22"/>
              </w:rPr>
            </m:ctrlPr>
          </m:e>
          <m:sub>
            <m:r>
              <m:rPr>
                <m:sty m:val="p"/>
              </m:rPr>
              <w:rPr>
                <w:rFonts w:ascii="Cambria Math" w:hAnsi="Cambria Math"/>
                <w:sz w:val="22"/>
                <w:szCs w:val="22"/>
              </w:rPr>
              <m:t>i,t</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Pub</m:t>
            </m:r>
            <m:ctrlPr>
              <w:rPr>
                <w:rFonts w:ascii="Cambria Math" w:hAnsi="Cambria Math"/>
                <w:sz w:val="22"/>
                <w:szCs w:val="22"/>
              </w:rPr>
            </m:ctrlPr>
          </m:e>
          <m:sub>
            <m:r>
              <m:rPr>
                <m:sty m:val="p"/>
              </m:rPr>
              <w:rPr>
                <w:rFonts w:ascii="Cambria Math" w:hAnsi="Cambria Math"/>
                <w:sz w:val="22"/>
                <w:szCs w:val="22"/>
              </w:rPr>
              <m:t>i,0</m:t>
            </m:r>
            <m:ctrlPr>
              <w:rPr>
                <w:rFonts w:ascii="Cambria Math" w:hAnsi="Cambria Math"/>
                <w:sz w:val="22"/>
                <w:szCs w:val="22"/>
              </w:rPr>
            </m:ctrlPr>
          </m:sub>
        </m:sSub>
      </m:oMath>
      <w:r>
        <w:rPr>
          <w:sz w:val="22"/>
          <w:szCs w:val="22"/>
        </w:rPr>
        <w:t xml:space="preserve">                                </w:t>
      </w:r>
      <w:r>
        <w:rPr>
          <w:rFonts w:eastAsia="宋体"/>
          <w:sz w:val="22"/>
          <w:szCs w:val="22"/>
        </w:rPr>
        <w:t xml:space="preserve">  </w:t>
      </w:r>
      <w:r>
        <w:rPr>
          <w:sz w:val="22"/>
          <w:szCs w:val="22"/>
        </w:rPr>
        <w:t xml:space="preserve">                     (S11)</w:t>
      </w:r>
    </w:p>
    <w:p w14:paraId="0A659D9C">
      <w:pPr>
        <w:pStyle w:val="31"/>
        <w:spacing w:before="0" w:after="0" w:line="240" w:lineRule="auto"/>
        <w:rPr>
          <w:sz w:val="22"/>
          <w:szCs w:val="22"/>
        </w:rPr>
      </w:pPr>
      <m:oMath>
        <m:sSub>
          <m:sSubPr>
            <m:ctrlPr>
              <w:rPr>
                <w:rFonts w:ascii="Cambria Math" w:hAnsi="Cambria Math"/>
                <w:sz w:val="22"/>
                <w:szCs w:val="22"/>
              </w:rPr>
            </m:ctrlPr>
          </m:sSubPr>
          <m:e>
            <m:r>
              <m:rPr>
                <m:sty m:val="p"/>
              </m:rPr>
              <w:rPr>
                <w:rFonts w:ascii="Cambria Math" w:hAnsi="Cambria Math"/>
                <w:sz w:val="22"/>
                <w:szCs w:val="22"/>
              </w:rPr>
              <m:t>Road</m:t>
            </m:r>
            <m:ctrlPr>
              <w:rPr>
                <w:rFonts w:ascii="DejaVu Math TeX Gyre" w:hAnsi="DejaVu Math TeX Gyre"/>
                <w:sz w:val="22"/>
                <w:szCs w:val="22"/>
              </w:rPr>
            </m:ctrlPr>
          </m:e>
          <m:sub>
            <m:r>
              <m:rPr>
                <m:sty m:val="p"/>
              </m:rPr>
              <w:rPr>
                <w:rFonts w:ascii="Cambria Math" w:hAnsi="Cambria Math"/>
                <w:sz w:val="22"/>
                <w:szCs w:val="22"/>
              </w:rPr>
              <m:t>i,t</m:t>
            </m:r>
            <m:ctrlPr>
              <w:rPr>
                <w:rFonts w:ascii="DejaVu Math TeX Gyre" w:hAnsi="DejaVu Math TeX Gyre"/>
                <w:sz w:val="22"/>
                <w:szCs w:val="22"/>
              </w:rPr>
            </m:ctrlPr>
          </m:sub>
        </m:sSub>
        <m:r>
          <m:rPr>
            <m:sty m:val="p"/>
          </m:rPr>
          <w:rPr>
            <w:rFonts w:ascii="Cambria Math" w:hAnsi="Cambria Math"/>
            <w:sz w:val="22"/>
            <w:szCs w:val="22"/>
          </w:rPr>
          <m:t>=</m:t>
        </m:r>
        <m:sSub>
          <m:sSubPr>
            <m:ctrlPr>
              <w:rPr>
                <w:rFonts w:ascii="DejaVu Math TeX Gyre" w:hAnsi="DejaVu Math TeX Gyre"/>
                <w:sz w:val="22"/>
                <w:szCs w:val="22"/>
              </w:rPr>
            </m:ctrlPr>
          </m:sSubPr>
          <m:e>
            <m:r>
              <m:rPr>
                <m:sty m:val="p"/>
              </m:rPr>
              <w:rPr>
                <w:rFonts w:ascii="Cambria Math" w:hAnsi="Cambria Math"/>
                <w:sz w:val="22"/>
                <w:szCs w:val="22"/>
              </w:rPr>
              <m:t>Road</m:t>
            </m:r>
            <m:ctrlPr>
              <w:rPr>
                <w:rFonts w:ascii="DejaVu Math TeX Gyre" w:hAnsi="DejaVu Math TeX Gyre"/>
                <w:sz w:val="22"/>
                <w:szCs w:val="22"/>
              </w:rPr>
            </m:ctrlPr>
          </m:e>
          <m:sub>
            <m:r>
              <m:rPr>
                <m:sty m:val="p"/>
              </m:rPr>
              <w:rPr>
                <w:rFonts w:ascii="Cambria Math" w:hAnsi="Cambria Math"/>
                <w:sz w:val="22"/>
                <w:szCs w:val="22"/>
              </w:rPr>
              <m:t>i,0</m:t>
            </m:r>
            <m:ctrlPr>
              <w:rPr>
                <w:rFonts w:ascii="DejaVu Math TeX Gyre" w:hAnsi="DejaVu Math TeX Gyre"/>
                <w:sz w:val="22"/>
                <w:szCs w:val="22"/>
              </w:rPr>
            </m:ctrlPr>
          </m:sub>
        </m:sSub>
      </m:oMath>
      <w:r>
        <w:rPr>
          <w:sz w:val="22"/>
          <w:szCs w:val="22"/>
        </w:rPr>
        <w:t xml:space="preserve">                               </w:t>
      </w:r>
      <w:r>
        <w:rPr>
          <w:rFonts w:eastAsia="宋体"/>
          <w:sz w:val="22"/>
          <w:szCs w:val="22"/>
        </w:rPr>
        <w:t xml:space="preserve">  </w:t>
      </w:r>
      <w:r>
        <w:rPr>
          <w:sz w:val="22"/>
          <w:szCs w:val="22"/>
        </w:rPr>
        <w:t xml:space="preserve">                     (S12)</w:t>
      </w:r>
    </w:p>
    <w:p w14:paraId="775C210A">
      <w:pPr>
        <w:pStyle w:val="30"/>
        <w:spacing w:line="276" w:lineRule="auto"/>
        <w:ind w:firstLine="440"/>
        <w:rPr>
          <w:sz w:val="22"/>
          <w:szCs w:val="22"/>
        </w:rPr>
      </w:pPr>
      <w:r>
        <w:rPr>
          <w:sz w:val="22"/>
          <w:szCs w:val="22"/>
        </w:rPr>
        <w:t>where</w:t>
      </w:r>
      <w:r>
        <w:rPr>
          <w:rFonts w:hint="eastAsia" w:eastAsia="宋体"/>
          <w:sz w:val="22"/>
          <w:szCs w:val="22"/>
        </w:rPr>
        <w:t xml:space="preserve"> </w:t>
      </w:r>
      <m:oMath>
        <m:sSub>
          <m:sSubPr>
            <m:ctrlPr>
              <w:rPr>
                <w:rFonts w:ascii="Cambria Math" w:hAnsi="Cambria Math"/>
                <w:sz w:val="22"/>
                <w:szCs w:val="22"/>
              </w:rPr>
            </m:ctrlPr>
          </m:sSubPr>
          <m:e>
            <m:r>
              <m:rPr/>
              <w:rPr>
                <w:rFonts w:ascii="Cambria Math" w:hAnsi="Cambria Math"/>
                <w:sz w:val="22"/>
                <w:szCs w:val="22"/>
              </w:rPr>
              <m:t>Com</m:t>
            </m:r>
            <m:ctrlPr>
              <w:rPr>
                <w:rFonts w:ascii="Cambria Math" w:hAnsi="Cambria Math"/>
                <w:sz w:val="22"/>
                <w:szCs w:val="22"/>
              </w:rPr>
            </m:ctrlPr>
          </m:e>
          <m:sub>
            <m:r>
              <m:rPr/>
              <w:rPr>
                <w:rFonts w:ascii="Cambria Math" w:hAnsi="Cambria Math"/>
                <w:sz w:val="22"/>
                <w:szCs w:val="22"/>
              </w:rPr>
              <m:t>i,0</m:t>
            </m:r>
            <m:ctrlPr>
              <w:rPr>
                <w:rFonts w:ascii="Cambria Math" w:hAnsi="Cambria Math"/>
                <w:sz w:val="22"/>
                <w:szCs w:val="22"/>
              </w:rPr>
            </m:ctrlPr>
          </m:sub>
        </m:sSub>
      </m:oMath>
      <w:r>
        <w:rPr>
          <w:rFonts w:hint="eastAsia"/>
          <w:sz w:val="22"/>
          <w:szCs w:val="22"/>
        </w:rPr>
        <w:t>,</w:t>
      </w:r>
      <w:r>
        <w:rPr>
          <w:sz w:val="22"/>
          <w:szCs w:val="22"/>
        </w:rPr>
        <w:t xml:space="preserve"> </w:t>
      </w:r>
      <m:oMath>
        <m:sSub>
          <m:sSubPr>
            <m:ctrlPr>
              <w:rPr>
                <w:rFonts w:ascii="Cambria Math" w:hAnsi="Cambria Math"/>
                <w:sz w:val="22"/>
                <w:szCs w:val="22"/>
              </w:rPr>
            </m:ctrlPr>
          </m:sSubPr>
          <m:e>
            <m:r>
              <m:rPr/>
              <w:rPr>
                <w:rFonts w:ascii="Cambria Math" w:hAnsi="Cambria Math"/>
                <w:sz w:val="22"/>
                <w:szCs w:val="22"/>
              </w:rPr>
              <m:t>Pub</m:t>
            </m:r>
            <m:ctrlPr>
              <w:rPr>
                <w:rFonts w:ascii="Cambria Math" w:hAnsi="Cambria Math"/>
                <w:sz w:val="22"/>
                <w:szCs w:val="22"/>
              </w:rPr>
            </m:ctrlPr>
          </m:e>
          <m:sub>
            <m:r>
              <m:rPr/>
              <w:rPr>
                <w:rFonts w:ascii="Cambria Math" w:hAnsi="Cambria Math"/>
                <w:sz w:val="22"/>
                <w:szCs w:val="22"/>
              </w:rPr>
              <m:t>i,0</m:t>
            </m:r>
            <m:ctrlPr>
              <w:rPr>
                <w:rFonts w:ascii="Cambria Math" w:hAnsi="Cambria Math"/>
                <w:sz w:val="22"/>
                <w:szCs w:val="22"/>
              </w:rPr>
            </m:ctrlPr>
          </m:sub>
        </m:sSub>
      </m:oMath>
      <w:r>
        <w:rPr>
          <w:rFonts w:hint="eastAsia"/>
          <w:sz w:val="22"/>
          <w:szCs w:val="22"/>
        </w:rPr>
        <w:t xml:space="preserve"> </w:t>
      </w:r>
      <w:r>
        <w:rPr>
          <w:sz w:val="22"/>
          <w:szCs w:val="22"/>
        </w:rPr>
        <w:t xml:space="preserve">and </w:t>
      </w:r>
      <m:oMath>
        <m:sSub>
          <m:sSubPr>
            <m:ctrlPr>
              <w:rPr>
                <w:rFonts w:ascii="Cambria Math" w:hAnsi="Cambria Math"/>
                <w:sz w:val="22"/>
                <w:szCs w:val="22"/>
              </w:rPr>
            </m:ctrlPr>
          </m:sSubPr>
          <m:e>
            <m:r>
              <m:rPr/>
              <w:rPr>
                <w:rFonts w:ascii="Cambria Math" w:hAnsi="Cambria Math"/>
                <w:sz w:val="22"/>
                <w:szCs w:val="22"/>
              </w:rPr>
              <m:t>Road</m:t>
            </m:r>
            <m:ctrlPr>
              <w:rPr>
                <w:rFonts w:ascii="Cambria Math" w:hAnsi="Cambria Math"/>
                <w:sz w:val="22"/>
                <w:szCs w:val="22"/>
              </w:rPr>
            </m:ctrlPr>
          </m:e>
          <m:sub>
            <m:r>
              <m:rPr/>
              <w:rPr>
                <w:rFonts w:ascii="Cambria Math" w:hAnsi="Cambria Math"/>
                <w:sz w:val="22"/>
                <w:szCs w:val="22"/>
              </w:rPr>
              <m:t>i,0</m:t>
            </m:r>
            <m:ctrlPr>
              <w:rPr>
                <w:rFonts w:ascii="Cambria Math" w:hAnsi="Cambria Math"/>
                <w:sz w:val="22"/>
                <w:szCs w:val="22"/>
              </w:rPr>
            </m:ctrlPr>
          </m:sub>
        </m:sSub>
        <m:r>
          <m:rPr/>
          <w:rPr>
            <w:rFonts w:ascii="Cambria Math" w:hAnsi="Cambria Math"/>
            <w:sz w:val="22"/>
            <w:szCs w:val="22"/>
          </w:rPr>
          <m:t xml:space="preserve"> </m:t>
        </m:r>
      </m:oMath>
      <w:r>
        <w:rPr>
          <w:sz w:val="22"/>
          <w:szCs w:val="22"/>
        </w:rPr>
        <w:t>denote the baseline normalized accessibility values for building</w:t>
      </w:r>
      <w:r>
        <w:rPr>
          <w:rFonts w:hint="eastAsia" w:eastAsia="宋体"/>
          <w:sz w:val="22"/>
          <w:szCs w:val="22"/>
        </w:rPr>
        <w:t xml:space="preserve"> </w:t>
      </w:r>
      <m:oMath>
        <m:r>
          <m:rPr>
            <m:nor/>
          </m:rPr>
          <w:rPr>
            <w:rFonts w:ascii="DejaVu Math TeX Gyre" w:hAnsi="DejaVu Math TeX Gyre" w:eastAsia="宋体" w:cs="Times New Roman Italic"/>
            <w:i/>
            <w:iCs/>
            <w:sz w:val="22"/>
            <w:szCs w:val="22"/>
          </w:rPr>
          <m:t>i</m:t>
        </m:r>
      </m:oMath>
      <w:r>
        <w:rPr>
          <w:sz w:val="22"/>
          <w:szCs w:val="22"/>
        </w:rPr>
        <w:t>.</w:t>
      </w:r>
    </w:p>
    <w:p w14:paraId="246C85C1">
      <w:pPr>
        <w:pStyle w:val="30"/>
        <w:spacing w:line="276" w:lineRule="auto"/>
        <w:ind w:firstLine="440"/>
        <w:rPr>
          <w:sz w:val="22"/>
          <w:szCs w:val="22"/>
        </w:rPr>
      </w:pPr>
      <w:r>
        <w:rPr>
          <w:sz w:val="22"/>
          <w:szCs w:val="22"/>
        </w:rPr>
        <w:t>This treatment does not imply that urban accessibility is immutable. Rather, it reflects a modelling choice to hold the broader spatial structure constant so that changes in renewal demand can be interpreted more clearly as the result of cohort ageing and demographic dynamics. Introducing endogenous land-use change or future infrastructure expansion would require an additional urban growth model and would confound the mechanisms that this study seeks to isolate.</w:t>
      </w:r>
    </w:p>
    <w:p w14:paraId="7254002C">
      <w:pPr>
        <w:pStyle w:val="30"/>
        <w:spacing w:line="276" w:lineRule="auto"/>
        <w:ind w:firstLine="440"/>
        <w:rPr>
          <w:sz w:val="22"/>
          <w:szCs w:val="22"/>
        </w:rPr>
      </w:pPr>
      <w:r>
        <w:rPr>
          <w:sz w:val="22"/>
          <w:szCs w:val="22"/>
        </w:rPr>
        <w:t>The resulting projection should therefore be interpreted as a scenario of renewal demand under a stable locational framework. Buildings retain their relative accessibility advantages or disadvantages while other dimensions of renewal priority evolve over time.</w:t>
      </w:r>
    </w:p>
    <w:p w14:paraId="1B9787A1">
      <w:pPr>
        <w:pStyle w:val="29"/>
      </w:pPr>
      <w:bookmarkStart w:id="25" w:name="_Toc227181486"/>
      <w:r>
        <w:t>S4.4 Updating the social dimension</w:t>
      </w:r>
      <w:bookmarkEnd w:id="25"/>
    </w:p>
    <w:p w14:paraId="1F3AF7D8">
      <w:pPr>
        <w:pStyle w:val="30"/>
        <w:spacing w:after="60"/>
        <w:ind w:firstLine="440"/>
        <w:rPr>
          <w:sz w:val="22"/>
          <w:szCs w:val="22"/>
        </w:rPr>
      </w:pPr>
      <w:r>
        <w:rPr>
          <w:color w:val="000000"/>
          <w:sz w:val="22"/>
          <w:szCs w:val="22"/>
        </w:rPr>
        <w:t>The social dimension captures demographic pressure associated with residential renewal. Unlike the economic dimension, these variables can change substantially over time as population size, age structure and housing-space pressure evolve. The social dimension was therefore updated dynamically throughout the projection period using village-level demographic scenarios and building-level residential floor-area weights.</w:t>
      </w:r>
    </w:p>
    <w:p w14:paraId="3442D078">
      <w:pPr>
        <w:pStyle w:val="30"/>
        <w:spacing w:after="60"/>
        <w:ind w:firstLine="440"/>
        <w:rPr>
          <w:color w:val="000000"/>
          <w:sz w:val="22"/>
          <w:szCs w:val="22"/>
        </w:rPr>
      </w:pPr>
      <w:r>
        <w:rPr>
          <w:color w:val="000000"/>
          <w:sz w:val="22"/>
          <w:szCs w:val="22"/>
        </w:rPr>
        <w:t>For each administrative village g, projected village-level total population and population aged 65 years and above were allocated to individual residential buildings according to each building's share of the village's total residential floor area. This area-weighted downscaling preserves village-level demographic totals while producing building-scale population variables for the Social Need Index.</w:t>
      </w:r>
    </w:p>
    <w:p w14:paraId="02444B83">
      <w:pPr>
        <w:pStyle w:val="30"/>
        <w:spacing w:after="60"/>
        <w:ind w:firstLine="440"/>
        <w:rPr>
          <w:color w:val="000000"/>
          <w:sz w:val="22"/>
          <w:szCs w:val="22"/>
        </w:rPr>
      </w:pPr>
      <w:r>
        <w:rPr>
          <w:color w:val="000000"/>
          <w:sz w:val="22"/>
          <w:szCs w:val="22"/>
        </w:rPr>
        <w:t>For building i in village g and year t, building-level total population is calculated as:</w:t>
      </w:r>
    </w:p>
    <w:p w14:paraId="111191BF">
      <w:pPr>
        <w:pStyle w:val="31"/>
        <w:spacing w:after="60"/>
        <w:rPr>
          <w:sz w:val="22"/>
          <w:szCs w:val="22"/>
        </w:rPr>
      </w:pPr>
      <m:oMath>
        <m:sSub>
          <m:sSubPr>
            <m:ctrlPr>
              <w:rPr>
                <w:rFonts w:ascii="Cambria Math" w:hAnsi="Cambria Math"/>
                <w:sz w:val="22"/>
                <w:szCs w:val="22"/>
              </w:rPr>
            </m:ctrlPr>
          </m:sSubPr>
          <m:e>
            <m:r>
              <m:rPr>
                <m:nor/>
                <m:sty m:val="p"/>
              </m:rPr>
              <w:rPr>
                <w:sz w:val="22"/>
                <w:szCs w:val="22"/>
              </w:rPr>
              <m:t>Pop</m:t>
            </m:r>
            <m:ctrlPr>
              <w:rPr>
                <w:rFonts w:ascii="Cambria Math" w:hAnsi="Cambria Math"/>
                <w:sz w:val="22"/>
                <w:szCs w:val="22"/>
              </w:rPr>
            </m:ctrlPr>
          </m:e>
          <m:sub>
            <m:r>
              <m:rPr>
                <m:nor/>
                <m:sty m:val="p"/>
              </m:rPr>
              <w:rPr>
                <w:sz w:val="22"/>
                <w:szCs w:val="22"/>
              </w:rPr>
              <m:t>i,t</m:t>
            </m:r>
            <m:ctrlPr>
              <w:rPr>
                <w:rFonts w:ascii="Cambria Math" w:hAnsi="Cambria Math"/>
                <w:sz w:val="22"/>
                <w:szCs w:val="22"/>
              </w:rPr>
            </m:ctrlPr>
          </m:sub>
        </m:sSub>
        <m:r>
          <m:rPr>
            <m:nor/>
            <m:sty m:val="p"/>
          </m:rPr>
          <w:rPr>
            <w:sz w:val="22"/>
            <w:szCs w:val="22"/>
          </w:rPr>
          <m:t>=</m:t>
        </m:r>
        <m:sSub>
          <m:sSubPr>
            <m:ctrlPr>
              <w:rPr>
                <w:rFonts w:ascii="Cambria Math" w:hAnsi="Cambria Math"/>
                <w:sz w:val="22"/>
                <w:szCs w:val="22"/>
              </w:rPr>
            </m:ctrlPr>
          </m:sSubPr>
          <m:e>
            <m:r>
              <m:rPr>
                <m:nor/>
                <m:sty m:val="p"/>
              </m:rPr>
              <w:rPr>
                <w:sz w:val="22"/>
                <w:szCs w:val="22"/>
              </w:rPr>
              <m:t>Pop</m:t>
            </m:r>
            <m:ctrlPr>
              <w:rPr>
                <w:rFonts w:ascii="Cambria Math" w:hAnsi="Cambria Math"/>
                <w:sz w:val="22"/>
                <w:szCs w:val="22"/>
              </w:rPr>
            </m:ctrlPr>
          </m:e>
          <m:sub>
            <m:r>
              <m:rPr>
                <m:nor/>
                <m:sty m:val="p"/>
              </m:rPr>
              <w:rPr>
                <w:sz w:val="22"/>
                <w:szCs w:val="22"/>
              </w:rPr>
              <m:t>g,t</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nor/>
                <m:sty m:val="p"/>
              </m:rPr>
              <w:rPr>
                <w:sz w:val="22"/>
                <w:szCs w:val="22"/>
              </w:rPr>
              <m:t>A</m:t>
            </m:r>
            <m:ctrlPr>
              <w:rPr>
                <w:rFonts w:ascii="Cambria Math" w:hAnsi="Cambria Math"/>
                <w:sz w:val="22"/>
                <w:szCs w:val="22"/>
              </w:rPr>
            </m:ctrlPr>
          </m:e>
          <m:sub>
            <m:r>
              <m:rPr>
                <m:nor/>
                <m:sty m:val="p"/>
              </m:rPr>
              <w:rPr>
                <w:sz w:val="22"/>
                <w:szCs w:val="22"/>
              </w:rPr>
              <m:t>i</m:t>
            </m:r>
            <m:ctrlPr>
              <w:rPr>
                <w:rFonts w:ascii="Cambria Math" w:hAnsi="Cambria Math"/>
                <w:sz w:val="22"/>
                <w:szCs w:val="22"/>
              </w:rPr>
            </m:ctrlPr>
          </m:sub>
        </m:sSub>
        <m:r>
          <m:rPr>
            <m:sty m:val="p"/>
          </m:rPr>
          <w:rPr>
            <w:rFonts w:hint="eastAsia" w:ascii="Cambria Math" w:hAnsi="Cambria Math"/>
            <w:sz w:val="22"/>
            <w:szCs w:val="22"/>
          </w:rPr>
          <m:t>∕</m:t>
        </m:r>
        <m:nary>
          <m:naryPr>
            <m:chr m:val="∑"/>
            <m:limLoc m:val="subSup"/>
            <m:supHide m:val="1"/>
            <m:ctrlPr>
              <w:rPr>
                <w:rFonts w:ascii="Cambria Math" w:hAnsi="Cambria Math"/>
                <w:sz w:val="22"/>
                <w:szCs w:val="22"/>
              </w:rPr>
            </m:ctrlPr>
          </m:naryPr>
          <m:sub>
            <m:r>
              <m:rPr>
                <m:nor/>
                <m:sty m:val="p"/>
              </m:rPr>
              <w:rPr>
                <w:sz w:val="22"/>
                <w:szCs w:val="22"/>
              </w:rPr>
              <m:t>j</m:t>
            </m:r>
            <m:r>
              <m:rPr>
                <m:nor/>
                <m:sty m:val="p"/>
              </m:rPr>
              <w:rPr>
                <w:rFonts w:hint="eastAsia" w:ascii="Cambria Math" w:hAnsi="Cambria Math" w:eastAsia="Cambria Math" w:cs="Cambria Math"/>
                <w:sz w:val="22"/>
                <w:szCs w:val="22"/>
                <w:vertAlign w:val="subscript"/>
              </w:rPr>
              <m:t>∈</m:t>
            </m:r>
            <m:r>
              <m:rPr>
                <m:nor/>
                <m:sty m:val="p"/>
              </m:rPr>
              <w:rPr>
                <w:sz w:val="22"/>
                <w:szCs w:val="22"/>
              </w:rPr>
              <m:t>g</m:t>
            </m:r>
            <m:ctrlPr>
              <w:rPr>
                <w:rFonts w:ascii="Cambria Math" w:hAnsi="Cambria Math"/>
                <w:sz w:val="22"/>
                <w:szCs w:val="22"/>
              </w:rPr>
            </m:ctrlPr>
          </m:sub>
          <m:sup>
            <m:ctrlPr>
              <w:rPr>
                <w:rFonts w:ascii="Cambria Math" w:hAnsi="Cambria Math"/>
                <w:sz w:val="22"/>
                <w:szCs w:val="22"/>
              </w:rPr>
            </m:ctrlPr>
          </m:sup>
          <m:e>
            <m:sSub>
              <m:sSubPr>
                <m:ctrlPr>
                  <w:rPr>
                    <w:rFonts w:ascii="Cambria Math" w:hAnsi="Cambria Math"/>
                    <w:sz w:val="22"/>
                    <w:szCs w:val="22"/>
                  </w:rPr>
                </m:ctrlPr>
              </m:sSubPr>
              <m:e>
                <m:r>
                  <m:rPr>
                    <m:nor/>
                    <m:sty m:val="p"/>
                  </m:rPr>
                  <w:rPr>
                    <w:sz w:val="22"/>
                    <w:szCs w:val="22"/>
                  </w:rPr>
                  <m:t>A</m:t>
                </m:r>
                <m:ctrlPr>
                  <w:rPr>
                    <w:rFonts w:ascii="Cambria Math" w:hAnsi="Cambria Math"/>
                    <w:sz w:val="22"/>
                    <w:szCs w:val="22"/>
                  </w:rPr>
                </m:ctrlPr>
              </m:e>
              <m:sub>
                <m:r>
                  <m:rPr>
                    <m:nor/>
                    <m:sty m:val="p"/>
                  </m:rPr>
                  <w:rPr>
                    <w:sz w:val="22"/>
                    <w:szCs w:val="22"/>
                  </w:rPr>
                  <m:t>j</m:t>
                </m:r>
                <m:ctrlPr>
                  <w:rPr>
                    <w:rFonts w:ascii="Cambria Math" w:hAnsi="Cambria Math"/>
                    <w:sz w:val="22"/>
                    <w:szCs w:val="22"/>
                  </w:rPr>
                </m:ctrlPr>
              </m:sub>
            </m:sSub>
            <m:ctrlPr>
              <w:rPr>
                <w:rFonts w:ascii="Cambria Math" w:hAnsi="Cambria Math"/>
                <w:sz w:val="22"/>
                <w:szCs w:val="22"/>
              </w:rPr>
            </m:ctrlPr>
          </m:e>
        </m:nary>
      </m:oMath>
      <w:r>
        <w:rPr>
          <w:sz w:val="22"/>
          <w:szCs w:val="22"/>
        </w:rPr>
        <w:t xml:space="preserve">             </w:t>
      </w:r>
      <w:r>
        <w:rPr>
          <w:rFonts w:eastAsia="宋体"/>
          <w:sz w:val="22"/>
          <w:szCs w:val="22"/>
        </w:rPr>
        <w:t xml:space="preserve">  </w:t>
      </w:r>
      <w:r>
        <w:rPr>
          <w:sz w:val="22"/>
          <w:szCs w:val="22"/>
        </w:rPr>
        <w:t xml:space="preserve">                        (S13)</w:t>
      </w:r>
    </w:p>
    <w:p w14:paraId="6A1105DB">
      <w:pPr>
        <w:keepNext/>
        <w:ind w:firstLine="440"/>
      </w:pPr>
      <w:r>
        <w:t>Building-level population aged 65 years and above is calculated using the same residential floor-area weight:</w:t>
      </w:r>
    </w:p>
    <w:p w14:paraId="2A1A9F9E">
      <w:pPr>
        <w:pStyle w:val="31"/>
        <w:spacing w:after="60"/>
        <w:rPr>
          <w:sz w:val="22"/>
          <w:szCs w:val="22"/>
        </w:rPr>
      </w:pPr>
      <m:oMath>
        <m:sSub>
          <m:sSubPr>
            <m:ctrlPr>
              <w:rPr>
                <w:rFonts w:ascii="Cambria Math" w:hAnsi="Cambria Math"/>
                <w:sz w:val="22"/>
                <w:szCs w:val="22"/>
              </w:rPr>
            </m:ctrlPr>
          </m:sSubPr>
          <m:e>
            <m:r>
              <m:rPr>
                <m:nor/>
                <m:sty m:val="p"/>
              </m:rPr>
              <w:rPr>
                <w:sz w:val="22"/>
                <w:szCs w:val="22"/>
              </w:rPr>
              <m:t>Old</m:t>
            </m:r>
            <m:ctrlPr>
              <w:rPr>
                <w:rFonts w:ascii="Cambria Math" w:hAnsi="Cambria Math"/>
                <w:sz w:val="22"/>
                <w:szCs w:val="22"/>
              </w:rPr>
            </m:ctrlPr>
          </m:e>
          <m:sub>
            <m:r>
              <m:rPr>
                <m:nor/>
                <m:sty m:val="p"/>
              </m:rPr>
              <w:rPr>
                <w:sz w:val="22"/>
                <w:szCs w:val="22"/>
              </w:rPr>
              <m:t>i,t</m:t>
            </m:r>
            <m:ctrlPr>
              <w:rPr>
                <w:rFonts w:ascii="Cambria Math" w:hAnsi="Cambria Math"/>
                <w:sz w:val="22"/>
                <w:szCs w:val="22"/>
              </w:rPr>
            </m:ctrlPr>
          </m:sub>
        </m:sSub>
        <m:r>
          <m:rPr>
            <m:nor/>
            <m:sty m:val="p"/>
          </m:rPr>
          <w:rPr>
            <w:sz w:val="22"/>
            <w:szCs w:val="22"/>
          </w:rPr>
          <m:t>=</m:t>
        </m:r>
        <m:sSub>
          <m:sSubPr>
            <m:ctrlPr>
              <w:rPr>
                <w:rFonts w:ascii="Cambria Math" w:hAnsi="Cambria Math"/>
                <w:sz w:val="22"/>
                <w:szCs w:val="22"/>
              </w:rPr>
            </m:ctrlPr>
          </m:sSubPr>
          <m:e>
            <m:r>
              <m:rPr>
                <m:nor/>
                <m:sty m:val="p"/>
              </m:rPr>
              <w:rPr>
                <w:sz w:val="22"/>
                <w:szCs w:val="22"/>
              </w:rPr>
              <m:t>Old</m:t>
            </m:r>
            <m:ctrlPr>
              <w:rPr>
                <w:rFonts w:ascii="Cambria Math" w:hAnsi="Cambria Math"/>
                <w:sz w:val="22"/>
                <w:szCs w:val="22"/>
              </w:rPr>
            </m:ctrlPr>
          </m:e>
          <m:sub>
            <m:r>
              <m:rPr>
                <m:nor/>
                <m:sty m:val="p"/>
              </m:rPr>
              <w:rPr>
                <w:sz w:val="22"/>
                <w:szCs w:val="22"/>
              </w:rPr>
              <m:t>g,t</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nor/>
                <m:sty m:val="p"/>
              </m:rPr>
              <w:rPr>
                <w:sz w:val="22"/>
                <w:szCs w:val="22"/>
              </w:rPr>
              <m:t>A</m:t>
            </m:r>
            <m:ctrlPr>
              <w:rPr>
                <w:rFonts w:ascii="Cambria Math" w:hAnsi="Cambria Math"/>
                <w:sz w:val="22"/>
                <w:szCs w:val="22"/>
              </w:rPr>
            </m:ctrlPr>
          </m:e>
          <m:sub>
            <m:r>
              <m:rPr>
                <m:nor/>
                <m:sty m:val="p"/>
              </m:rPr>
              <w:rPr>
                <w:sz w:val="22"/>
                <w:szCs w:val="22"/>
              </w:rPr>
              <m:t>i</m:t>
            </m:r>
            <m:ctrlPr>
              <w:rPr>
                <w:rFonts w:ascii="Cambria Math" w:hAnsi="Cambria Math"/>
                <w:sz w:val="22"/>
                <w:szCs w:val="22"/>
              </w:rPr>
            </m:ctrlPr>
          </m:sub>
        </m:sSub>
        <m:r>
          <m:rPr>
            <m:sty m:val="p"/>
          </m:rPr>
          <w:rPr>
            <w:rFonts w:hint="eastAsia" w:ascii="Cambria Math" w:hAnsi="Cambria Math"/>
            <w:sz w:val="22"/>
            <w:szCs w:val="22"/>
          </w:rPr>
          <m:t>∕</m:t>
        </m:r>
        <m:nary>
          <m:naryPr>
            <m:chr m:val="∑"/>
            <m:limLoc m:val="subSup"/>
            <m:supHide m:val="1"/>
            <m:ctrlPr>
              <w:rPr>
                <w:rFonts w:ascii="Cambria Math" w:hAnsi="Cambria Math"/>
                <w:sz w:val="22"/>
                <w:szCs w:val="22"/>
              </w:rPr>
            </m:ctrlPr>
          </m:naryPr>
          <m:sub>
            <m:r>
              <m:rPr>
                <m:nor/>
                <m:sty m:val="p"/>
              </m:rPr>
              <w:rPr>
                <w:sz w:val="22"/>
                <w:szCs w:val="22"/>
              </w:rPr>
              <m:t>j</m:t>
            </m:r>
            <m:r>
              <m:rPr>
                <m:nor/>
                <m:sty m:val="p"/>
              </m:rPr>
              <w:rPr>
                <w:rFonts w:hint="eastAsia" w:ascii="Cambria Math" w:hAnsi="Cambria Math" w:eastAsia="Cambria Math" w:cs="Cambria Math"/>
                <w:sz w:val="22"/>
                <w:szCs w:val="22"/>
                <w:vertAlign w:val="subscript"/>
              </w:rPr>
              <m:t>∈</m:t>
            </m:r>
            <m:r>
              <m:rPr>
                <m:nor/>
                <m:sty m:val="p"/>
              </m:rPr>
              <w:rPr>
                <w:sz w:val="22"/>
                <w:szCs w:val="22"/>
              </w:rPr>
              <m:t>g</m:t>
            </m:r>
            <m:ctrlPr>
              <w:rPr>
                <w:rFonts w:ascii="Cambria Math" w:hAnsi="Cambria Math"/>
                <w:sz w:val="22"/>
                <w:szCs w:val="22"/>
              </w:rPr>
            </m:ctrlPr>
          </m:sub>
          <m:sup>
            <m:ctrlPr>
              <w:rPr>
                <w:rFonts w:ascii="Cambria Math" w:hAnsi="Cambria Math"/>
                <w:sz w:val="22"/>
                <w:szCs w:val="22"/>
              </w:rPr>
            </m:ctrlPr>
          </m:sup>
          <m:e>
            <m:sSub>
              <m:sSubPr>
                <m:ctrlPr>
                  <w:rPr>
                    <w:rFonts w:ascii="Cambria Math" w:hAnsi="Cambria Math"/>
                    <w:sz w:val="22"/>
                    <w:szCs w:val="22"/>
                  </w:rPr>
                </m:ctrlPr>
              </m:sSubPr>
              <m:e>
                <m:r>
                  <m:rPr>
                    <m:nor/>
                    <m:sty m:val="p"/>
                  </m:rPr>
                  <w:rPr>
                    <w:sz w:val="22"/>
                    <w:szCs w:val="22"/>
                  </w:rPr>
                  <m:t>A</m:t>
                </m:r>
                <m:ctrlPr>
                  <w:rPr>
                    <w:rFonts w:ascii="Cambria Math" w:hAnsi="Cambria Math"/>
                    <w:sz w:val="22"/>
                    <w:szCs w:val="22"/>
                  </w:rPr>
                </m:ctrlPr>
              </m:e>
              <m:sub>
                <m:r>
                  <m:rPr>
                    <m:nor/>
                    <m:sty m:val="p"/>
                  </m:rPr>
                  <w:rPr>
                    <w:sz w:val="22"/>
                    <w:szCs w:val="22"/>
                  </w:rPr>
                  <m:t>j</m:t>
                </m:r>
                <m:ctrlPr>
                  <w:rPr>
                    <w:rFonts w:ascii="Cambria Math" w:hAnsi="Cambria Math"/>
                    <w:sz w:val="22"/>
                    <w:szCs w:val="22"/>
                  </w:rPr>
                </m:ctrlPr>
              </m:sub>
            </m:sSub>
            <m:ctrlPr>
              <w:rPr>
                <w:rFonts w:ascii="Cambria Math" w:hAnsi="Cambria Math"/>
                <w:sz w:val="22"/>
                <w:szCs w:val="22"/>
              </w:rPr>
            </m:ctrlPr>
          </m:e>
        </m:nary>
      </m:oMath>
      <w:r>
        <w:rPr>
          <w:sz w:val="22"/>
          <w:szCs w:val="22"/>
        </w:rPr>
        <w:t xml:space="preserve">             </w:t>
      </w:r>
      <w:r>
        <w:rPr>
          <w:rFonts w:eastAsia="宋体"/>
          <w:sz w:val="22"/>
          <w:szCs w:val="22"/>
        </w:rPr>
        <w:t xml:space="preserve">  </w:t>
      </w:r>
      <w:r>
        <w:rPr>
          <w:sz w:val="22"/>
          <w:szCs w:val="22"/>
        </w:rPr>
        <w:t xml:space="preserve">                        (S14)</w:t>
      </w:r>
    </w:p>
    <w:p w14:paraId="5A6A29F1">
      <w:pPr>
        <w:keepNext/>
        <w:ind w:firstLine="440"/>
      </w:pPr>
      <w:r>
        <w:t>The inverse of per-capita residential floor area, used to represent housing-space pressure, is calculated as:</w:t>
      </w:r>
    </w:p>
    <w:p w14:paraId="35D7EF93">
      <w:pPr>
        <w:pStyle w:val="31"/>
        <w:spacing w:after="60"/>
        <w:rPr>
          <w:color w:val="000000"/>
          <w:sz w:val="22"/>
          <w:szCs w:val="22"/>
        </w:rPr>
      </w:pPr>
      <m:oMath>
        <m:sSub>
          <m:sSubPr>
            <m:ctrlPr>
              <w:rPr>
                <w:rFonts w:ascii="Cambria Math" w:hAnsi="Cambria Math"/>
                <w:sz w:val="22"/>
                <w:szCs w:val="22"/>
              </w:rPr>
            </m:ctrlPr>
          </m:sSubPr>
          <m:e>
            <m:r>
              <m:rPr>
                <m:nor/>
                <m:sty m:val="p"/>
              </m:rPr>
              <w:rPr>
                <w:sz w:val="22"/>
                <w:szCs w:val="22"/>
              </w:rPr>
              <m:t>InvPFA</m:t>
            </m:r>
            <m:ctrlPr>
              <w:rPr>
                <w:rFonts w:ascii="Cambria Math" w:hAnsi="Cambria Math"/>
                <w:sz w:val="22"/>
                <w:szCs w:val="22"/>
              </w:rPr>
            </m:ctrlPr>
          </m:e>
          <m:sub>
            <m:r>
              <m:rPr>
                <m:nor/>
                <m:sty m:val="p"/>
              </m:rPr>
              <w:rPr>
                <w:sz w:val="22"/>
                <w:szCs w:val="22"/>
              </w:rPr>
              <m:t>i,t</m:t>
            </m:r>
            <m:ctrlPr>
              <w:rPr>
                <w:rFonts w:ascii="Cambria Math" w:hAnsi="Cambria Math"/>
                <w:sz w:val="22"/>
                <w:szCs w:val="22"/>
              </w:rPr>
            </m:ctrlPr>
          </m:sub>
        </m:sSub>
        <m:r>
          <m:rPr>
            <m:nor/>
            <m:sty m:val="p"/>
          </m:rPr>
          <w:rPr>
            <w:sz w:val="22"/>
            <w:szCs w:val="22"/>
          </w:rPr>
          <m:t>=</m:t>
        </m:r>
        <m:d>
          <m:dPr>
            <m:ctrlPr>
              <w:rPr>
                <w:rFonts w:ascii="Cambria Math" w:hAnsi="Cambria Math"/>
                <w:sz w:val="22"/>
                <w:szCs w:val="22"/>
              </w:rPr>
            </m:ctrlPr>
          </m:dPr>
          <m:e>
            <m:sSub>
              <m:sSubPr>
                <m:ctrlPr>
                  <w:rPr>
                    <w:rFonts w:ascii="Cambria Math" w:hAnsi="Cambria Math"/>
                    <w:sz w:val="22"/>
                    <w:szCs w:val="22"/>
                  </w:rPr>
                </m:ctrlPr>
              </m:sSubPr>
              <m:e>
                <m:r>
                  <m:rPr>
                    <m:nor/>
                    <m:sty m:val="p"/>
                  </m:rPr>
                  <w:rPr>
                    <w:sz w:val="22"/>
                    <w:szCs w:val="22"/>
                  </w:rPr>
                  <m:t>Pop</m:t>
                </m:r>
                <m:ctrlPr>
                  <w:rPr>
                    <w:rFonts w:ascii="Cambria Math" w:hAnsi="Cambria Math"/>
                    <w:sz w:val="22"/>
                    <w:szCs w:val="22"/>
                  </w:rPr>
                </m:ctrlPr>
              </m:e>
              <m:sub>
                <m:r>
                  <m:rPr>
                    <m:nor/>
                    <m:sty m:val="p"/>
                  </m:rPr>
                  <w:rPr>
                    <w:sz w:val="22"/>
                    <w:szCs w:val="22"/>
                  </w:rPr>
                  <m:t>g,t</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nor/>
                    <m:sty m:val="p"/>
                  </m:rPr>
                  <w:rPr>
                    <w:sz w:val="22"/>
                    <w:szCs w:val="22"/>
                  </w:rPr>
                  <m:t>A</m:t>
                </m:r>
                <m:ctrlPr>
                  <w:rPr>
                    <w:rFonts w:ascii="Cambria Math" w:hAnsi="Cambria Math"/>
                    <w:sz w:val="22"/>
                    <w:szCs w:val="22"/>
                  </w:rPr>
                </m:ctrlPr>
              </m:e>
              <m:sub>
                <m:r>
                  <m:rPr>
                    <m:nor/>
                    <m:sty m:val="p"/>
                  </m:rPr>
                  <w:rPr>
                    <w:sz w:val="22"/>
                    <w:szCs w:val="22"/>
                  </w:rPr>
                  <m:t>i</m:t>
                </m:r>
                <m:ctrlPr>
                  <w:rPr>
                    <w:rFonts w:ascii="Cambria Math" w:hAnsi="Cambria Math"/>
                    <w:sz w:val="22"/>
                    <w:szCs w:val="22"/>
                  </w:rPr>
                </m:ctrlPr>
              </m:sub>
            </m:sSub>
            <m:r>
              <m:rPr>
                <m:sty m:val="p"/>
              </m:rPr>
              <w:rPr>
                <w:rFonts w:hint="eastAsia" w:ascii="Cambria Math" w:hAnsi="Cambria Math"/>
                <w:sz w:val="22"/>
                <w:szCs w:val="22"/>
              </w:rPr>
              <m:t>∕</m:t>
            </m:r>
            <m:nary>
              <m:naryPr>
                <m:chr m:val="∑"/>
                <m:limLoc m:val="subSup"/>
                <m:supHide m:val="1"/>
                <m:ctrlPr>
                  <w:rPr>
                    <w:rFonts w:ascii="Cambria Math" w:hAnsi="Cambria Math"/>
                    <w:sz w:val="22"/>
                    <w:szCs w:val="22"/>
                  </w:rPr>
                </m:ctrlPr>
              </m:naryPr>
              <m:sub>
                <m:r>
                  <m:rPr>
                    <m:nor/>
                    <m:sty m:val="p"/>
                  </m:rPr>
                  <w:rPr>
                    <w:sz w:val="22"/>
                    <w:szCs w:val="22"/>
                  </w:rPr>
                  <m:t>j</m:t>
                </m:r>
                <m:r>
                  <m:rPr>
                    <m:nor/>
                    <m:sty m:val="p"/>
                  </m:rPr>
                  <w:rPr>
                    <w:rFonts w:hint="eastAsia" w:ascii="Cambria Math" w:hAnsi="Cambria Math" w:eastAsia="Cambria Math" w:cs="Cambria Math"/>
                    <w:sz w:val="22"/>
                    <w:szCs w:val="22"/>
                    <w:vertAlign w:val="subscript"/>
                  </w:rPr>
                  <m:t>∈</m:t>
                </m:r>
                <m:r>
                  <m:rPr>
                    <m:nor/>
                    <m:sty m:val="p"/>
                  </m:rPr>
                  <w:rPr>
                    <w:sz w:val="22"/>
                    <w:szCs w:val="22"/>
                  </w:rPr>
                  <m:t>g</m:t>
                </m:r>
                <m:ctrlPr>
                  <w:rPr>
                    <w:rFonts w:ascii="Cambria Math" w:hAnsi="Cambria Math"/>
                    <w:sz w:val="22"/>
                    <w:szCs w:val="22"/>
                  </w:rPr>
                </m:ctrlPr>
              </m:sub>
              <m:sup>
                <m:ctrlPr>
                  <w:rPr>
                    <w:rFonts w:ascii="Cambria Math" w:hAnsi="Cambria Math"/>
                    <w:sz w:val="22"/>
                    <w:szCs w:val="22"/>
                  </w:rPr>
                </m:ctrlPr>
              </m:sup>
              <m:e>
                <m:sSub>
                  <m:sSubPr>
                    <m:ctrlPr>
                      <w:rPr>
                        <w:rFonts w:ascii="Cambria Math" w:hAnsi="Cambria Math"/>
                        <w:sz w:val="22"/>
                        <w:szCs w:val="22"/>
                      </w:rPr>
                    </m:ctrlPr>
                  </m:sSubPr>
                  <m:e>
                    <m:r>
                      <m:rPr>
                        <m:nor/>
                        <m:sty m:val="p"/>
                      </m:rPr>
                      <w:rPr>
                        <w:sz w:val="22"/>
                        <w:szCs w:val="22"/>
                      </w:rPr>
                      <m:t>A</m:t>
                    </m:r>
                    <m:ctrlPr>
                      <w:rPr>
                        <w:rFonts w:ascii="Cambria Math" w:hAnsi="Cambria Math"/>
                        <w:sz w:val="22"/>
                        <w:szCs w:val="22"/>
                      </w:rPr>
                    </m:ctrlPr>
                  </m:e>
                  <m:sub>
                    <m:r>
                      <m:rPr>
                        <m:nor/>
                        <m:sty m:val="p"/>
                      </m:rPr>
                      <w:rPr>
                        <w:sz w:val="22"/>
                        <w:szCs w:val="22"/>
                      </w:rPr>
                      <m:t>j</m:t>
                    </m:r>
                    <m:ctrlPr>
                      <w:rPr>
                        <w:rFonts w:ascii="Cambria Math" w:hAnsi="Cambria Math"/>
                        <w:sz w:val="22"/>
                        <w:szCs w:val="22"/>
                      </w:rPr>
                    </m:ctrlPr>
                  </m:sub>
                </m:sSub>
                <m:ctrlPr>
                  <w:rPr>
                    <w:rFonts w:ascii="Cambria Math" w:hAnsi="Cambria Math"/>
                    <w:sz w:val="22"/>
                    <w:szCs w:val="22"/>
                  </w:rPr>
                </m:ctrlPr>
              </m:e>
            </m:nary>
            <m:ctrlPr>
              <w:rPr>
                <w:rFonts w:ascii="Cambria Math" w:hAnsi="Cambria Math"/>
                <w:sz w:val="22"/>
                <w:szCs w:val="22"/>
              </w:rPr>
            </m:ctrlPr>
          </m:e>
        </m:d>
        <m:r>
          <m:rPr>
            <m:sty m:val="p"/>
          </m:rPr>
          <w:rPr>
            <w:rFonts w:hint="eastAsia" w:ascii="Cambria Math" w:hAnsi="Cambria Math"/>
            <w:sz w:val="22"/>
            <w:szCs w:val="22"/>
          </w:rPr>
          <m:t>∕</m:t>
        </m:r>
        <m:sSub>
          <m:sSubPr>
            <m:ctrlPr>
              <w:rPr>
                <w:rFonts w:ascii="Cambria Math" w:hAnsi="Cambria Math"/>
                <w:sz w:val="22"/>
                <w:szCs w:val="22"/>
              </w:rPr>
            </m:ctrlPr>
          </m:sSubPr>
          <m:e>
            <m:r>
              <m:rPr>
                <m:nor/>
                <m:sty m:val="p"/>
              </m:rPr>
              <w:rPr>
                <w:sz w:val="22"/>
                <w:szCs w:val="22"/>
              </w:rPr>
              <m:t>A</m:t>
            </m:r>
            <m:ctrlPr>
              <w:rPr>
                <w:rFonts w:ascii="Cambria Math" w:hAnsi="Cambria Math"/>
                <w:sz w:val="22"/>
                <w:szCs w:val="22"/>
              </w:rPr>
            </m:ctrlPr>
          </m:e>
          <m:sub>
            <m:r>
              <m:rPr>
                <m:nor/>
                <m:sty m:val="p"/>
              </m:rPr>
              <w:rPr>
                <w:sz w:val="22"/>
                <w:szCs w:val="22"/>
              </w:rPr>
              <m:t>i</m:t>
            </m:r>
            <m:ctrlPr>
              <w:rPr>
                <w:rFonts w:ascii="Cambria Math" w:hAnsi="Cambria Math"/>
                <w:sz w:val="22"/>
                <w:szCs w:val="22"/>
              </w:rPr>
            </m:ctrlPr>
          </m:sub>
        </m:sSub>
      </m:oMath>
      <w:r>
        <w:rPr>
          <w:sz w:val="22"/>
          <w:szCs w:val="22"/>
        </w:rPr>
        <w:t xml:space="preserve">                                  (S15)</w:t>
      </w:r>
    </w:p>
    <w:p w14:paraId="380E98E5">
      <w:pPr>
        <w:ind w:firstLine="440"/>
      </w:pPr>
      <w:r>
        <w:t xml:space="preserve">where </w:t>
      </w:r>
      <m:oMath>
        <m:r>
          <m:rPr/>
          <w:rPr>
            <w:rFonts w:ascii="Cambria Math" w:hAnsi="Cambria Math"/>
          </w:rPr>
          <m:t>i</m:t>
        </m:r>
      </m:oMath>
      <w:r>
        <w:t xml:space="preserve"> identifies an individual residential building, </w:t>
      </w:r>
      <m:oMath>
        <m:r>
          <m:rPr/>
          <w:rPr>
            <w:rFonts w:ascii="Cambria Math" w:hAnsi="Cambria Math"/>
          </w:rPr>
          <m:t>j</m:t>
        </m:r>
      </m:oMath>
      <w:r>
        <w:t xml:space="preserve"> denotes any residential building included in the village-level summation, </w:t>
      </w:r>
      <m:oMath>
        <m:r>
          <m:rPr/>
          <w:rPr>
            <w:rFonts w:ascii="Cambria Math" w:hAnsi="Cambria Math"/>
          </w:rPr>
          <m:t>g</m:t>
        </m:r>
      </m:oMath>
      <w:r>
        <w:t xml:space="preserve"> denotes the administrative village, and </w:t>
      </w:r>
      <m:oMath>
        <m:r>
          <m:rPr/>
          <w:rPr>
            <w:rFonts w:ascii="Cambria Math" w:hAnsi="Cambria Math"/>
          </w:rPr>
          <m:t>t</m:t>
        </m:r>
      </m:oMath>
      <w:r>
        <w:t xml:space="preserve"> denotes the projection year. </w:t>
      </w:r>
      <m:oMath>
        <m:sSub>
          <m:sSubPr>
            <m:ctrlPr>
              <w:rPr>
                <w:rFonts w:ascii="Cambria Math" w:hAnsi="Cambria Math"/>
              </w:rPr>
            </m:ctrlPr>
          </m:sSubPr>
          <m:e>
            <m:r>
              <m:rPr>
                <m:nor/>
                <m:sty m:val="p"/>
              </m:rPr>
              <w:rPr>
                <w:rFonts w:eastAsia="宋体"/>
                <w:color w:val="000000"/>
              </w:rPr>
              <m:t>Pop</m:t>
            </m:r>
            <m:ctrlPr>
              <w:rPr>
                <w:rFonts w:ascii="Cambria Math" w:hAnsi="Cambria Math"/>
              </w:rPr>
            </m:ctrlPr>
          </m:e>
          <m:sub>
            <m:r>
              <m:rPr>
                <m:nor/>
                <m:sty m:val="p"/>
              </m:rPr>
              <w:rPr>
                <w:rFonts w:eastAsia="宋体"/>
                <w:color w:val="000000"/>
              </w:rPr>
              <m:t>g,t</m:t>
            </m:r>
            <m:ctrlPr>
              <w:rPr>
                <w:rFonts w:ascii="Cambria Math" w:hAnsi="Cambria Math"/>
              </w:rPr>
            </m:ctrlPr>
          </m:sub>
        </m:sSub>
      </m:oMath>
      <w:r>
        <w:t xml:space="preserve"> is the projected total population of village </w:t>
      </w:r>
      <m:oMath>
        <m:r>
          <m:rPr/>
          <w:rPr>
            <w:rFonts w:ascii="Cambria Math" w:hAnsi="Cambria Math"/>
          </w:rPr>
          <m:t>g</m:t>
        </m:r>
      </m:oMath>
      <w:r>
        <w:t xml:space="preserve"> in year </w:t>
      </w:r>
      <m:oMath>
        <m:r>
          <m:rPr/>
          <w:rPr>
            <w:rFonts w:ascii="Cambria Math" w:hAnsi="Cambria Math"/>
          </w:rPr>
          <m:t>t</m:t>
        </m:r>
      </m:oMath>
      <w:r>
        <w:t xml:space="preserve">, and </w:t>
      </w:r>
      <m:oMath>
        <m:sSub>
          <m:sSubPr>
            <m:ctrlPr>
              <w:rPr>
                <w:rFonts w:ascii="Cambria Math" w:hAnsi="Cambria Math"/>
              </w:rPr>
            </m:ctrlPr>
          </m:sSubPr>
          <m:e>
            <m:r>
              <m:rPr>
                <m:nor/>
                <m:sty m:val="p"/>
              </m:rPr>
              <w:rPr>
                <w:rFonts w:eastAsia="宋体"/>
                <w:color w:val="000000"/>
              </w:rPr>
              <m:t>Old</m:t>
            </m:r>
            <m:ctrlPr>
              <w:rPr>
                <w:rFonts w:ascii="Cambria Math" w:hAnsi="Cambria Math"/>
              </w:rPr>
            </m:ctrlPr>
          </m:e>
          <m:sub>
            <m:r>
              <m:rPr>
                <m:nor/>
                <m:sty m:val="p"/>
              </m:rPr>
              <w:rPr>
                <w:rFonts w:eastAsia="宋体"/>
                <w:color w:val="000000"/>
              </w:rPr>
              <m:t>g,t</m:t>
            </m:r>
            <m:ctrlPr>
              <w:rPr>
                <w:rFonts w:ascii="Cambria Math" w:hAnsi="Cambria Math"/>
              </w:rPr>
            </m:ctrlPr>
          </m:sub>
        </m:sSub>
      </m:oMath>
      <w:r>
        <w:t xml:space="preserve"> is the projected population aged 65 years and above in that village and year; both are measured in persons. </w:t>
      </w:r>
      <m:oMath>
        <m:sSub>
          <m:sSubPr>
            <m:ctrlPr>
              <w:rPr>
                <w:rFonts w:ascii="Cambria Math" w:hAnsi="Cambria Math"/>
              </w:rPr>
            </m:ctrlPr>
          </m:sSubPr>
          <m:e>
            <m:r>
              <m:rPr>
                <m:nor/>
                <m:sty m:val="p"/>
              </m:rPr>
              <w:rPr>
                <w:rFonts w:eastAsia="宋体"/>
                <w:color w:val="000000"/>
              </w:rPr>
              <m:t>Pop</m:t>
            </m:r>
            <m:ctrlPr>
              <w:rPr>
                <w:rFonts w:ascii="Cambria Math" w:hAnsi="Cambria Math"/>
              </w:rPr>
            </m:ctrlPr>
          </m:e>
          <m:sub>
            <m:r>
              <m:rPr>
                <m:nor/>
                <m:sty m:val="p"/>
              </m:rPr>
              <w:rPr>
                <w:rFonts w:eastAsia="宋体"/>
                <w:color w:val="000000"/>
              </w:rPr>
              <m:t>i,t</m:t>
            </m:r>
            <m:ctrlPr>
              <w:rPr>
                <w:rFonts w:ascii="Cambria Math" w:hAnsi="Cambria Math"/>
              </w:rPr>
            </m:ctrlPr>
          </m:sub>
        </m:sSub>
      </m:oMath>
      <w:r>
        <w:t xml:space="preserve"> and </w:t>
      </w:r>
      <m:oMath>
        <m:sSub>
          <m:sSubPr>
            <m:ctrlPr>
              <w:rPr>
                <w:rFonts w:ascii="Cambria Math" w:hAnsi="Cambria Math"/>
              </w:rPr>
            </m:ctrlPr>
          </m:sSubPr>
          <m:e>
            <m:r>
              <m:rPr>
                <m:nor/>
                <m:sty m:val="p"/>
              </m:rPr>
              <w:rPr>
                <w:color w:val="000000"/>
              </w:rPr>
              <m:t>Old</m:t>
            </m:r>
            <m:ctrlPr>
              <w:rPr>
                <w:rFonts w:ascii="Cambria Math" w:hAnsi="Cambria Math"/>
              </w:rPr>
            </m:ctrlPr>
          </m:e>
          <m:sub>
            <m:r>
              <m:rPr>
                <m:nor/>
                <m:sty m:val="p"/>
              </m:rPr>
              <w:rPr>
                <w:rFonts w:eastAsia="宋体"/>
                <w:color w:val="000000"/>
              </w:rPr>
              <m:t>i,t</m:t>
            </m:r>
            <m:ctrlPr>
              <w:rPr>
                <w:rFonts w:ascii="Cambria Math" w:hAnsi="Cambria Math"/>
              </w:rPr>
            </m:ctrlPr>
          </m:sub>
        </m:sSub>
      </m:oMath>
      <w:r>
        <w:t xml:space="preserve"> are the corresponding total and older-adult populations allocated to building </w:t>
      </w:r>
      <m:oMath>
        <m:r>
          <m:rPr/>
          <w:rPr>
            <w:rFonts w:ascii="Cambria Math" w:hAnsi="Cambria Math"/>
          </w:rPr>
          <m:t>i</m:t>
        </m:r>
      </m:oMath>
      <w:r>
        <w:t xml:space="preserve">. Because these are area-weighted estimates rather than headcounts observed at individual buildings, they may take non-integer values. </w:t>
      </w:r>
      <m:oMath>
        <m:sSub>
          <m:sSubPr>
            <m:ctrlPr>
              <w:rPr>
                <w:rFonts w:ascii="Cambria Math" w:hAnsi="Cambria Math"/>
              </w:rPr>
            </m:ctrlPr>
          </m:sSubPr>
          <m:e>
            <m:r>
              <m:rPr>
                <m:nor/>
                <m:sty m:val="p"/>
              </m:rPr>
              <w:rPr>
                <w:color w:val="000000"/>
              </w:rPr>
              <m:t>A</m:t>
            </m:r>
            <m:ctrlPr>
              <w:rPr>
                <w:rFonts w:ascii="Cambria Math" w:hAnsi="Cambria Math"/>
              </w:rPr>
            </m:ctrlPr>
          </m:e>
          <m:sub>
            <m:r>
              <m:rPr>
                <m:nor/>
                <m:sty m:val="p"/>
              </m:rPr>
              <w:rPr>
                <w:color w:val="000000"/>
              </w:rPr>
              <m:t>i</m:t>
            </m:r>
            <m:ctrlPr>
              <w:rPr>
                <w:rFonts w:ascii="Cambria Math" w:hAnsi="Cambria Math"/>
              </w:rPr>
            </m:ctrlPr>
          </m:sub>
        </m:sSub>
      </m:oMath>
      <w:r>
        <w:rPr>
          <w:rFonts w:eastAsia="宋体"/>
          <w:color w:val="000000"/>
        </w:rPr>
        <w:t xml:space="preserve"> </w:t>
      </w:r>
      <w:r>
        <w:t xml:space="preserve">and </w:t>
      </w:r>
      <m:oMath>
        <m:sSub>
          <m:sSubPr>
            <m:ctrlPr>
              <w:rPr>
                <w:rFonts w:ascii="Cambria Math" w:hAnsi="Cambria Math"/>
              </w:rPr>
            </m:ctrlPr>
          </m:sSubPr>
          <m:e>
            <m:r>
              <m:rPr>
                <m:nor/>
                <m:sty m:val="p"/>
              </m:rPr>
              <w:rPr>
                <w:color w:val="000000"/>
              </w:rPr>
              <m:t>A</m:t>
            </m:r>
            <m:ctrlPr>
              <w:rPr>
                <w:rFonts w:ascii="Cambria Math" w:hAnsi="Cambria Math"/>
              </w:rPr>
            </m:ctrlPr>
          </m:e>
          <m:sub>
            <m:r>
              <m:rPr>
                <m:nor/>
                <m:sty m:val="p"/>
              </m:rPr>
              <w:rPr>
                <w:color w:val="000000"/>
              </w:rPr>
              <m:t>j</m:t>
            </m:r>
            <m:ctrlPr>
              <w:rPr>
                <w:rFonts w:ascii="Cambria Math" w:hAnsi="Cambria Math"/>
              </w:rPr>
            </m:ctrlPr>
          </m:sub>
        </m:sSub>
      </m:oMath>
      <w:r>
        <w:rPr>
          <w:rFonts w:eastAsia="宋体"/>
          <w:color w:val="000000"/>
        </w:rPr>
        <w:t xml:space="preserve"> </w:t>
      </w:r>
      <w:r>
        <w:t xml:space="preserve">denote the residential floor areas of buildings </w:t>
      </w:r>
      <m:oMath>
        <m:r>
          <m:rPr/>
          <w:rPr>
            <w:rFonts w:ascii="Cambria Math" w:hAnsi="Cambria Math"/>
          </w:rPr>
          <m:t>i</m:t>
        </m:r>
      </m:oMath>
      <w:r>
        <w:t xml:space="preserve"> and</w:t>
      </w:r>
      <m:oMath>
        <m:r>
          <m:rPr/>
          <w:rPr>
            <w:rFonts w:ascii="Cambria Math" w:hAnsi="Cambria Math"/>
          </w:rPr>
          <m:t xml:space="preserve"> j</m:t>
        </m:r>
      </m:oMath>
      <w:r>
        <w:t xml:space="preserve">, respectively, measured in square metres (m²). The term </w:t>
      </w:r>
      <m:oMath>
        <m:nary>
          <m:naryPr>
            <m:chr m:val="∑"/>
            <m:limLoc m:val="subSup"/>
            <m:supHide m:val="1"/>
            <m:ctrlPr>
              <w:rPr>
                <w:rFonts w:ascii="Cambria Math" w:hAnsi="Cambria Math"/>
              </w:rPr>
            </m:ctrlPr>
          </m:naryPr>
          <m:sub>
            <m:r>
              <m:rPr>
                <m:nor/>
                <m:sty m:val="p"/>
              </m:rPr>
              <w:rPr>
                <w:rFonts w:eastAsia="Cambria Math"/>
                <w:vertAlign w:val="subscript"/>
              </w:rPr>
              <m:t>j</m:t>
            </m:r>
            <m:r>
              <m:rPr>
                <m:nor/>
                <m:sty m:val="p"/>
              </m:rPr>
              <w:rPr>
                <w:rFonts w:hint="eastAsia" w:ascii="Cambria Math" w:hAnsi="Cambria Math" w:eastAsia="Cambria Math" w:cs="Cambria Math"/>
                <w:vertAlign w:val="subscript"/>
              </w:rPr>
              <m:t>∈</m:t>
            </m:r>
            <m:r>
              <m:rPr>
                <m:nor/>
                <m:sty m:val="p"/>
              </m:rPr>
              <w:rPr>
                <w:rFonts w:eastAsia="Cambria Math"/>
                <w:vertAlign w:val="subscript"/>
              </w:rPr>
              <m:t>g</m:t>
            </m:r>
            <m:ctrlPr>
              <w:rPr>
                <w:rFonts w:ascii="Cambria Math" w:hAnsi="Cambria Math"/>
              </w:rPr>
            </m:ctrlPr>
          </m:sub>
          <m:sup>
            <m:ctrlPr>
              <w:rPr>
                <w:rFonts w:ascii="Cambria Math" w:hAnsi="Cambria Math"/>
              </w:rPr>
            </m:ctrlPr>
          </m:sup>
          <m:e>
            <m:sSub>
              <m:sSubPr>
                <m:ctrlPr>
                  <w:rPr>
                    <w:rFonts w:ascii="Cambria Math" w:hAnsi="Cambria Math"/>
                  </w:rPr>
                </m:ctrlPr>
              </m:sSubPr>
              <m:e>
                <m:r>
                  <m:rPr>
                    <m:nor/>
                    <m:sty m:val="p"/>
                  </m:rPr>
                  <w:rPr>
                    <w:color w:val="000000"/>
                  </w:rPr>
                  <m:t>A</m:t>
                </m:r>
                <m:ctrlPr>
                  <w:rPr>
                    <w:rFonts w:ascii="Cambria Math" w:hAnsi="Cambria Math"/>
                  </w:rPr>
                </m:ctrlPr>
              </m:e>
              <m:sub>
                <m:r>
                  <m:rPr>
                    <m:nor/>
                    <m:sty m:val="p"/>
                  </m:rPr>
                  <w:rPr>
                    <w:color w:val="000000"/>
                  </w:rPr>
                  <m:t>j</m:t>
                </m:r>
                <m:ctrlPr>
                  <w:rPr>
                    <w:rFonts w:ascii="Cambria Math" w:hAnsi="Cambria Math"/>
                  </w:rPr>
                </m:ctrlPr>
              </m:sub>
            </m:sSub>
            <m:ctrlPr>
              <w:rPr>
                <w:rFonts w:ascii="Cambria Math" w:hAnsi="Cambria Math"/>
              </w:rPr>
            </m:ctrlPr>
          </m:e>
        </m:nary>
      </m:oMath>
      <w:r>
        <w:t xml:space="preserve"> is the total residential floor area of all residential buildings in village </w:t>
      </w:r>
      <m:oMath>
        <m:r>
          <m:rPr/>
          <w:rPr>
            <w:rFonts w:ascii="Cambria Math" w:hAnsi="Cambria Math"/>
          </w:rPr>
          <m:t>g</m:t>
        </m:r>
      </m:oMath>
      <w:r>
        <w:t xml:space="preserve">, also measured in m². Accordingly, </w:t>
      </w:r>
      <m:oMath>
        <m:sSub>
          <m:sSubPr>
            <m:ctrlPr>
              <w:rPr>
                <w:rFonts w:ascii="Cambria Math" w:hAnsi="Cambria Math"/>
              </w:rPr>
            </m:ctrlPr>
          </m:sSubPr>
          <m:e>
            <m:r>
              <m:rPr>
                <m:nor/>
                <m:sty m:val="p"/>
              </m:rPr>
              <w:rPr>
                <w:color w:val="000000"/>
              </w:rPr>
              <m:t>A</m:t>
            </m:r>
            <m:ctrlPr>
              <w:rPr>
                <w:rFonts w:ascii="Cambria Math" w:hAnsi="Cambria Math"/>
              </w:rPr>
            </m:ctrlPr>
          </m:e>
          <m:sub>
            <m:r>
              <m:rPr>
                <m:nor/>
                <m:sty m:val="p"/>
              </m:rPr>
              <w:rPr>
                <w:color w:val="000000"/>
              </w:rPr>
              <m:t>i</m:t>
            </m:r>
            <m:ctrlPr>
              <w:rPr>
                <w:rFonts w:ascii="Cambria Math" w:hAnsi="Cambria Math"/>
              </w:rPr>
            </m:ctrlPr>
          </m:sub>
        </m:sSub>
        <m:r>
          <m:rPr>
            <m:sty m:val="p"/>
          </m:rPr>
          <w:rPr>
            <w:rFonts w:ascii="Cambria Math" w:hAnsi="Cambria Math"/>
            <w:color w:val="000000"/>
          </w:rPr>
          <m:t>∕</m:t>
        </m:r>
        <m:nary>
          <m:naryPr>
            <m:chr m:val="∑"/>
            <m:limLoc m:val="subSup"/>
            <m:supHide m:val="1"/>
            <m:ctrlPr>
              <w:rPr>
                <w:rFonts w:ascii="Cambria Math" w:hAnsi="Cambria Math"/>
              </w:rPr>
            </m:ctrlPr>
          </m:naryPr>
          <m:sub>
            <m:r>
              <m:rPr>
                <m:nor/>
                <m:sty m:val="p"/>
              </m:rPr>
              <w:rPr>
                <w:rFonts w:eastAsia="Cambria Math"/>
                <w:vertAlign w:val="subscript"/>
              </w:rPr>
              <m:t>j</m:t>
            </m:r>
            <w:bookmarkStart w:id="26" w:name="OLE_LINK3"/>
            <m:r>
              <m:rPr>
                <m:nor/>
                <m:sty m:val="p"/>
              </m:rPr>
              <w:rPr>
                <w:rFonts w:hint="eastAsia" w:ascii="Cambria Math" w:hAnsi="Cambria Math" w:eastAsia="Cambria Math" w:cs="Cambria Math"/>
                <w:vertAlign w:val="subscript"/>
              </w:rPr>
              <m:t>∈</m:t>
            </m:r>
            <w:bookmarkEnd w:id="26"/>
            <m:r>
              <m:rPr>
                <m:nor/>
                <m:sty m:val="p"/>
              </m:rPr>
              <w:rPr>
                <w:rFonts w:eastAsia="Cambria Math"/>
                <w:vertAlign w:val="subscript"/>
              </w:rPr>
              <m:t>g</m:t>
            </m:r>
            <m:ctrlPr>
              <w:rPr>
                <w:rFonts w:ascii="Cambria Math" w:hAnsi="Cambria Math"/>
              </w:rPr>
            </m:ctrlPr>
          </m:sub>
          <m:sup>
            <m:ctrlPr>
              <w:rPr>
                <w:rFonts w:ascii="Cambria Math" w:hAnsi="Cambria Math"/>
              </w:rPr>
            </m:ctrlPr>
          </m:sup>
          <m:e>
            <m:sSub>
              <m:sSubPr>
                <m:ctrlPr>
                  <w:rPr>
                    <w:rFonts w:ascii="Cambria Math" w:hAnsi="Cambria Math"/>
                  </w:rPr>
                </m:ctrlPr>
              </m:sSubPr>
              <m:e>
                <m:r>
                  <m:rPr>
                    <m:nor/>
                    <m:sty m:val="p"/>
                  </m:rPr>
                  <w:rPr>
                    <w:color w:val="000000"/>
                  </w:rPr>
                  <m:t>A</m:t>
                </m:r>
                <m:ctrlPr>
                  <w:rPr>
                    <w:rFonts w:ascii="Cambria Math" w:hAnsi="Cambria Math"/>
                  </w:rPr>
                </m:ctrlPr>
              </m:e>
              <m:sub>
                <m:r>
                  <m:rPr>
                    <m:nor/>
                    <m:sty m:val="p"/>
                  </m:rPr>
                  <w:rPr>
                    <w:color w:val="000000"/>
                  </w:rPr>
                  <m:t>j</m:t>
                </m:r>
                <m:ctrlPr>
                  <w:rPr>
                    <w:rFonts w:ascii="Cambria Math" w:hAnsi="Cambria Math"/>
                  </w:rPr>
                </m:ctrlPr>
              </m:sub>
            </m:sSub>
            <m:ctrlPr>
              <w:rPr>
                <w:rFonts w:ascii="Cambria Math" w:hAnsi="Cambria Math"/>
              </w:rPr>
            </m:ctrlPr>
          </m:e>
        </m:nary>
      </m:oMath>
      <w:r>
        <w:t xml:space="preserve"> is the dimensionless share of village residential floor area represented by building </w:t>
      </w:r>
      <m:oMath>
        <m:r>
          <m:rPr/>
          <w:rPr>
            <w:rFonts w:ascii="Cambria Math" w:hAnsi="Cambria Math"/>
          </w:rPr>
          <m:t>i</m:t>
        </m:r>
      </m:oMath>
      <w:r>
        <w:t xml:space="preserve"> and is used as the population-allocation weight. These weights sum to one within each village, so the allocated building-level populations preserve the original village-level demographic totals. </w:t>
      </w:r>
      <m:oMath>
        <m:sSub>
          <m:sSubPr>
            <m:ctrlPr>
              <w:rPr>
                <w:rFonts w:ascii="Cambria Math" w:hAnsi="Cambria Math"/>
              </w:rPr>
            </m:ctrlPr>
          </m:sSubPr>
          <m:e>
            <m:r>
              <m:rPr>
                <m:nor/>
                <m:sty m:val="p"/>
              </m:rPr>
              <w:rPr>
                <w:rFonts w:eastAsia="宋体"/>
                <w:color w:val="000000"/>
              </w:rPr>
              <m:t>InvPFA</m:t>
            </m:r>
            <m:ctrlPr>
              <w:rPr>
                <w:rFonts w:ascii="Cambria Math" w:hAnsi="Cambria Math"/>
              </w:rPr>
            </m:ctrlPr>
          </m:e>
          <m:sub>
            <m:r>
              <m:rPr>
                <m:nor/>
                <m:sty m:val="p"/>
              </m:rPr>
              <w:rPr>
                <w:rFonts w:eastAsia="宋体"/>
                <w:color w:val="000000"/>
              </w:rPr>
              <m:t>i,t</m:t>
            </m:r>
            <m:ctrlPr>
              <w:rPr>
                <w:rFonts w:ascii="Cambria Math" w:hAnsi="Cambria Math"/>
              </w:rPr>
            </m:ctrlPr>
          </m:sub>
        </m:sSub>
      </m:oMath>
      <w:r>
        <w:t xml:space="preserve"> is the inverse per-capita residential floor area of building </w:t>
      </w:r>
      <m:oMath>
        <m:r>
          <m:rPr/>
          <w:rPr>
            <w:rFonts w:ascii="Cambria Math" w:hAnsi="Cambria Math"/>
          </w:rPr>
          <m:t>i</m:t>
        </m:r>
      </m:oMath>
      <w:r>
        <w:t xml:space="preserve"> in year </w:t>
      </w:r>
      <m:oMath>
        <m:r>
          <m:rPr/>
          <w:rPr>
            <w:rFonts w:ascii="Cambria Math" w:hAnsi="Cambria Math"/>
          </w:rPr>
          <m:t>t</m:t>
        </m:r>
      </m:oMath>
      <w:r>
        <w:t xml:space="preserve">. It is calculated by dividing the allocated building population by the building's residential floor area. </w:t>
      </w:r>
    </w:p>
    <w:p w14:paraId="230C4F67">
      <w:pPr>
        <w:pStyle w:val="30"/>
        <w:spacing w:after="60"/>
        <w:ind w:firstLine="440"/>
        <w:rPr>
          <w:sz w:val="22"/>
          <w:szCs w:val="22"/>
        </w:rPr>
      </w:pPr>
      <w:r>
        <w:rPr>
          <w:color w:val="000000"/>
          <w:sz w:val="22"/>
          <w:szCs w:val="22"/>
        </w:rPr>
        <w:t>This design enables renewal priority to respond not only to physical ageing but also to changing social demand. For example, population decline may reduce pressure in some areas, whereas increasing building-scale older-adult population or higher inverse per-capita residential floor area may elevate the urgency of intervention in others. The social dimension therefore introduces spatially differentiated demographic trajectories into the projection of future renewal demand.</w:t>
      </w:r>
    </w:p>
    <w:p w14:paraId="2A4EDD77">
      <w:pPr>
        <w:pStyle w:val="29"/>
      </w:pPr>
      <w:bookmarkStart w:id="27" w:name="_Toc227181487"/>
      <w:r>
        <w:t>S4.5 Cohort-component population projection</w:t>
      </w:r>
      <w:bookmarkEnd w:id="27"/>
    </w:p>
    <w:p w14:paraId="2E92D6CD">
      <w:pPr>
        <w:pStyle w:val="30"/>
        <w:spacing w:line="276" w:lineRule="auto"/>
        <w:ind w:firstLine="440"/>
        <w:rPr>
          <w:sz w:val="22"/>
          <w:szCs w:val="22"/>
        </w:rPr>
      </w:pPr>
      <w:r>
        <w:rPr>
          <w:sz w:val="22"/>
          <w:szCs w:val="22"/>
        </w:rPr>
        <w:t xml:space="preserve">Future village-level population and age structure were projected using the cohort-component method, implemented in five-year age groups and five-year time steps from the 2020 census baseline to 2050. This method updates the population through the three demographic components of change: births, deaths and net migration. Detailed demographic assumptions are reported in </w:t>
      </w:r>
      <w:r>
        <w:rPr>
          <w:color w:val="0563C1"/>
          <w:sz w:val="22"/>
          <w:szCs w:val="22"/>
        </w:rPr>
        <w:t>Supplementary Table 3</w:t>
      </w:r>
      <w:r>
        <w:rPr>
          <w:sz w:val="22"/>
          <w:szCs w:val="22"/>
        </w:rPr>
        <w:t>.</w:t>
      </w:r>
    </w:p>
    <w:p w14:paraId="524755A1">
      <w:pPr>
        <w:pStyle w:val="30"/>
        <w:spacing w:line="276" w:lineRule="auto"/>
        <w:ind w:firstLine="440"/>
        <w:rPr>
          <w:sz w:val="22"/>
          <w:szCs w:val="22"/>
        </w:rPr>
      </w:pPr>
      <w:r>
        <w:rPr>
          <w:sz w:val="22"/>
          <w:szCs w:val="22"/>
        </w:rPr>
        <w:t>For each projection interval, surviving cohorts were advanced according to age- and sex-specific survival probabilities. Births were generated by applying age-specific fertility rates to women of reproductive age and allocated by sex using the assumed sex ratio at birth. Net migration was added after natural change to represent local redistribution</w:t>
      </w:r>
      <w:r>
        <w:rPr>
          <w:sz w:val="22"/>
          <w:szCs w:val="22"/>
          <w:vertAlign w:val="superscript"/>
        </w:rPr>
        <w:t>2,11,12</w:t>
      </w:r>
      <w:r>
        <w:rPr>
          <w:sz w:val="22"/>
          <w:szCs w:val="22"/>
        </w:rPr>
        <w:t>.</w:t>
      </w:r>
    </w:p>
    <w:p w14:paraId="15ACF58E">
      <w:pPr>
        <w:pStyle w:val="30"/>
        <w:spacing w:line="276" w:lineRule="auto"/>
        <w:ind w:firstLine="440"/>
        <w:rPr>
          <w:sz w:val="22"/>
          <w:szCs w:val="22"/>
        </w:rPr>
      </w:pPr>
      <w:r>
        <w:rPr>
          <w:sz w:val="22"/>
          <w:szCs w:val="22"/>
        </w:rPr>
        <w:t>The population accounting identity can be expressed as:</w:t>
      </w:r>
    </w:p>
    <w:p w14:paraId="275509ED">
      <w:pPr>
        <w:pStyle w:val="31"/>
        <w:spacing w:before="0" w:after="0" w:line="240" w:lineRule="auto"/>
        <w:rPr>
          <w:sz w:val="22"/>
          <w:szCs w:val="22"/>
        </w:rPr>
      </w:pPr>
      <m:oMath>
        <m:sSub>
          <m:sSubPr>
            <m:ctrlPr>
              <w:rPr>
                <w:rFonts w:ascii="Cambria Math" w:hAnsi="Cambria Math"/>
                <w:sz w:val="22"/>
                <w:szCs w:val="22"/>
              </w:rPr>
            </m:ctrlPr>
          </m:sSubPr>
          <m:e>
            <m:r>
              <m:rPr>
                <m:sty m:val="p"/>
              </m:rPr>
              <w:rPr>
                <w:rFonts w:ascii="Cambria Math" w:hAnsi="Cambria Math"/>
                <w:sz w:val="22"/>
                <w:szCs w:val="22"/>
              </w:rPr>
              <m:t>P</m:t>
            </m:r>
            <m:ctrlPr>
              <w:rPr>
                <w:rFonts w:ascii="Cambria Math" w:hAnsi="Cambria Math"/>
                <w:sz w:val="22"/>
                <w:szCs w:val="22"/>
              </w:rPr>
            </m:ctrlPr>
          </m:e>
          <m:sub>
            <m:r>
              <m:rPr>
                <m:sty m:val="p"/>
              </m:rPr>
              <w:rPr>
                <w:rFonts w:ascii="Cambria Math" w:hAnsi="Cambria Math"/>
                <w:sz w:val="22"/>
                <w:szCs w:val="22"/>
              </w:rPr>
              <m:t>g,t+5</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Survive</m:t>
            </m:r>
            <m:ctrlPr>
              <w:rPr>
                <w:rFonts w:ascii="Cambria Math" w:hAnsi="Cambria Math"/>
                <w:sz w:val="22"/>
                <w:szCs w:val="22"/>
              </w:rPr>
            </m:ctrlPr>
          </m:e>
          <m:sub>
            <m:r>
              <m:rPr>
                <m:sty m:val="p"/>
              </m:rPr>
              <w:rPr>
                <w:rFonts w:ascii="Cambria Math" w:hAnsi="Cambria Math"/>
                <w:sz w:val="22"/>
                <w:szCs w:val="22"/>
              </w:rPr>
              <m:t>g,t,t+5</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Birth</m:t>
            </m:r>
            <m:ctrlPr>
              <w:rPr>
                <w:rFonts w:ascii="Cambria Math" w:hAnsi="Cambria Math"/>
                <w:sz w:val="22"/>
                <w:szCs w:val="22"/>
              </w:rPr>
            </m:ctrlPr>
          </m:e>
          <m:sub>
            <m:r>
              <m:rPr>
                <m:sty m:val="p"/>
              </m:rPr>
              <w:rPr>
                <w:rFonts w:ascii="Cambria Math" w:hAnsi="Cambria Math"/>
                <w:sz w:val="22"/>
                <w:szCs w:val="22"/>
              </w:rPr>
              <m:t>g,t,t+5</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Mig</m:t>
            </m:r>
            <m:ctrlPr>
              <w:rPr>
                <w:rFonts w:ascii="Cambria Math" w:hAnsi="Cambria Math"/>
                <w:sz w:val="22"/>
                <w:szCs w:val="22"/>
              </w:rPr>
            </m:ctrlPr>
          </m:e>
          <m:sub>
            <m:r>
              <m:rPr>
                <m:sty m:val="p"/>
              </m:rPr>
              <w:rPr>
                <w:rFonts w:ascii="Cambria Math" w:hAnsi="Cambria Math"/>
                <w:sz w:val="22"/>
                <w:szCs w:val="22"/>
              </w:rPr>
              <m:t>g,t,t+5</m:t>
            </m:r>
            <m:ctrlPr>
              <w:rPr>
                <w:rFonts w:ascii="Cambria Math" w:hAnsi="Cambria Math"/>
                <w:sz w:val="22"/>
                <w:szCs w:val="22"/>
              </w:rPr>
            </m:ctrlPr>
          </m:sub>
        </m:sSub>
      </m:oMath>
      <w:r>
        <w:rPr>
          <w:sz w:val="22"/>
          <w:szCs w:val="22"/>
        </w:rPr>
        <w:t xml:space="preserve">        </w:t>
      </w:r>
      <w:r>
        <w:rPr>
          <w:rFonts w:eastAsia="宋体"/>
          <w:sz w:val="22"/>
          <w:szCs w:val="22"/>
        </w:rPr>
        <w:t xml:space="preserve">   </w:t>
      </w:r>
      <w:r>
        <w:rPr>
          <w:sz w:val="22"/>
          <w:szCs w:val="22"/>
        </w:rPr>
        <w:t xml:space="preserve">             (S16)</w:t>
      </w:r>
    </w:p>
    <w:p w14:paraId="046A8B90">
      <w:pPr>
        <w:pStyle w:val="30"/>
        <w:spacing w:line="276" w:lineRule="auto"/>
        <w:ind w:firstLine="440"/>
        <w:rPr>
          <w:sz w:val="22"/>
          <w:szCs w:val="22"/>
        </w:rPr>
      </w:pPr>
      <w:r>
        <w:rPr>
          <w:sz w:val="22"/>
          <w:szCs w:val="22"/>
        </w:rPr>
        <w:t xml:space="preserve">where </w:t>
      </w:r>
      <m:oMath>
        <m:sSub>
          <m:sSubPr>
            <m:ctrlPr>
              <w:rPr>
                <w:rFonts w:ascii="Cambria Math" w:hAnsi="Cambria Math"/>
                <w:sz w:val="22"/>
                <w:szCs w:val="22"/>
              </w:rPr>
            </m:ctrlPr>
          </m:sSubPr>
          <m:e>
            <m:r>
              <m:rPr/>
              <w:rPr>
                <w:rFonts w:ascii="Cambria Math" w:hAnsi="Cambria Math"/>
                <w:sz w:val="22"/>
                <w:szCs w:val="22"/>
              </w:rPr>
              <m:t>P</m:t>
            </m:r>
            <m:ctrlPr>
              <w:rPr>
                <w:rFonts w:ascii="Cambria Math" w:hAnsi="Cambria Math"/>
                <w:sz w:val="22"/>
                <w:szCs w:val="22"/>
              </w:rPr>
            </m:ctrlPr>
          </m:e>
          <m:sub>
            <m:r>
              <m:rPr/>
              <w:rPr>
                <w:rFonts w:ascii="Cambria Math" w:hAnsi="Cambria Math"/>
                <w:sz w:val="22"/>
                <w:szCs w:val="22"/>
              </w:rPr>
              <m:t>g,t+5</m:t>
            </m:r>
            <m:ctrlPr>
              <w:rPr>
                <w:rFonts w:ascii="Cambria Math" w:hAnsi="Cambria Math"/>
                <w:sz w:val="22"/>
                <w:szCs w:val="22"/>
              </w:rPr>
            </m:ctrlPr>
          </m:sub>
        </m:sSub>
      </m:oMath>
      <w:r>
        <w:rPr>
          <w:sz w:val="22"/>
          <w:szCs w:val="22"/>
        </w:rPr>
        <w:t xml:space="preserve"> is the projected population of village </w:t>
      </w:r>
      <w:r>
        <w:rPr>
          <w:rFonts w:ascii="Cambria Math" w:hAnsi="Cambria Math" w:cs="Cambria Math"/>
          <w:sz w:val="22"/>
          <w:szCs w:val="22"/>
        </w:rPr>
        <w:t>𝑔</w:t>
      </w:r>
      <w:r>
        <w:rPr>
          <w:sz w:val="22"/>
          <w:szCs w:val="22"/>
        </w:rPr>
        <w:t xml:space="preserve"> at the end of the interval, and the three terms on the right-hand side denote surviving population, births and net migration.</w:t>
      </w:r>
    </w:p>
    <w:p w14:paraId="0678CB36">
      <w:pPr>
        <w:pStyle w:val="30"/>
        <w:spacing w:line="276" w:lineRule="auto"/>
        <w:ind w:firstLine="440"/>
        <w:rPr>
          <w:sz w:val="22"/>
          <w:szCs w:val="22"/>
        </w:rPr>
      </w:pPr>
      <w:r>
        <w:rPr>
          <w:sz w:val="22"/>
          <w:szCs w:val="22"/>
        </w:rPr>
        <w:t>Three demographic scenarios—low, medium and high—vary fertility while retaining the baseline age pattern. Mortality follows recent life-table estimates with gradual improvement, and net migration converges progressively towards zero by 2050. These assumptions bound demographic uncertainty without generating implausibly divergent long-run migration paths</w:t>
      </w:r>
      <w:r>
        <w:rPr>
          <w:sz w:val="22"/>
          <w:szCs w:val="22"/>
          <w:vertAlign w:val="superscript"/>
        </w:rPr>
        <w:t>11,13,14</w:t>
      </w:r>
      <w:r>
        <w:rPr>
          <w:sz w:val="22"/>
          <w:szCs w:val="22"/>
        </w:rPr>
        <w:t>.</w:t>
      </w:r>
    </w:p>
    <w:p w14:paraId="63189D6C">
      <w:pPr>
        <w:pStyle w:val="30"/>
        <w:spacing w:line="276" w:lineRule="auto"/>
        <w:ind w:firstLine="440"/>
        <w:rPr>
          <w:sz w:val="22"/>
          <w:szCs w:val="22"/>
        </w:rPr>
      </w:pPr>
      <w:r>
        <w:rPr>
          <w:sz w:val="22"/>
          <w:szCs w:val="22"/>
        </w:rPr>
        <w:t>From the projected age structure, the population aged 65 years and above was extracted to calculate the older adult population:</w:t>
      </w:r>
    </w:p>
    <w:p w14:paraId="425C2B06">
      <w:pPr>
        <w:pStyle w:val="31"/>
        <w:spacing w:before="0" w:after="0" w:line="240" w:lineRule="auto"/>
        <w:rPr>
          <w:sz w:val="22"/>
          <w:szCs w:val="22"/>
        </w:rPr>
      </w:pPr>
      <m:oMath>
        <m:sSub>
          <m:sSubPr>
            <m:ctrlPr>
              <w:rPr>
                <w:rFonts w:ascii="Cambria Math" w:hAnsi="Cambria Math"/>
                <w:sz w:val="22"/>
                <w:szCs w:val="22"/>
              </w:rPr>
            </m:ctrlPr>
          </m:sSubPr>
          <m:e>
            <m:r>
              <m:rPr>
                <m:sty m:val="p"/>
              </m:rPr>
              <w:rPr>
                <w:rFonts w:ascii="Cambria Math" w:hAnsi="Cambria Math"/>
                <w:sz w:val="22"/>
                <w:szCs w:val="22"/>
              </w:rPr>
              <m:t>Older</m:t>
            </m:r>
            <m:ctrlPr>
              <w:rPr>
                <w:rFonts w:ascii="Cambria Math" w:hAnsi="Cambria Math"/>
                <w:sz w:val="22"/>
                <w:szCs w:val="22"/>
              </w:rPr>
            </m:ctrlPr>
          </m:e>
          <m:sub>
            <m:r>
              <m:rPr>
                <m:sty m:val="p"/>
              </m:rPr>
              <w:rPr>
                <w:rFonts w:ascii="Cambria Math" w:hAnsi="Cambria Math"/>
                <w:sz w:val="22"/>
                <w:szCs w:val="22"/>
              </w:rPr>
              <m:t>g,t</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O</m:t>
            </m:r>
            <m:ctrlPr>
              <w:rPr>
                <w:rFonts w:ascii="Cambria Math" w:hAnsi="Cambria Math"/>
                <w:sz w:val="22"/>
                <w:szCs w:val="22"/>
              </w:rPr>
            </m:ctrlPr>
          </m:e>
          <m:sub>
            <m:r>
              <m:rPr>
                <m:sty m:val="p"/>
              </m:rPr>
              <w:rPr>
                <w:rFonts w:ascii="Cambria Math" w:hAnsi="Cambria Math"/>
                <w:sz w:val="22"/>
                <w:szCs w:val="22"/>
              </w:rPr>
              <m:t>g,t</m:t>
            </m:r>
            <m:ctrlPr>
              <w:rPr>
                <w:rFonts w:ascii="Cambria Math" w:hAnsi="Cambria Math"/>
                <w:sz w:val="22"/>
                <w:szCs w:val="22"/>
              </w:rPr>
            </m:ctrlPr>
          </m:sub>
        </m:sSub>
      </m:oMath>
      <w:r>
        <w:rPr>
          <w:sz w:val="22"/>
          <w:szCs w:val="22"/>
        </w:rPr>
        <w:t xml:space="preserve">               </w:t>
      </w:r>
      <w:r>
        <w:rPr>
          <w:rFonts w:eastAsia="宋体"/>
          <w:sz w:val="22"/>
          <w:szCs w:val="22"/>
        </w:rPr>
        <w:t xml:space="preserve">   </w:t>
      </w:r>
      <w:r>
        <w:rPr>
          <w:sz w:val="22"/>
          <w:szCs w:val="22"/>
        </w:rPr>
        <w:t xml:space="preserve">                       (S17)</w:t>
      </w:r>
    </w:p>
    <w:p w14:paraId="64EB6982">
      <w:pPr>
        <w:pStyle w:val="30"/>
        <w:spacing w:line="276" w:lineRule="auto"/>
        <w:ind w:firstLine="440"/>
        <w:rPr>
          <w:sz w:val="22"/>
          <w:szCs w:val="22"/>
        </w:rPr>
      </w:pPr>
      <w:r>
        <w:rPr>
          <w:sz w:val="22"/>
          <w:szCs w:val="22"/>
        </w:rPr>
        <w:t xml:space="preserve">where </w:t>
      </w:r>
      <m:oMath>
        <m:sSub>
          <m:sSubPr>
            <m:ctrlPr>
              <w:rPr>
                <w:rFonts w:ascii="Cambria Math" w:hAnsi="Cambria Math"/>
                <w:sz w:val="22"/>
                <w:szCs w:val="22"/>
              </w:rPr>
            </m:ctrlPr>
          </m:sSubPr>
          <m:e>
            <m:r>
              <m:rPr/>
              <w:rPr>
                <w:rFonts w:ascii="Cambria Math" w:hAnsi="Cambria Math"/>
                <w:sz w:val="22"/>
                <w:szCs w:val="22"/>
              </w:rPr>
              <m:t>O</m:t>
            </m:r>
            <m:ctrlPr>
              <w:rPr>
                <w:rFonts w:ascii="Cambria Math" w:hAnsi="Cambria Math"/>
                <w:sz w:val="22"/>
                <w:szCs w:val="22"/>
              </w:rPr>
            </m:ctrlPr>
          </m:e>
          <m:sub>
            <m:r>
              <m:rPr/>
              <w:rPr>
                <w:rFonts w:ascii="Cambria Math" w:hAnsi="Cambria Math"/>
                <w:sz w:val="22"/>
                <w:szCs w:val="22"/>
              </w:rPr>
              <m:t>g,t</m:t>
            </m:r>
            <m:ctrlPr>
              <w:rPr>
                <w:rFonts w:ascii="Cambria Math" w:hAnsi="Cambria Math"/>
                <w:sz w:val="22"/>
                <w:szCs w:val="22"/>
              </w:rPr>
            </m:ctrlPr>
          </m:sub>
        </m:sSub>
        <m:r>
          <m:rPr/>
          <w:rPr>
            <w:rFonts w:ascii="Cambria Math" w:hAnsi="Cambria Math"/>
            <w:sz w:val="22"/>
            <w:szCs w:val="22"/>
          </w:rPr>
          <m:t xml:space="preserve"> </m:t>
        </m:r>
      </m:oMath>
      <w:r>
        <w:rPr>
          <w:sz w:val="22"/>
          <w:szCs w:val="22"/>
        </w:rPr>
        <w:t>denotes the number of residents aged 65 years and above.</w:t>
      </w:r>
    </w:p>
    <w:p w14:paraId="363B8262">
      <w:pPr>
        <w:pStyle w:val="30"/>
        <w:spacing w:line="276" w:lineRule="auto"/>
        <w:ind w:firstLine="440"/>
        <w:rPr>
          <w:sz w:val="22"/>
          <w:szCs w:val="22"/>
        </w:rPr>
      </w:pPr>
      <w:r>
        <w:rPr>
          <w:sz w:val="22"/>
          <w:szCs w:val="22"/>
        </w:rPr>
        <w:t>Per-capita residential floor area was then estimated as:</w:t>
      </w:r>
    </w:p>
    <w:p w14:paraId="2405C17F">
      <w:pPr>
        <w:pStyle w:val="31"/>
        <w:spacing w:before="0" w:after="0" w:line="240" w:lineRule="auto"/>
        <w:rPr>
          <w:sz w:val="22"/>
          <w:szCs w:val="22"/>
        </w:rPr>
      </w:pPr>
      <m:oMath>
        <m:sSub>
          <m:sSubPr>
            <m:ctrlPr>
              <w:rPr>
                <w:rFonts w:ascii="Cambria Math" w:hAnsi="Cambria Math"/>
                <w:sz w:val="22"/>
                <w:szCs w:val="22"/>
              </w:rPr>
            </m:ctrlPr>
          </m:sSubPr>
          <m:e>
            <m:r>
              <m:rPr>
                <m:sty m:val="p"/>
              </m:rPr>
              <w:rPr>
                <w:rFonts w:ascii="Cambria Math" w:hAnsi="Cambria Math"/>
                <w:sz w:val="22"/>
                <w:szCs w:val="22"/>
              </w:rPr>
              <m:t>AreaPerCap</m:t>
            </m:r>
            <m:ctrlPr>
              <w:rPr>
                <w:rFonts w:ascii="Cambria Math" w:hAnsi="Cambria Math"/>
                <w:sz w:val="22"/>
                <w:szCs w:val="22"/>
              </w:rPr>
            </m:ctrlPr>
          </m:e>
          <m:sub>
            <m:r>
              <m:rPr>
                <m:sty m:val="p"/>
              </m:rPr>
              <w:rPr>
                <w:rFonts w:ascii="Cambria Math" w:hAnsi="Cambria Math"/>
                <w:sz w:val="22"/>
                <w:szCs w:val="22"/>
              </w:rPr>
              <m:t>g,t</m:t>
            </m:r>
            <m:ctrlPr>
              <w:rPr>
                <w:rFonts w:ascii="Cambria Math" w:hAnsi="Cambria Math"/>
                <w:sz w:val="22"/>
                <w:szCs w:val="22"/>
              </w:rPr>
            </m:ctrlPr>
          </m:sub>
        </m:sSub>
        <m:r>
          <m:rPr>
            <m:sty m:val="p"/>
          </m:rPr>
          <w:rPr>
            <w:rFonts w:ascii="Cambria Math" w:hAnsi="Cambria Math"/>
            <w:sz w:val="22"/>
            <w:szCs w:val="22"/>
          </w:rPr>
          <m:t>=</m:t>
        </m:r>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rPr>
                  <m:t>H</m:t>
                </m:r>
                <m:ctrlPr>
                  <w:rPr>
                    <w:rFonts w:ascii="Cambria Math" w:hAnsi="Cambria Math"/>
                    <w:sz w:val="22"/>
                    <w:szCs w:val="22"/>
                  </w:rPr>
                </m:ctrlPr>
              </m:e>
              <m:sub>
                <m:r>
                  <m:rPr>
                    <m:sty m:val="p"/>
                  </m:rPr>
                  <w:rPr>
                    <w:rFonts w:ascii="Cambria Math" w:hAnsi="Cambria Math"/>
                    <w:sz w:val="22"/>
                    <w:szCs w:val="22"/>
                  </w:rPr>
                  <m:t>g,0</m:t>
                </m:r>
                <m:ctrlPr>
                  <w:rPr>
                    <w:rFonts w:ascii="Cambria Math" w:hAnsi="Cambria Math"/>
                    <w:sz w:val="22"/>
                    <w:szCs w:val="22"/>
                  </w:rPr>
                </m:ctrlPr>
              </m:sub>
            </m:sSub>
            <m:ctrlPr>
              <w:rPr>
                <w:rFonts w:ascii="Cambria Math" w:hAnsi="Cambria Math"/>
                <w:sz w:val="22"/>
                <w:szCs w:val="22"/>
              </w:rPr>
            </m:ctrlPr>
          </m:num>
          <m:den>
            <m:sSub>
              <m:sSubPr>
                <m:ctrlPr>
                  <w:rPr>
                    <w:rFonts w:ascii="Cambria Math" w:hAnsi="Cambria Math"/>
                    <w:sz w:val="22"/>
                    <w:szCs w:val="22"/>
                  </w:rPr>
                </m:ctrlPr>
              </m:sSubPr>
              <m:e>
                <m:r>
                  <m:rPr>
                    <m:sty m:val="p"/>
                  </m:rPr>
                  <w:rPr>
                    <w:rFonts w:ascii="Cambria Math" w:hAnsi="Cambria Math"/>
                    <w:sz w:val="22"/>
                    <w:szCs w:val="22"/>
                  </w:rPr>
                  <m:t>P</m:t>
                </m:r>
                <m:ctrlPr>
                  <w:rPr>
                    <w:rFonts w:ascii="Cambria Math" w:hAnsi="Cambria Math"/>
                    <w:sz w:val="22"/>
                    <w:szCs w:val="22"/>
                  </w:rPr>
                </m:ctrlPr>
              </m:e>
              <m:sub>
                <m:r>
                  <m:rPr>
                    <m:sty m:val="p"/>
                  </m:rPr>
                  <w:rPr>
                    <w:rFonts w:ascii="Cambria Math" w:hAnsi="Cambria Math"/>
                    <w:sz w:val="22"/>
                    <w:szCs w:val="22"/>
                  </w:rPr>
                  <m:t>g,t</m:t>
                </m:r>
                <m:ctrlPr>
                  <w:rPr>
                    <w:rFonts w:ascii="Cambria Math" w:hAnsi="Cambria Math"/>
                    <w:sz w:val="22"/>
                    <w:szCs w:val="22"/>
                  </w:rPr>
                </m:ctrlPr>
              </m:sub>
            </m:sSub>
            <m:ctrlPr>
              <w:rPr>
                <w:rFonts w:ascii="Cambria Math" w:hAnsi="Cambria Math"/>
                <w:sz w:val="22"/>
                <w:szCs w:val="22"/>
              </w:rPr>
            </m:ctrlPr>
          </m:den>
        </m:f>
      </m:oMath>
      <w:r>
        <w:rPr>
          <w:sz w:val="22"/>
          <w:szCs w:val="22"/>
        </w:rPr>
        <w:t xml:space="preserve">             </w:t>
      </w:r>
      <w:r>
        <w:rPr>
          <w:rFonts w:eastAsia="宋体"/>
          <w:sz w:val="22"/>
          <w:szCs w:val="22"/>
        </w:rPr>
        <w:t xml:space="preserve">   </w:t>
      </w:r>
      <w:r>
        <w:rPr>
          <w:sz w:val="22"/>
          <w:szCs w:val="22"/>
        </w:rPr>
        <w:t xml:space="preserve">                     (S18)</w:t>
      </w:r>
    </w:p>
    <w:p w14:paraId="0BDCDB17">
      <w:pPr>
        <w:pStyle w:val="30"/>
        <w:spacing w:line="276" w:lineRule="auto"/>
        <w:ind w:firstLine="440"/>
        <w:rPr>
          <w:sz w:val="22"/>
          <w:szCs w:val="22"/>
        </w:rPr>
      </w:pPr>
      <w:r>
        <w:rPr>
          <w:sz w:val="22"/>
          <w:szCs w:val="22"/>
        </w:rPr>
        <w:t xml:space="preserve">where </w:t>
      </w:r>
      <m:oMath>
        <m:sSub>
          <m:sSubPr>
            <m:ctrlPr>
              <w:rPr>
                <w:rFonts w:ascii="Cambria Math" w:hAnsi="Cambria Math"/>
                <w:sz w:val="22"/>
                <w:szCs w:val="22"/>
              </w:rPr>
            </m:ctrlPr>
          </m:sSubPr>
          <m:e>
            <m:r>
              <m:rPr/>
              <w:rPr>
                <w:rFonts w:ascii="Cambria Math" w:hAnsi="Cambria Math"/>
                <w:sz w:val="22"/>
                <w:szCs w:val="22"/>
              </w:rPr>
              <m:t>H</m:t>
            </m:r>
            <m:ctrlPr>
              <w:rPr>
                <w:rFonts w:ascii="Cambria Math" w:hAnsi="Cambria Math"/>
                <w:sz w:val="22"/>
                <w:szCs w:val="22"/>
              </w:rPr>
            </m:ctrlPr>
          </m:e>
          <m:sub>
            <m:r>
              <m:rPr/>
              <w:rPr>
                <w:rFonts w:ascii="Cambria Math" w:hAnsi="Cambria Math"/>
                <w:sz w:val="22"/>
                <w:szCs w:val="22"/>
              </w:rPr>
              <m:t>g,0</m:t>
            </m:r>
            <m:ctrlPr>
              <w:rPr>
                <w:rFonts w:ascii="Cambria Math" w:hAnsi="Cambria Math"/>
                <w:sz w:val="22"/>
                <w:szCs w:val="22"/>
              </w:rPr>
            </m:ctrlPr>
          </m:sub>
        </m:sSub>
      </m:oMath>
      <w:r>
        <w:rPr>
          <w:sz w:val="22"/>
          <w:szCs w:val="22"/>
        </w:rPr>
        <w:t xml:space="preserve"> is the baseline residential floor area in village </w:t>
      </w:r>
      <m:oMath>
        <m:r>
          <m:rPr/>
          <w:rPr>
            <w:rFonts w:ascii="Cambria Math" w:hAnsi="Cambria Math"/>
            <w:sz w:val="22"/>
            <w:szCs w:val="22"/>
          </w:rPr>
          <m:t>g</m:t>
        </m:r>
      </m:oMath>
      <w:r>
        <w:rPr>
          <w:sz w:val="22"/>
          <w:szCs w:val="22"/>
        </w:rPr>
        <w:t>. Because population projections were generated at five-year intervals, annual values between benchmark years were derived using piecewise linear interpolation. This produced a continuous annual demographic series for use in the building-level simulation.</w:t>
      </w:r>
    </w:p>
    <w:p w14:paraId="32CDAC71">
      <w:pPr>
        <w:pStyle w:val="29"/>
      </w:pPr>
      <w:r>
        <w:t>S4.6 Annual renewal-pressure classification</w:t>
      </w:r>
    </w:p>
    <w:p w14:paraId="175D2F8A">
      <w:pPr>
        <w:pStyle w:val="30"/>
        <w:spacing w:line="276" w:lineRule="auto"/>
        <w:ind w:firstLine="440"/>
        <w:rPr>
          <w:sz w:val="22"/>
          <w:szCs w:val="22"/>
        </w:rPr>
      </w:pPr>
      <w:r>
        <w:rPr>
          <w:sz w:val="22"/>
          <w:szCs w:val="22"/>
        </w:rPr>
        <w:t>For each simulation year, updated physical and building-level social indicators were combined with fixed economic indicators to recalculate PPI, EPI, SNI and CPI for every building. Buildings can therefore move through the priority distribution as housing cohorts age and local demographic conditions change.</w:t>
      </w:r>
    </w:p>
    <w:p w14:paraId="6CF5755B">
      <w:pPr>
        <w:pStyle w:val="30"/>
        <w:spacing w:line="276" w:lineRule="auto"/>
        <w:ind w:firstLine="440"/>
        <w:rPr>
          <w:sz w:val="22"/>
          <w:szCs w:val="22"/>
        </w:rPr>
      </w:pPr>
      <w:r>
        <w:rPr>
          <w:sz w:val="22"/>
          <w:szCs w:val="22"/>
        </w:rPr>
        <w:t>The updated CPI was compared with the fixed policy-calibrated threshold. Buildings exceeding the threshold constituted the renewal-pressure set for that year:</w:t>
      </w:r>
    </w:p>
    <w:p w14:paraId="1FA4150E">
      <w:pPr>
        <w:pStyle w:val="31"/>
        <w:spacing w:before="0" w:after="0" w:line="240" w:lineRule="auto"/>
        <w:rPr>
          <w:sz w:val="22"/>
          <w:szCs w:val="22"/>
        </w:rPr>
      </w:pPr>
      <m:oMath>
        <m:r>
          <m:rPr>
            <m:sty m:val="p"/>
          </m:rPr>
          <w:rPr>
            <w:rFonts w:ascii="Cambria Math" w:hAnsi="Cambria Math"/>
            <w:sz w:val="22"/>
            <w:szCs w:val="22"/>
          </w:rPr>
          <m:t>R</m:t>
        </m:r>
        <m:d>
          <m:dPr>
            <m:ctrlPr>
              <w:rPr>
                <w:rFonts w:ascii="Cambria Math" w:hAnsi="Cambria Math"/>
                <w:sz w:val="22"/>
                <w:szCs w:val="22"/>
              </w:rPr>
            </m:ctrlPr>
          </m:dPr>
          <m:e>
            <m:r>
              <m:rPr>
                <m:sty m:val="p"/>
              </m:rPr>
              <w:rPr>
                <w:rFonts w:ascii="Cambria Math" w:hAnsi="Cambria Math"/>
                <w:sz w:val="22"/>
                <w:szCs w:val="22"/>
              </w:rPr>
              <m:t>t</m:t>
            </m:r>
            <m:ctrlPr>
              <w:rPr>
                <w:rFonts w:ascii="Cambria Math" w:hAnsi="Cambria Math"/>
                <w:sz w:val="22"/>
                <w:szCs w:val="22"/>
              </w:rPr>
            </m:ctrlPr>
          </m:e>
        </m:d>
        <m:r>
          <m:rPr>
            <m:sty m:val="p"/>
          </m:rPr>
          <w:rPr>
            <w:rFonts w:ascii="Cambria Math" w:hAnsi="Cambria Math"/>
            <w:sz w:val="22"/>
            <w:szCs w:val="22"/>
          </w:rPr>
          <m:t>=</m:t>
        </m:r>
        <m:d>
          <m:dPr>
            <m:begChr m:val="{"/>
            <m:endChr m:val="}"/>
            <m:ctrlPr>
              <w:rPr>
                <w:rFonts w:ascii="Cambria Math" w:hAnsi="Cambria Math"/>
                <w:sz w:val="22"/>
                <w:szCs w:val="22"/>
              </w:rPr>
            </m:ctrlPr>
          </m:dPr>
          <m:e>
            <m:r>
              <m:rPr>
                <m:nor/>
                <m:sty m:val="p"/>
              </m:rPr>
              <w:rPr>
                <w:sz w:val="22"/>
                <w:szCs w:val="22"/>
              </w:rPr>
              <m:t> </m:t>
            </m:r>
            <m:r>
              <m:rPr>
                <m:sty m:val="p"/>
              </m:rPr>
              <w:rPr>
                <w:rFonts w:ascii="Cambria Math" w:hAnsi="Cambria Math"/>
                <w:sz w:val="22"/>
                <w:szCs w:val="22"/>
              </w:rPr>
              <m:t>i</m:t>
            </m:r>
            <m:r>
              <m:rPr>
                <m:sty m:val="p"/>
              </m:rPr>
              <w:rPr>
                <w:rFonts w:hint="eastAsia"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CPI</m:t>
                </m:r>
                <m:ctrlPr>
                  <w:rPr>
                    <w:rFonts w:ascii="Cambria Math" w:hAnsi="Cambria Math"/>
                    <w:sz w:val="22"/>
                    <w:szCs w:val="22"/>
                  </w:rPr>
                </m:ctrlPr>
              </m:e>
              <m:sub>
                <m:r>
                  <m:rPr>
                    <m:sty m:val="p"/>
                  </m:rPr>
                  <w:rPr>
                    <w:rFonts w:ascii="Cambria Math" w:hAnsi="Cambria Math"/>
                    <w:sz w:val="22"/>
                    <w:szCs w:val="22"/>
                  </w:rPr>
                  <m:t>i,t</m:t>
                </m:r>
                <m:ctrlPr>
                  <w:rPr>
                    <w:rFonts w:ascii="Cambria Math" w:hAnsi="Cambria Math"/>
                    <w:sz w:val="22"/>
                    <w:szCs w:val="22"/>
                  </w:rPr>
                </m:ctrlPr>
              </m:sub>
            </m:sSub>
            <m:r>
              <m:rPr>
                <m:sty m:val="p"/>
              </m:rPr>
              <w:rPr>
                <w:rFonts w:hint="eastAsia" w:ascii="Cambria Math" w:hAnsi="Cambria Math"/>
                <w:sz w:val="22"/>
                <w:szCs w:val="22"/>
              </w:rPr>
              <m:t>≥τ</m:t>
            </m:r>
            <m:r>
              <m:rPr>
                <m:nor/>
                <m:sty m:val="p"/>
              </m:rPr>
              <w:rPr>
                <w:sz w:val="22"/>
                <w:szCs w:val="22"/>
              </w:rPr>
              <m:t> </m:t>
            </m:r>
            <m:ctrlPr>
              <w:rPr>
                <w:rFonts w:ascii="Cambria Math" w:hAnsi="Cambria Math"/>
                <w:sz w:val="22"/>
                <w:szCs w:val="22"/>
              </w:rPr>
            </m:ctrlPr>
          </m:e>
        </m:d>
      </m:oMath>
      <w:r>
        <w:rPr>
          <w:sz w:val="22"/>
          <w:szCs w:val="22"/>
        </w:rPr>
        <w:t xml:space="preserve">               </w:t>
      </w:r>
      <w:r>
        <w:rPr>
          <w:rFonts w:eastAsia="宋体"/>
          <w:sz w:val="22"/>
          <w:szCs w:val="22"/>
        </w:rPr>
        <w:t xml:space="preserve">   </w:t>
      </w:r>
      <w:r>
        <w:rPr>
          <w:sz w:val="22"/>
          <w:szCs w:val="22"/>
        </w:rPr>
        <w:t xml:space="preserve">                     (S19)</w:t>
      </w:r>
    </w:p>
    <w:p w14:paraId="74C86A43">
      <w:pPr>
        <w:pStyle w:val="30"/>
        <w:spacing w:line="276" w:lineRule="auto"/>
        <w:ind w:firstLine="440"/>
        <w:rPr>
          <w:color w:val="000000"/>
          <w:sz w:val="22"/>
          <w:szCs w:val="22"/>
        </w:rPr>
      </w:pPr>
      <w:r>
        <w:rPr>
          <w:sz w:val="22"/>
          <w:szCs w:val="22"/>
        </w:rPr>
        <w:t>where Rₜ is the set of buildings in the renewal-pressure range in year t and τ is the fixed CPI threshold calibrated to the 2020 urban policy baseline.</w:t>
      </w:r>
    </w:p>
    <w:p w14:paraId="47A184AD">
      <w:pPr>
        <w:pStyle w:val="30"/>
        <w:spacing w:line="276" w:lineRule="auto"/>
        <w:ind w:firstLine="440"/>
        <w:rPr>
          <w:sz w:val="22"/>
          <w:szCs w:val="22"/>
        </w:rPr>
      </w:pPr>
      <w:r>
        <w:rPr>
          <w:sz w:val="22"/>
          <w:szCs w:val="22"/>
        </w:rPr>
        <w:t>The procedure was repeated annually through 2050 under each demographic scenario. The resulting building-level sets are the direct inputs to the Pressure and Pathways modules, where they are translated into governance exposure, pathway costs and carbon accounts.</w:t>
      </w:r>
    </w:p>
    <w:p w14:paraId="1A6BAFE6">
      <w:pPr>
        <w:pStyle w:val="30"/>
        <w:spacing w:line="276" w:lineRule="auto"/>
        <w:ind w:firstLine="440"/>
        <w:rPr>
          <w:sz w:val="22"/>
          <w:szCs w:val="22"/>
        </w:rPr>
      </w:pPr>
      <w:r>
        <w:rPr>
          <w:sz w:val="22"/>
          <w:szCs w:val="22"/>
        </w:rPr>
        <w:t>Retaining building identity across time represents renewal pressure as a cumulative and path-dependent process. The 2020 baseline contains 521,235 above-threshold buildings; subsequent five-year additions are much smaller, declining from 1,810–1,812 in 2025 to 1,506–1,514 in 2050 (</w:t>
      </w:r>
      <w:r>
        <w:rPr>
          <w:color w:val="0070A8"/>
          <w:sz w:val="22"/>
          <w:szCs w:val="22"/>
        </w:rPr>
        <w:t>Supplementary Tables 7–10</w:t>
      </w:r>
      <w:r>
        <w:rPr>
          <w:sz w:val="22"/>
          <w:szCs w:val="22"/>
        </w:rPr>
        <w:t>).</w:t>
      </w:r>
    </w:p>
    <w:p w14:paraId="3047D63C">
      <w:r>
        <w:pict>
          <v:rect id="矩形 13" o:spid="_x0000_s1029" o:spt="1" style="height:0.05pt;width:564.65pt;" filled="f" coordsize="21600,21600">
            <v:path/>
            <v:fill on="f" focussize="0,0"/>
            <v:stroke/>
            <v:imagedata o:title=""/>
            <o:lock v:ext="edit" aspectratio="t"/>
            <w10:wrap type="none"/>
            <w10:anchorlock/>
          </v:rect>
        </w:pict>
      </w:r>
    </w:p>
    <w:p w14:paraId="4EF280CE">
      <w:pPr>
        <w:pStyle w:val="28"/>
      </w:pPr>
      <w:bookmarkStart w:id="28" w:name="_Toc227181489"/>
      <w:r>
        <w:t>S5. Governance pressure quantification</w:t>
      </w:r>
      <w:bookmarkEnd w:id="28"/>
    </w:p>
    <w:p w14:paraId="484443D7">
      <w:pPr>
        <w:pStyle w:val="29"/>
      </w:pPr>
      <w:bookmarkStart w:id="29" w:name="_Toc227181490"/>
      <w:r>
        <w:t>S5.1 Definition of governance pressure</w:t>
      </w:r>
      <w:bookmarkEnd w:id="29"/>
    </w:p>
    <w:p w14:paraId="7DEB633F">
      <w:pPr>
        <w:pStyle w:val="30"/>
        <w:spacing w:line="276" w:lineRule="auto"/>
        <w:ind w:firstLine="440"/>
        <w:rPr>
          <w:sz w:val="22"/>
          <w:szCs w:val="22"/>
        </w:rPr>
      </w:pPr>
      <w:r>
        <w:rPr>
          <w:sz w:val="22"/>
          <w:szCs w:val="22"/>
        </w:rPr>
        <w:t>The number of buildings in the renewal-pressure range is only one dimension of implementation exposure. Governments may also need to coordinate households, land, infrastructure, financing and sequencing across space and time</w:t>
      </w:r>
      <w:r>
        <w:rPr>
          <w:sz w:val="22"/>
          <w:szCs w:val="22"/>
          <w:vertAlign w:val="superscript"/>
        </w:rPr>
        <w:t>15,16</w:t>
      </w:r>
      <w:r>
        <w:rPr>
          <w:sz w:val="22"/>
          <w:szCs w:val="22"/>
        </w:rPr>
        <w:t>. We therefore define governance pressure as the potential administrative, planning and implementation workload associated with the diagnostic stock.</w:t>
      </w:r>
    </w:p>
    <w:p w14:paraId="4A4B676A">
      <w:pPr>
        <w:pStyle w:val="30"/>
        <w:spacing w:line="276" w:lineRule="auto"/>
        <w:ind w:firstLine="440"/>
        <w:rPr>
          <w:sz w:val="22"/>
          <w:szCs w:val="22"/>
        </w:rPr>
      </w:pPr>
      <w:r>
        <w:rPr>
          <w:sz w:val="22"/>
          <w:szCs w:val="22"/>
        </w:rPr>
        <w:t>This concept extends beyond conventional measures of redevelopment activity that focus solely on project counts or investment values. A small number of large residential complexes may generate greater governance complexity than many scattered low-density buildings, while geographically dispersed rural renewal may impose different coordination burdens from compact urban redevelopment. Governance pressure must therefore be represented through multiple dimensions rather than a single metric.</w:t>
      </w:r>
    </w:p>
    <w:p w14:paraId="49CB2D57">
      <w:pPr>
        <w:pStyle w:val="30"/>
        <w:spacing w:line="276" w:lineRule="auto"/>
        <w:ind w:firstLine="440"/>
        <w:rPr>
          <w:sz w:val="22"/>
          <w:szCs w:val="22"/>
        </w:rPr>
      </w:pPr>
      <w:r>
        <w:rPr>
          <w:sz w:val="22"/>
          <w:szCs w:val="22"/>
        </w:rPr>
        <w:t>In this study, governance pressure is quantified annually using four complementary indicators: building count, dwelling units, floor area and land area. Building count captures the number of individual structures requiring intervention. Dwelling units approximate the scale of affected households and potential relocation demand. Floor area measures the volume of built space to be renewed or replaced. Land area reflects the territorial footprint of renewal and the scale of land-use restructuring required.</w:t>
      </w:r>
    </w:p>
    <w:p w14:paraId="129748A9">
      <w:pPr>
        <w:pStyle w:val="30"/>
        <w:spacing w:line="276" w:lineRule="auto"/>
        <w:ind w:firstLine="440"/>
        <w:rPr>
          <w:sz w:val="22"/>
          <w:szCs w:val="22"/>
        </w:rPr>
      </w:pPr>
      <w:r>
        <w:rPr>
          <w:sz w:val="22"/>
          <w:szCs w:val="22"/>
        </w:rPr>
        <w:t>This multidimensional definition enables projected renewal demand to be interpreted in governance terms. It also allows comparison between urban and rural renewal systems, where the same number of buildings may imply very different numbers of households, built intensity or land requirements.</w:t>
      </w:r>
    </w:p>
    <w:p w14:paraId="50CB3E01">
      <w:pPr>
        <w:pStyle w:val="29"/>
      </w:pPr>
      <w:r>
        <w:t>S5.2 Annual aggregation of renewal-pressure stock</w:t>
      </w:r>
    </w:p>
    <w:p w14:paraId="20169890">
      <w:pPr>
        <w:pStyle w:val="30"/>
        <w:spacing w:line="276" w:lineRule="auto"/>
        <w:ind w:firstLine="440"/>
        <w:rPr>
          <w:sz w:val="22"/>
          <w:szCs w:val="22"/>
        </w:rPr>
      </w:pPr>
      <w:r>
        <w:rPr>
          <w:sz w:val="22"/>
          <w:szCs w:val="22"/>
        </w:rPr>
        <w:t>For each simulation year t, the renewal-pressure set Rₜ generated in Section S4.6 was aggregated. The total number of buildings in the diagnostic stock was calculated as:</w:t>
      </w:r>
    </w:p>
    <w:p w14:paraId="1DE78AE1">
      <w:pPr>
        <w:pStyle w:val="31"/>
        <w:spacing w:before="0" w:after="0" w:line="240" w:lineRule="auto"/>
        <w:rPr>
          <w:sz w:val="22"/>
          <w:szCs w:val="22"/>
        </w:rPr>
      </w:pPr>
      <m:oMath>
        <m:sSub>
          <m:sSubPr>
            <m:ctrlPr>
              <w:rPr>
                <w:rFonts w:ascii="Cambria Math" w:hAnsi="Cambria Math"/>
                <w:sz w:val="22"/>
                <w:szCs w:val="22"/>
              </w:rPr>
            </m:ctrlPr>
          </m:sSubPr>
          <m:e>
            <m:r>
              <m:rPr>
                <m:sty m:val="p"/>
              </m:rPr>
              <w:rPr>
                <w:rFonts w:ascii="Cambria Math" w:hAnsi="Cambria Math"/>
                <w:sz w:val="22"/>
                <w:szCs w:val="22"/>
              </w:rPr>
              <m:t>N</m:t>
            </m:r>
            <m:ctrlPr>
              <w:rPr>
                <w:rFonts w:ascii="Cambria Math" w:hAnsi="Cambria Math"/>
                <w:sz w:val="22"/>
                <w:szCs w:val="22"/>
              </w:rPr>
            </m:ctrlPr>
          </m:e>
          <m:sub>
            <m:r>
              <m:rPr>
                <m:sty m:val="p"/>
              </m:rPr>
              <w:rPr>
                <w:rFonts w:ascii="Cambria Math" w:hAnsi="Cambria Math"/>
                <w:sz w:val="22"/>
                <w:szCs w:val="22"/>
              </w:rPr>
              <m:t>t</m:t>
            </m:r>
            <m:ctrlPr>
              <w:rPr>
                <w:rFonts w:ascii="Cambria Math" w:hAnsi="Cambria Math"/>
                <w:sz w:val="22"/>
                <w:szCs w:val="22"/>
              </w:rPr>
            </m:ctrlPr>
          </m:sub>
        </m:sSub>
        <m:r>
          <m:rPr>
            <m:sty m:val="p"/>
          </m:rPr>
          <w:rPr>
            <w:rFonts w:ascii="Cambria Math" w:hAnsi="Cambria Math"/>
            <w:sz w:val="22"/>
            <w:szCs w:val="22"/>
          </w:rPr>
          <m:t>=</m:t>
        </m:r>
        <m:nary>
          <m:naryPr>
            <m:chr m:val="∑"/>
            <m:grow m:val="1"/>
            <m:limLoc m:val="undOvr"/>
            <m:supHide m:val="1"/>
            <m:ctrlPr>
              <w:rPr>
                <w:rFonts w:ascii="Cambria Math" w:hAnsi="Cambria Math"/>
                <w:sz w:val="22"/>
                <w:szCs w:val="22"/>
              </w:rPr>
            </m:ctrlPr>
          </m:naryPr>
          <m:sub>
            <m:r>
              <m:rPr>
                <m:sty m:val="p"/>
              </m:rPr>
              <w:rPr>
                <w:rFonts w:ascii="Cambria Math" w:hAnsi="Cambria Math"/>
                <w:sz w:val="22"/>
                <w:szCs w:val="22"/>
              </w:rPr>
              <m:t>i</m:t>
            </m:r>
            <m:r>
              <m:rPr>
                <m:sty m:val="p"/>
              </m:rPr>
              <w:rPr>
                <w:rFonts w:hint="eastAsia" w:ascii="Cambria Math" w:hAnsi="Cambria Math"/>
                <w:sz w:val="22"/>
                <w:szCs w:val="22"/>
              </w:rPr>
              <m:t>∈</m:t>
            </m:r>
            <m:r>
              <m:rPr>
                <m:sty m:val="p"/>
              </m:rPr>
              <w:rPr>
                <w:rFonts w:ascii="Cambria Math" w:hAnsi="Cambria Math"/>
                <w:sz w:val="22"/>
                <w:szCs w:val="22"/>
              </w:rPr>
              <m:t>Rt</m:t>
            </m:r>
            <m:ctrlPr>
              <w:rPr>
                <w:rFonts w:ascii="Cambria Math" w:hAnsi="Cambria Math"/>
                <w:sz w:val="22"/>
                <w:szCs w:val="22"/>
              </w:rPr>
            </m:ctrlPr>
          </m:sub>
          <m:sup>
            <m:ctrlPr>
              <w:rPr>
                <w:rFonts w:ascii="Cambria Math" w:hAnsi="Cambria Math"/>
                <w:sz w:val="22"/>
                <w:szCs w:val="22"/>
              </w:rPr>
            </m:ctrlPr>
          </m:sup>
          <m:e>
            <m:r>
              <m:rPr>
                <m:sty m:val="p"/>
              </m:rPr>
              <w:rPr>
                <w:rFonts w:ascii="Cambria Math" w:hAnsi="Cambria Math"/>
                <w:sz w:val="22"/>
                <w:szCs w:val="22"/>
              </w:rPr>
              <m:t>1</m:t>
            </m:r>
            <m:ctrlPr>
              <w:rPr>
                <w:rFonts w:ascii="Cambria Math" w:hAnsi="Cambria Math"/>
                <w:sz w:val="22"/>
                <w:szCs w:val="22"/>
              </w:rPr>
            </m:ctrlPr>
          </m:e>
        </m:nary>
      </m:oMath>
      <w:r>
        <w:rPr>
          <w:sz w:val="22"/>
          <w:szCs w:val="22"/>
        </w:rPr>
        <w:t xml:space="preserve">                   </w:t>
      </w:r>
      <w:r>
        <w:rPr>
          <w:rFonts w:eastAsia="宋体"/>
          <w:sz w:val="22"/>
          <w:szCs w:val="22"/>
        </w:rPr>
        <w:t xml:space="preserve">  </w:t>
      </w:r>
      <w:r>
        <w:rPr>
          <w:sz w:val="22"/>
          <w:szCs w:val="22"/>
        </w:rPr>
        <w:t xml:space="preserve">                        (S20)</w:t>
      </w:r>
    </w:p>
    <w:p w14:paraId="56C7A6EA">
      <w:pPr>
        <w:pStyle w:val="30"/>
        <w:spacing w:line="276" w:lineRule="auto"/>
        <w:ind w:firstLine="440"/>
        <w:rPr>
          <w:sz w:val="22"/>
          <w:szCs w:val="22"/>
        </w:rPr>
      </w:pPr>
      <w:r>
        <w:rPr>
          <w:sz w:val="22"/>
          <w:szCs w:val="22"/>
        </w:rPr>
        <w:t>where Nₜ is the number of buildings above the fixed CPI threshold in year t. This aggregation converts building-level classification into a system-level indicator of potential governance workload.</w:t>
      </w:r>
    </w:p>
    <w:p w14:paraId="445B3C4B">
      <w:pPr>
        <w:pStyle w:val="30"/>
        <w:spacing w:line="276" w:lineRule="auto"/>
        <w:ind w:firstLine="440"/>
        <w:rPr>
          <w:sz w:val="22"/>
          <w:szCs w:val="22"/>
        </w:rPr>
      </w:pPr>
      <w:r>
        <w:rPr>
          <w:sz w:val="22"/>
          <w:szCs w:val="22"/>
        </w:rPr>
        <w:t>Because the diagnostic set is recalculated annually, the series captures changes in the composition of above-threshold stock as cohorts age. The same aggregation was performed by administrative unit and urban–rural category to preserve spatial interpretation.</w:t>
      </w:r>
    </w:p>
    <w:p w14:paraId="7B24E88D">
      <w:pPr>
        <w:pStyle w:val="30"/>
        <w:spacing w:line="276" w:lineRule="auto"/>
        <w:ind w:firstLine="440"/>
        <w:rPr>
          <w:sz w:val="22"/>
          <w:szCs w:val="22"/>
        </w:rPr>
      </w:pPr>
      <w:r>
        <w:rPr>
          <w:sz w:val="22"/>
          <w:szCs w:val="22"/>
        </w:rPr>
        <w:t>Annual aggregation is important because renewal exposure is path dependent: it accumulates as housing cohorts age rather than appearing at a single end point.</w:t>
      </w:r>
    </w:p>
    <w:p w14:paraId="51FA6B39">
      <w:pPr>
        <w:pStyle w:val="29"/>
      </w:pPr>
      <w:bookmarkStart w:id="30" w:name="_Toc227181492"/>
      <w:r>
        <w:t>S5.3 Pressure indicators: buildings, dwelling units, floor area and land area</w:t>
      </w:r>
      <w:bookmarkEnd w:id="30"/>
    </w:p>
    <w:p w14:paraId="0EF0493E">
      <w:pPr>
        <w:pStyle w:val="30"/>
        <w:ind w:firstLine="440"/>
        <w:rPr>
          <w:sz w:val="22"/>
          <w:szCs w:val="22"/>
        </w:rPr>
      </w:pPr>
      <w:r>
        <w:rPr>
          <w:sz w:val="22"/>
          <w:szCs w:val="22"/>
        </w:rPr>
        <w:t>In addition to building count, three further indicators were calculated for each year to reflect the scale and character of renewal demand.</w:t>
      </w:r>
    </w:p>
    <w:p w14:paraId="333699B4">
      <w:pPr>
        <w:pStyle w:val="30"/>
        <w:ind w:firstLine="440"/>
        <w:rPr>
          <w:sz w:val="22"/>
          <w:szCs w:val="22"/>
        </w:rPr>
      </w:pPr>
      <w:r>
        <w:rPr>
          <w:sz w:val="22"/>
          <w:szCs w:val="22"/>
        </w:rPr>
        <w:t>The total number of affected dwelling units was calculated as:</w:t>
      </w:r>
    </w:p>
    <w:p w14:paraId="50B3617C">
      <w:pPr>
        <w:pStyle w:val="31"/>
        <w:spacing w:before="0" w:after="0"/>
        <w:rPr>
          <w:sz w:val="22"/>
          <w:szCs w:val="22"/>
        </w:rPr>
      </w:pPr>
      <m:oMath>
        <m:sSub>
          <m:sSubPr>
            <m:ctrlPr>
              <w:rPr>
                <w:rFonts w:ascii="Cambria Math" w:hAnsi="Cambria Math"/>
                <w:sz w:val="22"/>
                <w:szCs w:val="22"/>
              </w:rPr>
            </m:ctrlPr>
          </m:sSubPr>
          <m:e>
            <m:r>
              <m:rPr>
                <m:sty m:val="p"/>
              </m:rPr>
              <w:rPr>
                <w:rFonts w:ascii="Cambria Math" w:hAnsi="Cambria Math"/>
                <w:sz w:val="22"/>
                <w:szCs w:val="22"/>
              </w:rPr>
              <m:t>U</m:t>
            </m:r>
            <m:ctrlPr>
              <w:rPr>
                <w:rFonts w:ascii="Cambria Math" w:hAnsi="Cambria Math"/>
                <w:sz w:val="22"/>
                <w:szCs w:val="22"/>
              </w:rPr>
            </m:ctrlPr>
          </m:e>
          <m:sub>
            <m:r>
              <m:rPr>
                <m:sty m:val="p"/>
              </m:rPr>
              <w:rPr>
                <w:rFonts w:ascii="Cambria Math" w:hAnsi="Cambria Math"/>
                <w:sz w:val="22"/>
                <w:szCs w:val="22"/>
              </w:rPr>
              <m:t>t</m:t>
            </m:r>
            <m:ctrlPr>
              <w:rPr>
                <w:rFonts w:ascii="Cambria Math" w:hAnsi="Cambria Math"/>
                <w:sz w:val="22"/>
                <w:szCs w:val="22"/>
              </w:rPr>
            </m:ctrlPr>
          </m:sub>
        </m:sSub>
        <m:r>
          <m:rPr>
            <m:sty m:val="p"/>
          </m:rPr>
          <w:rPr>
            <w:rFonts w:ascii="Cambria Math" w:hAnsi="Cambria Math"/>
            <w:sz w:val="22"/>
            <w:szCs w:val="22"/>
          </w:rPr>
          <m:t>=</m:t>
        </m:r>
        <m:nary>
          <m:naryPr>
            <m:chr m:val="∑"/>
            <m:grow m:val="1"/>
            <m:limLoc m:val="undOvr"/>
            <m:supHide m:val="1"/>
            <m:ctrlPr>
              <w:rPr>
                <w:rFonts w:ascii="Cambria Math" w:hAnsi="Cambria Math"/>
                <w:sz w:val="22"/>
                <w:szCs w:val="22"/>
              </w:rPr>
            </m:ctrlPr>
          </m:naryPr>
          <m:sub>
            <m:r>
              <m:rPr>
                <m:sty m:val="p"/>
              </m:rPr>
              <w:rPr>
                <w:rFonts w:ascii="Cambria Math" w:hAnsi="Cambria Math"/>
                <w:sz w:val="22"/>
                <w:szCs w:val="22"/>
              </w:rPr>
              <m:t>i</m:t>
            </m:r>
            <m:r>
              <m:rPr>
                <m:sty m:val="p"/>
              </m:rPr>
              <w:rPr>
                <w:rFonts w:hint="eastAsia"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ctrlPr>
                  <w:rPr>
                    <w:rFonts w:ascii="Cambria Math" w:hAnsi="Cambria Math"/>
                    <w:sz w:val="22"/>
                    <w:szCs w:val="22"/>
                  </w:rPr>
                </m:ctrlPr>
              </m:e>
              <m:sub>
                <m:r>
                  <m:rPr>
                    <m:sty m:val="p"/>
                  </m:rPr>
                  <w:rPr>
                    <w:rFonts w:ascii="Cambria Math" w:hAnsi="Cambria Math"/>
                    <w:sz w:val="22"/>
                    <w:szCs w:val="22"/>
                  </w:rPr>
                  <m:t>t</m:t>
                </m:r>
                <m:ctrlPr>
                  <w:rPr>
                    <w:rFonts w:ascii="Cambria Math" w:hAnsi="Cambria Math"/>
                    <w:sz w:val="22"/>
                    <w:szCs w:val="22"/>
                  </w:rPr>
                </m:ctrlPr>
              </m:sub>
            </m:sSub>
            <m:ctrlPr>
              <w:rPr>
                <w:rFonts w:ascii="Cambria Math" w:hAnsi="Cambria Math"/>
                <w:sz w:val="22"/>
                <w:szCs w:val="22"/>
              </w:rPr>
            </m:ctrlPr>
          </m:sub>
          <m:sup>
            <m:ctrlPr>
              <w:rPr>
                <w:rFonts w:ascii="Cambria Math" w:hAnsi="Cambria Math"/>
                <w:sz w:val="22"/>
                <w:szCs w:val="22"/>
              </w:rPr>
            </m:ctrlPr>
          </m:sup>
          <m:e>
            <m:sSub>
              <m:sSubPr>
                <m:ctrlPr>
                  <w:rPr>
                    <w:rFonts w:ascii="Cambria Math" w:hAnsi="Cambria Math"/>
                    <w:sz w:val="22"/>
                    <w:szCs w:val="22"/>
                  </w:rPr>
                </m:ctrlPr>
              </m:sSubPr>
              <m:e>
                <m:r>
                  <m:rPr>
                    <m:sty m:val="p"/>
                  </m:rPr>
                  <w:rPr>
                    <w:rFonts w:ascii="Cambria Math" w:hAnsi="Cambria Math"/>
                    <w:sz w:val="22"/>
                    <w:szCs w:val="22"/>
                  </w:rPr>
                  <m:t>Units</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ctrlPr>
              <w:rPr>
                <w:rFonts w:ascii="Cambria Math" w:hAnsi="Cambria Math"/>
                <w:sz w:val="22"/>
                <w:szCs w:val="22"/>
              </w:rPr>
            </m:ctrlPr>
          </m:e>
        </m:nary>
      </m:oMath>
      <w:r>
        <w:rPr>
          <w:sz w:val="22"/>
          <w:szCs w:val="22"/>
        </w:rPr>
        <w:t xml:space="preserve">                          </w:t>
      </w:r>
      <w:r>
        <w:rPr>
          <w:rFonts w:eastAsia="宋体"/>
          <w:sz w:val="22"/>
          <w:szCs w:val="22"/>
        </w:rPr>
        <w:t xml:space="preserve"> </w:t>
      </w:r>
      <w:r>
        <w:rPr>
          <w:sz w:val="22"/>
          <w:szCs w:val="22"/>
        </w:rPr>
        <w:t xml:space="preserve">             (S21)</w:t>
      </w:r>
    </w:p>
    <w:p w14:paraId="0CAFBCC0">
      <w:pPr>
        <w:pStyle w:val="30"/>
        <w:ind w:firstLine="440"/>
        <w:rPr>
          <w:sz w:val="22"/>
          <w:szCs w:val="22"/>
        </w:rPr>
      </w:pPr>
      <w:r>
        <w:rPr>
          <w:sz w:val="22"/>
          <w:szCs w:val="22"/>
        </w:rPr>
        <w:t xml:space="preserve">where </w:t>
      </w:r>
      <m:oMath>
        <m:r>
          <m:rPr/>
          <w:rPr>
            <w:rFonts w:ascii="Cambria Math" w:hAnsi="Cambria Math"/>
            <w:sz w:val="22"/>
            <w:szCs w:val="22"/>
          </w:rPr>
          <m:t>Units</m:t>
        </m:r>
      </m:oMath>
      <w:r>
        <w:rPr>
          <w:sz w:val="22"/>
          <w:szCs w:val="22"/>
        </w:rPr>
        <w:t xml:space="preserve"> denotes the number of residential units in building </w:t>
      </w:r>
      <m:oMath>
        <m:r>
          <m:rPr/>
          <w:rPr>
            <w:rFonts w:ascii="Cambria Math" w:hAnsi="Cambria Math" w:eastAsia="宋体"/>
            <w:sz w:val="22"/>
            <w:szCs w:val="22"/>
          </w:rPr>
          <m:t>i</m:t>
        </m:r>
      </m:oMath>
      <w:r>
        <w:rPr>
          <w:sz w:val="22"/>
          <w:szCs w:val="22"/>
        </w:rPr>
        <w:t>. This indicator approximates the number of households potentially affected by renewal and is therefore closely related to relocation demand and social management requirements.</w:t>
      </w:r>
    </w:p>
    <w:p w14:paraId="4CE8B80A">
      <w:pPr>
        <w:pStyle w:val="30"/>
        <w:ind w:firstLine="440"/>
        <w:rPr>
          <w:sz w:val="22"/>
          <w:szCs w:val="22"/>
        </w:rPr>
      </w:pPr>
      <w:r>
        <w:rPr>
          <w:sz w:val="22"/>
          <w:szCs w:val="22"/>
        </w:rPr>
        <w:t>The total floor area associated with renewal was calculated as:</w:t>
      </w:r>
    </w:p>
    <w:p w14:paraId="16E92A82">
      <w:pPr>
        <w:pStyle w:val="31"/>
        <w:spacing w:before="0" w:after="0"/>
        <w:rPr>
          <w:sz w:val="22"/>
          <w:szCs w:val="22"/>
        </w:rPr>
      </w:pPr>
      <m:oMath>
        <m:sSub>
          <m:sSubPr>
            <m:ctrlPr>
              <w:rPr>
                <w:rFonts w:ascii="Cambria Math" w:hAnsi="Cambria Math"/>
                <w:sz w:val="22"/>
                <w:szCs w:val="22"/>
              </w:rPr>
            </m:ctrlPr>
          </m:sSubPr>
          <m:e>
            <m:r>
              <m:rPr>
                <m:sty m:val="p"/>
              </m:rPr>
              <w:rPr>
                <w:rFonts w:ascii="Cambria Math" w:hAnsi="Cambria Math"/>
                <w:sz w:val="22"/>
                <w:szCs w:val="22"/>
              </w:rPr>
              <m:t>A</m:t>
            </m:r>
            <m:ctrlPr>
              <w:rPr>
                <w:rFonts w:ascii="Cambria Math" w:hAnsi="Cambria Math"/>
                <w:sz w:val="22"/>
                <w:szCs w:val="22"/>
              </w:rPr>
            </m:ctrlPr>
          </m:e>
          <m:sub>
            <m:r>
              <m:rPr>
                <m:sty m:val="p"/>
              </m:rPr>
              <w:rPr>
                <w:rFonts w:ascii="Cambria Math" w:hAnsi="Cambria Math"/>
                <w:sz w:val="22"/>
                <w:szCs w:val="22"/>
              </w:rPr>
              <m:t>t</m:t>
            </m:r>
            <m:ctrlPr>
              <w:rPr>
                <w:rFonts w:ascii="Cambria Math" w:hAnsi="Cambria Math"/>
                <w:sz w:val="22"/>
                <w:szCs w:val="22"/>
              </w:rPr>
            </m:ctrlPr>
          </m:sub>
        </m:sSub>
        <m:r>
          <m:rPr>
            <m:sty m:val="p"/>
          </m:rPr>
          <w:rPr>
            <w:rFonts w:ascii="Cambria Math" w:hAnsi="Cambria Math"/>
            <w:sz w:val="22"/>
            <w:szCs w:val="22"/>
          </w:rPr>
          <m:t>=</m:t>
        </m:r>
        <m:nary>
          <m:naryPr>
            <m:chr m:val="∑"/>
            <m:grow m:val="1"/>
            <m:limLoc m:val="undOvr"/>
            <m:supHide m:val="1"/>
            <m:ctrlPr>
              <w:rPr>
                <w:rFonts w:ascii="Cambria Math" w:hAnsi="Cambria Math"/>
                <w:sz w:val="22"/>
                <w:szCs w:val="22"/>
              </w:rPr>
            </m:ctrlPr>
          </m:naryPr>
          <m:sub>
            <m:r>
              <m:rPr>
                <m:sty m:val="p"/>
              </m:rPr>
              <w:rPr>
                <w:rFonts w:ascii="Cambria Math" w:hAnsi="Cambria Math"/>
                <w:sz w:val="22"/>
                <w:szCs w:val="22"/>
              </w:rPr>
              <m:t>i</m:t>
            </m:r>
            <m:r>
              <m:rPr>
                <m:sty m:val="p"/>
              </m:rPr>
              <w:rPr>
                <w:rFonts w:hint="eastAsia"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ctrlPr>
                  <w:rPr>
                    <w:rFonts w:ascii="Cambria Math" w:hAnsi="Cambria Math"/>
                    <w:sz w:val="22"/>
                    <w:szCs w:val="22"/>
                  </w:rPr>
                </m:ctrlPr>
              </m:e>
              <m:sub>
                <m:r>
                  <m:rPr>
                    <m:sty m:val="p"/>
                  </m:rPr>
                  <w:rPr>
                    <w:rFonts w:ascii="Cambria Math" w:hAnsi="Cambria Math"/>
                    <w:sz w:val="22"/>
                    <w:szCs w:val="22"/>
                  </w:rPr>
                  <m:t>t</m:t>
                </m:r>
                <m:ctrlPr>
                  <w:rPr>
                    <w:rFonts w:ascii="Cambria Math" w:hAnsi="Cambria Math"/>
                    <w:sz w:val="22"/>
                    <w:szCs w:val="22"/>
                  </w:rPr>
                </m:ctrlPr>
              </m:sub>
            </m:sSub>
            <m:ctrlPr>
              <w:rPr>
                <w:rFonts w:ascii="Cambria Math" w:hAnsi="Cambria Math"/>
                <w:sz w:val="22"/>
                <w:szCs w:val="22"/>
              </w:rPr>
            </m:ctrlPr>
          </m:sub>
          <m:sup>
            <m:ctrlPr>
              <w:rPr>
                <w:rFonts w:ascii="Cambria Math" w:hAnsi="Cambria Math"/>
                <w:sz w:val="22"/>
                <w:szCs w:val="22"/>
              </w:rPr>
            </m:ctrlPr>
          </m:sup>
          <m:e>
            <m:sSub>
              <m:sSubPr>
                <m:ctrlPr>
                  <w:rPr>
                    <w:rFonts w:ascii="Cambria Math" w:hAnsi="Cambria Math"/>
                    <w:sz w:val="22"/>
                    <w:szCs w:val="22"/>
                  </w:rPr>
                </m:ctrlPr>
              </m:sSubPr>
              <m:e>
                <m:r>
                  <m:rPr>
                    <m:sty m:val="p"/>
                  </m:rPr>
                  <w:rPr>
                    <w:rFonts w:ascii="Cambria Math" w:hAnsi="Cambria Math"/>
                    <w:sz w:val="22"/>
                    <w:szCs w:val="22"/>
                  </w:rPr>
                  <m:t>Area</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ctrlPr>
              <w:rPr>
                <w:rFonts w:ascii="Cambria Math" w:hAnsi="Cambria Math"/>
                <w:sz w:val="22"/>
                <w:szCs w:val="22"/>
              </w:rPr>
            </m:ctrlPr>
          </m:e>
        </m:nary>
      </m:oMath>
      <w:r>
        <w:rPr>
          <w:sz w:val="22"/>
          <w:szCs w:val="22"/>
        </w:rPr>
        <w:t xml:space="preserve">                      </w:t>
      </w:r>
      <w:r>
        <w:rPr>
          <w:rFonts w:eastAsia="宋体"/>
          <w:sz w:val="22"/>
          <w:szCs w:val="22"/>
        </w:rPr>
        <w:t xml:space="preserve">   </w:t>
      </w:r>
      <w:r>
        <w:rPr>
          <w:sz w:val="22"/>
          <w:szCs w:val="22"/>
        </w:rPr>
        <w:t xml:space="preserve">                 (S22)</w:t>
      </w:r>
    </w:p>
    <w:p w14:paraId="0A106CA9">
      <w:pPr>
        <w:pStyle w:val="30"/>
        <w:ind w:firstLine="440"/>
        <w:rPr>
          <w:sz w:val="22"/>
          <w:szCs w:val="22"/>
        </w:rPr>
      </w:pPr>
      <w:r>
        <w:rPr>
          <w:sz w:val="22"/>
          <w:szCs w:val="22"/>
        </w:rPr>
        <w:t>where the variable denotes the floor area of building i. Floor area represents the built-space volume that would be implicated by demolition or retrofit.</w:t>
      </w:r>
    </w:p>
    <w:p w14:paraId="3325420C">
      <w:pPr>
        <w:pStyle w:val="30"/>
        <w:ind w:firstLine="440"/>
        <w:rPr>
          <w:sz w:val="22"/>
          <w:szCs w:val="22"/>
        </w:rPr>
      </w:pPr>
      <w:r>
        <w:rPr>
          <w:sz w:val="22"/>
          <w:szCs w:val="22"/>
        </w:rPr>
        <w:t>The total land area associated with renewal was calculated as:</w:t>
      </w:r>
    </w:p>
    <w:p w14:paraId="3763981B">
      <w:pPr>
        <w:pStyle w:val="31"/>
        <w:spacing w:before="0" w:after="0" w:line="240" w:lineRule="auto"/>
        <w:rPr>
          <w:sz w:val="22"/>
          <w:szCs w:val="22"/>
        </w:rPr>
      </w:pPr>
      <w:bookmarkStart w:id="31" w:name="OLE_LINK14"/>
      <m:oMath>
        <m:sSub>
          <m:sSubPr>
            <m:ctrlPr>
              <w:rPr>
                <w:rFonts w:ascii="Cambria Math" w:hAnsi="Cambria Math"/>
                <w:sz w:val="22"/>
                <w:szCs w:val="22"/>
              </w:rPr>
            </m:ctrlPr>
          </m:sSubPr>
          <m:e>
            <m:r>
              <m:rPr>
                <m:sty m:val="p"/>
              </m:rPr>
              <w:rPr>
                <w:rFonts w:ascii="Cambria Math" w:hAnsi="Cambria Math"/>
                <w:sz w:val="22"/>
                <w:szCs w:val="22"/>
              </w:rPr>
              <m:t>L</m:t>
            </m:r>
            <m:ctrlPr>
              <w:rPr>
                <w:rFonts w:ascii="Cambria Math" w:hAnsi="Cambria Math"/>
                <w:sz w:val="22"/>
                <w:szCs w:val="22"/>
              </w:rPr>
            </m:ctrlPr>
          </m:e>
          <m:sub>
            <m:r>
              <m:rPr>
                <m:sty m:val="p"/>
              </m:rPr>
              <w:rPr>
                <w:rFonts w:ascii="Cambria Math" w:hAnsi="Cambria Math"/>
                <w:sz w:val="22"/>
                <w:szCs w:val="22"/>
              </w:rPr>
              <m:t>t</m:t>
            </m:r>
            <m:ctrlPr>
              <w:rPr>
                <w:rFonts w:ascii="Cambria Math" w:hAnsi="Cambria Math"/>
                <w:sz w:val="22"/>
                <w:szCs w:val="22"/>
              </w:rPr>
            </m:ctrlPr>
          </m:sub>
        </m:sSub>
        <m:r>
          <m:rPr>
            <m:sty m:val="p"/>
          </m:rPr>
          <w:rPr>
            <w:rFonts w:ascii="Cambria Math" w:hAnsi="Cambria Math"/>
            <w:sz w:val="22"/>
            <w:szCs w:val="22"/>
          </w:rPr>
          <m:t>=</m:t>
        </m:r>
        <m:nary>
          <m:naryPr>
            <m:chr m:val="∑"/>
            <m:grow m:val="1"/>
            <m:limLoc m:val="undOvr"/>
            <m:supHide m:val="1"/>
            <m:ctrlPr>
              <w:rPr>
                <w:rFonts w:ascii="Cambria Math" w:hAnsi="Cambria Math"/>
                <w:sz w:val="22"/>
                <w:szCs w:val="22"/>
              </w:rPr>
            </m:ctrlPr>
          </m:naryPr>
          <m:sub>
            <m:r>
              <m:rPr>
                <m:sty m:val="p"/>
              </m:rPr>
              <w:rPr>
                <w:rFonts w:ascii="Cambria Math" w:hAnsi="Cambria Math"/>
                <w:sz w:val="22"/>
                <w:szCs w:val="22"/>
              </w:rPr>
              <m:t>i</m:t>
            </m:r>
            <m:r>
              <m:rPr>
                <m:sty m:val="p"/>
              </m:rPr>
              <w:rPr>
                <w:rFonts w:hint="eastAsia"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ctrlPr>
                  <w:rPr>
                    <w:rFonts w:ascii="Cambria Math" w:hAnsi="Cambria Math"/>
                    <w:sz w:val="22"/>
                    <w:szCs w:val="22"/>
                  </w:rPr>
                </m:ctrlPr>
              </m:e>
              <m:sub>
                <m:r>
                  <m:rPr>
                    <m:sty m:val="p"/>
                  </m:rPr>
                  <w:rPr>
                    <w:rFonts w:ascii="Cambria Math" w:hAnsi="Cambria Math"/>
                    <w:sz w:val="22"/>
                    <w:szCs w:val="22"/>
                  </w:rPr>
                  <m:t>t</m:t>
                </m:r>
                <m:ctrlPr>
                  <w:rPr>
                    <w:rFonts w:ascii="Cambria Math" w:hAnsi="Cambria Math"/>
                    <w:sz w:val="22"/>
                    <w:szCs w:val="22"/>
                  </w:rPr>
                </m:ctrlPr>
              </m:sub>
            </m:sSub>
            <m:ctrlPr>
              <w:rPr>
                <w:rFonts w:ascii="Cambria Math" w:hAnsi="Cambria Math"/>
                <w:sz w:val="22"/>
                <w:szCs w:val="22"/>
              </w:rPr>
            </m:ctrlPr>
          </m:sub>
          <m:sup>
            <m:ctrlPr>
              <w:rPr>
                <w:rFonts w:ascii="Cambria Math" w:hAnsi="Cambria Math"/>
                <w:sz w:val="22"/>
                <w:szCs w:val="22"/>
              </w:rPr>
            </m:ctrlPr>
          </m:sup>
          <m:e>
            <m:sSub>
              <m:sSubPr>
                <m:ctrlPr>
                  <w:rPr>
                    <w:rFonts w:ascii="Cambria Math" w:hAnsi="Cambria Math"/>
                    <w:sz w:val="22"/>
                    <w:szCs w:val="22"/>
                  </w:rPr>
                </m:ctrlPr>
              </m:sSubPr>
              <m:e>
                <m:r>
                  <m:rPr>
                    <m:sty m:val="p"/>
                  </m:rPr>
                  <w:rPr>
                    <w:rFonts w:ascii="Cambria Math" w:hAnsi="Cambria Math"/>
                    <w:sz w:val="22"/>
                    <w:szCs w:val="22"/>
                  </w:rPr>
                  <m:t>Land</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ctrlPr>
              <w:rPr>
                <w:rFonts w:ascii="Cambria Math" w:hAnsi="Cambria Math"/>
                <w:sz w:val="22"/>
                <w:szCs w:val="22"/>
              </w:rPr>
            </m:ctrlPr>
          </m:e>
        </m:nary>
      </m:oMath>
      <w:r>
        <w:rPr>
          <w:sz w:val="22"/>
          <w:szCs w:val="22"/>
        </w:rPr>
        <w:t xml:space="preserve">            </w:t>
      </w:r>
      <w:r>
        <w:rPr>
          <w:rFonts w:eastAsia="宋体"/>
          <w:sz w:val="22"/>
          <w:szCs w:val="22"/>
        </w:rPr>
        <w:t xml:space="preserve">    </w:t>
      </w:r>
      <w:r>
        <w:rPr>
          <w:sz w:val="22"/>
          <w:szCs w:val="22"/>
        </w:rPr>
        <w:t xml:space="preserve">                          (S23)</w:t>
      </w:r>
    </w:p>
    <w:bookmarkEnd w:id="31"/>
    <w:p w14:paraId="02CF242C">
      <w:pPr>
        <w:pStyle w:val="30"/>
        <w:ind w:firstLine="440"/>
        <w:rPr>
          <w:sz w:val="22"/>
          <w:szCs w:val="22"/>
        </w:rPr>
      </w:pPr>
      <w:r>
        <w:rPr>
          <w:sz w:val="22"/>
          <w:szCs w:val="22"/>
        </w:rPr>
        <w:t>where the variable denotes the land occupation area of building i. Land area represents the territorial footprint of the diagnostic stock and distinguishes compact urban redevelopment from dispersed rural renewal.</w:t>
      </w:r>
    </w:p>
    <w:p w14:paraId="5FAB4FB9">
      <w:pPr>
        <w:pStyle w:val="30"/>
        <w:ind w:firstLine="440"/>
        <w:rPr>
          <w:sz w:val="22"/>
          <w:szCs w:val="22"/>
        </w:rPr>
      </w:pPr>
      <w:r>
        <w:rPr>
          <w:color w:val="000000"/>
          <w:sz w:val="22"/>
          <w:szCs w:val="22"/>
        </w:rPr>
        <w:t xml:space="preserve">Together, these four indicators provide a multidimensional account of governance pressure. Building count reflects administrative scope, dwelling units reflect social impact, floor area reflects implementation scale and land area reflects spatial restructuring demand. Their combined use allows renewal systems to be interpreted not only in terms of how many buildings require action, but also in terms of what kinds of governance capacity that action will require. The projected governance pressure indicators are reported for the total housing stock in </w:t>
      </w:r>
      <w:r>
        <w:rPr>
          <w:color w:val="0563C1"/>
          <w:sz w:val="22"/>
          <w:szCs w:val="22"/>
        </w:rPr>
        <w:t>Supplementary Tables 7-8</w:t>
      </w:r>
      <w:r>
        <w:rPr>
          <w:color w:val="000000"/>
          <w:sz w:val="22"/>
          <w:szCs w:val="22"/>
        </w:rPr>
        <w:t xml:space="preserve">, and separately for urban and rural housing systems in </w:t>
      </w:r>
      <w:r>
        <w:rPr>
          <w:color w:val="0563C1"/>
          <w:sz w:val="22"/>
          <w:szCs w:val="22"/>
        </w:rPr>
        <w:t>Supplementary Tables 9-10</w:t>
      </w:r>
      <w:r>
        <w:rPr>
          <w:color w:val="000000"/>
          <w:sz w:val="22"/>
          <w:szCs w:val="22"/>
        </w:rPr>
        <w:t>.</w:t>
      </w:r>
    </w:p>
    <w:p w14:paraId="4A1E5EB3">
      <w:r>
        <w:pict>
          <v:rect id="矩形 11" o:spid="_x0000_s1028" o:spt="1" style="height:0.05pt;width:564.65pt;" filled="f" coordsize="21600,21600">
            <v:path/>
            <v:fill on="f" focussize="0,0"/>
            <v:stroke/>
            <v:imagedata o:title=""/>
            <o:lock v:ext="edit" aspectratio="t"/>
            <w10:wrap type="none"/>
            <w10:anchorlock/>
          </v:rect>
        </w:pict>
      </w:r>
    </w:p>
    <w:p w14:paraId="0A23D87D">
      <w:pPr>
        <w:pStyle w:val="28"/>
      </w:pPr>
      <w:r>
        <w:t>S6. Pathway cost and carbon accounting</w:t>
      </w:r>
    </w:p>
    <w:p w14:paraId="1C34F6A0">
      <w:pPr>
        <w:pStyle w:val="29"/>
      </w:pPr>
      <w:r>
        <w:t>S6.1 Principle of pathway estimation</w:t>
      </w:r>
    </w:p>
    <w:p w14:paraId="36E608FB">
      <w:pPr>
        <w:pStyle w:val="30"/>
        <w:spacing w:line="276" w:lineRule="auto"/>
        <w:ind w:firstLine="440"/>
        <w:rPr>
          <w:sz w:val="22"/>
          <w:szCs w:val="22"/>
        </w:rPr>
      </w:pPr>
      <w:r>
        <w:rPr>
          <w:sz w:val="22"/>
          <w:szCs w:val="22"/>
        </w:rPr>
        <w:t>Large-scale residential renewal can proceed through different intervention pathways</w:t>
      </w:r>
      <w:r>
        <w:rPr>
          <w:sz w:val="22"/>
          <w:szCs w:val="22"/>
          <w:vertAlign w:val="superscript"/>
        </w:rPr>
        <w:t>17</w:t>
      </w:r>
      <w:r>
        <w:rPr>
          <w:sz w:val="22"/>
          <w:szCs w:val="22"/>
        </w:rPr>
        <w:t>. We distinguish a demolition account from an in situ renewal account for buildings in the renewal-pressure range. Demolition is evaluated through compensation exposure and demolition-stage emissions; in situ renewal is evaluated through direct retrofit investment and annual baseline operational emissions.</w:t>
      </w:r>
    </w:p>
    <w:p w14:paraId="31F34925">
      <w:pPr>
        <w:pStyle w:val="30"/>
        <w:spacing w:line="276" w:lineRule="auto"/>
        <w:ind w:firstLine="440"/>
        <w:rPr>
          <w:sz w:val="22"/>
          <w:szCs w:val="22"/>
        </w:rPr>
      </w:pPr>
      <w:r>
        <w:rPr>
          <w:sz w:val="22"/>
          <w:szCs w:val="22"/>
        </w:rPr>
        <w:t>This module does not predict negotiated project expenditure or realized emissions. It provides a consistent system-level accounting exercise that shows how the same diagnostic stock activates different obligations under contrasting pathways.</w:t>
      </w:r>
    </w:p>
    <w:p w14:paraId="5D49E09D">
      <w:pPr>
        <w:pStyle w:val="30"/>
        <w:spacing w:line="276" w:lineRule="auto"/>
        <w:ind w:firstLine="440"/>
        <w:rPr>
          <w:sz w:val="22"/>
          <w:szCs w:val="22"/>
        </w:rPr>
      </w:pPr>
      <w:r>
        <w:rPr>
          <w:sz w:val="22"/>
          <w:szCs w:val="22"/>
        </w:rPr>
        <w:t>All monetary values are expressed in constant 2020 prices</w:t>
      </w:r>
      <w:r>
        <w:rPr>
          <w:sz w:val="22"/>
          <w:szCs w:val="22"/>
          <w:vertAlign w:val="superscript"/>
        </w:rPr>
        <w:t>18–20</w:t>
      </w:r>
      <w:r>
        <w:rPr>
          <w:sz w:val="22"/>
          <w:szCs w:val="22"/>
        </w:rPr>
        <w:t>. This removes inflation and future nominal-price change from the comparison, so variation reflects the scale and composition of the renewal-pressure stock.</w:t>
      </w:r>
    </w:p>
    <w:p w14:paraId="763ACE82">
      <w:pPr>
        <w:pStyle w:val="30"/>
        <w:spacing w:line="276" w:lineRule="auto"/>
        <w:ind w:firstLine="440"/>
        <w:rPr>
          <w:sz w:val="22"/>
          <w:szCs w:val="22"/>
        </w:rPr>
      </w:pPr>
      <w:r>
        <w:rPr>
          <w:sz w:val="22"/>
          <w:szCs w:val="22"/>
        </w:rPr>
        <w:t>Because compensation institutions differ between urban and rural land systems, separate rules were applied to the two housing categories</w:t>
      </w:r>
      <w:r>
        <w:rPr>
          <w:sz w:val="22"/>
          <w:szCs w:val="22"/>
          <w:vertAlign w:val="superscript"/>
        </w:rPr>
        <w:t>21</w:t>
      </w:r>
      <w:r>
        <w:rPr>
          <w:sz w:val="22"/>
          <w:szCs w:val="22"/>
        </w:rPr>
        <w:t xml:space="preserve">. In situ renewal was instead represented as an engineering-investment account calibrated from approved local renovation projects. The accounting inputs and outputs are documented in </w:t>
      </w:r>
      <w:r>
        <w:rPr>
          <w:color w:val="0070A8"/>
          <w:sz w:val="22"/>
          <w:szCs w:val="22"/>
        </w:rPr>
        <w:t>Supplementary Tables 11–15</w:t>
      </w:r>
      <w:r>
        <w:rPr>
          <w:sz w:val="22"/>
          <w:szCs w:val="22"/>
        </w:rPr>
        <w:t>.</w:t>
      </w:r>
    </w:p>
    <w:p w14:paraId="49114B82">
      <w:pPr>
        <w:pStyle w:val="29"/>
        <w:spacing w:after="60"/>
      </w:pPr>
      <w:r>
        <w:t>S6.2 Demolition-mode compensation cost</w:t>
      </w:r>
    </w:p>
    <w:p w14:paraId="378AA4DA">
      <w:pPr>
        <w:pStyle w:val="30"/>
        <w:ind w:firstLine="420"/>
        <w:rPr>
          <w:rFonts w:eastAsia="宋体"/>
          <w:sz w:val="22"/>
          <w:szCs w:val="22"/>
        </w:rPr>
      </w:pPr>
      <w:r>
        <w:rPr>
          <w:rFonts w:eastAsia="宋体"/>
          <w:sz w:val="22"/>
          <w:szCs w:val="22"/>
        </w:rPr>
        <w:t xml:space="preserve">Demolition-mode compensation costs were estimated separately for urban and rural residential buildings to account for differences in land tenure, housing characteristics and compensation regimes. For urban residential buildings, compensation was estimated directly from total building floor area and the corresponding unit compensation price. The lower-bound estimate was calculated as the product of building floor area and the applicable unit compensation price, whereas the upper-bound estimate incorporated a 10% uplift to account for uncertainty in property valuation and policy implementation. Urban compensation was not further decomposed into structural, depreciation or decoration components because compensation for urban housing generally follows market-based appraisal or district-level compensation benchmarks. </w:t>
      </w:r>
    </w:p>
    <w:p w14:paraId="5CE304E1">
      <w:pPr>
        <w:pStyle w:val="30"/>
        <w:ind w:firstLine="420"/>
        <w:rPr>
          <w:rFonts w:eastAsia="宋体"/>
          <w:sz w:val="22"/>
          <w:szCs w:val="22"/>
        </w:rPr>
      </w:pPr>
      <w:r>
        <w:rPr>
          <w:rFonts w:eastAsia="宋体"/>
          <w:sz w:val="22"/>
          <w:szCs w:val="22"/>
        </w:rPr>
        <w:t>The urban compensation bounds were calculated as:</w:t>
      </w:r>
    </w:p>
    <w:p w14:paraId="0C3F02BC">
      <w:pPr>
        <w:pStyle w:val="31"/>
        <w:rPr>
          <w:rFonts w:eastAsia="宋体"/>
          <w:sz w:val="22"/>
          <w:szCs w:val="22"/>
        </w:rPr>
      </w:pPr>
      <m:oMath>
        <m:m>
          <m:mPr>
            <m:mcs>
              <m:mc>
                <m:mcPr>
                  <m:count m:val="4"/>
                  <m:mcJc m:val="center"/>
                </m:mcPr>
              </m:mc>
            </m:mcs>
            <m:plcHide m:val="1"/>
            <m:ctrlPr>
              <w:rPr>
                <w:rFonts w:ascii="Cambria Math" w:hAnsi="Cambria Math"/>
                <w:sz w:val="22"/>
                <w:szCs w:val="22"/>
              </w:rPr>
            </m:ctrlPr>
          </m:mPr>
          <m:mr>
            <m:e>
              <m:ctrlPr>
                <w:rPr>
                  <w:rFonts w:ascii="Cambria Math" w:hAnsi="Cambria Math"/>
                  <w:sz w:val="22"/>
                  <w:szCs w:val="22"/>
                </w:rPr>
              </m:ctrlPr>
            </m:e>
            <m:e>
              <m:sSubSup>
                <m:sSubSupPr>
                  <m:ctrlPr>
                    <w:rPr>
                      <w:rFonts w:ascii="Cambria Math" w:hAnsi="Cambria Math"/>
                      <w:sz w:val="22"/>
                      <w:szCs w:val="22"/>
                    </w:rPr>
                  </m:ctrlPr>
                </m:sSubSupPr>
                <m:e>
                  <m:r>
                    <m:rPr>
                      <m:sty m:val="p"/>
                    </m:rPr>
                    <w:rPr>
                      <w:rFonts w:ascii="Cambria Math" w:hAnsi="Cambria Math"/>
                      <w:sz w:val="22"/>
                      <w:szCs w:val="22"/>
                    </w:rPr>
                    <m:t>C</m:t>
                  </m:r>
                  <m:ctrlPr>
                    <w:rPr>
                      <w:rFonts w:ascii="Cambria Math" w:hAnsi="Cambria Math"/>
                      <w:sz w:val="22"/>
                      <w:szCs w:val="22"/>
                    </w:rPr>
                  </m:ctrlPr>
                </m:e>
                <m:sub>
                  <m:r>
                    <m:rPr>
                      <m:sty m:val="p"/>
                    </m:rPr>
                    <w:rPr>
                      <w:rFonts w:ascii="Cambria Math" w:hAnsi="Cambria Math"/>
                      <w:sz w:val="22"/>
                      <w:szCs w:val="22"/>
                    </w:rPr>
                    <m:t>i,b</m:t>
                  </m:r>
                  <m:ctrlPr>
                    <w:rPr>
                      <w:rFonts w:ascii="Cambria Math" w:hAnsi="Cambria Math"/>
                      <w:sz w:val="22"/>
                      <w:szCs w:val="22"/>
                    </w:rPr>
                  </m:ctrlPr>
                </m:sub>
                <m:sup>
                  <m:r>
                    <m:rPr>
                      <m:sty m:val="p"/>
                    </m:rPr>
                    <w:rPr>
                      <w:rFonts w:ascii="Cambria Math" w:hAnsi="Cambria Math"/>
                      <w:sz w:val="22"/>
                      <w:szCs w:val="22"/>
                    </w:rPr>
                    <m:t>dem</m:t>
                  </m:r>
                  <m:ctrlPr>
                    <w:rPr>
                      <w:rFonts w:ascii="Cambria Math" w:hAnsi="Cambria Math"/>
                      <w:sz w:val="22"/>
                      <w:szCs w:val="22"/>
                    </w:rPr>
                  </m:ctrlPr>
                </m:sup>
              </m:sSubSup>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A</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sSub>
                <m:sSubPr>
                  <m:ctrlPr>
                    <w:rPr>
                      <w:rFonts w:ascii="Cambria Math" w:hAnsi="Cambria Math"/>
                      <w:sz w:val="22"/>
                      <w:szCs w:val="22"/>
                    </w:rPr>
                  </m:ctrlPr>
                </m:sSubPr>
                <m:e>
                  <m:r>
                    <m:rPr>
                      <m:sty m:val="p"/>
                    </m:rPr>
                    <w:rPr>
                      <w:rFonts w:ascii="Cambria Math" w:hAnsi="Cambria Math"/>
                      <w:sz w:val="22"/>
                      <w:szCs w:val="22"/>
                    </w:rPr>
                    <m:t>p</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sSub>
                <m:sSubPr>
                  <m:ctrlPr>
                    <w:rPr>
                      <w:rFonts w:ascii="Cambria Math" w:hAnsi="Cambria Math"/>
                      <w:sz w:val="22"/>
                      <w:szCs w:val="22"/>
                    </w:rPr>
                  </m:ctrlPr>
                </m:sSubPr>
                <m:e>
                  <m:r>
                    <m:rPr>
                      <m:sty m:val="p"/>
                    </m:rPr>
                    <w:rPr>
                      <w:rFonts w:ascii="Cambria Math" w:hAnsi="Cambria Math"/>
                      <w:sz w:val="22"/>
                      <w:szCs w:val="22"/>
                    </w:rPr>
                    <m:t>κ</m:t>
                  </m:r>
                  <m:ctrlPr>
                    <w:rPr>
                      <w:rFonts w:ascii="Cambria Math" w:hAnsi="Cambria Math"/>
                      <w:sz w:val="22"/>
                      <w:szCs w:val="22"/>
                    </w:rPr>
                  </m:ctrlPr>
                </m:e>
                <m:sub>
                  <m:r>
                    <m:rPr>
                      <m:sty m:val="p"/>
                    </m:rPr>
                    <w:rPr>
                      <w:rFonts w:ascii="Cambria Math" w:hAnsi="Cambria Math"/>
                      <w:sz w:val="22"/>
                      <w:szCs w:val="22"/>
                    </w:rPr>
                    <m:t>b</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κ</m:t>
                  </m:r>
                  <m:ctrlPr>
                    <w:rPr>
                      <w:rFonts w:ascii="Cambria Math" w:hAnsi="Cambria Math"/>
                      <w:sz w:val="22"/>
                      <w:szCs w:val="22"/>
                    </w:rPr>
                  </m:ctrlPr>
                </m:e>
                <m:sub>
                  <m:r>
                    <m:rPr>
                      <m:sty m:val="p"/>
                    </m:rPr>
                    <w:rPr>
                      <w:rFonts w:ascii="Cambria Math" w:hAnsi="Cambria Math"/>
                      <w:sz w:val="22"/>
                      <w:szCs w:val="22"/>
                    </w:rPr>
                    <m:t>b</m:t>
                  </m:r>
                  <m:ctrlPr>
                    <w:rPr>
                      <w:rFonts w:ascii="Cambria Math" w:hAnsi="Cambria Math"/>
                      <w:sz w:val="22"/>
                      <w:szCs w:val="22"/>
                    </w:rPr>
                  </m:ctrlPr>
                </m:sub>
              </m:sSub>
              <m:r>
                <m:rPr>
                  <m:sty m:val="p"/>
                </m:rPr>
                <w:rPr>
                  <w:rFonts w:ascii="Cambria Math" w:hAnsi="Cambria Math"/>
                  <w:sz w:val="22"/>
                  <w:szCs w:val="22"/>
                </w:rPr>
                <m:t>=</m:t>
              </m:r>
              <m:d>
                <m:dPr>
                  <m:begChr m:val="{"/>
                  <m:endChr m:val=""/>
                  <m:ctrlPr>
                    <w:rPr>
                      <w:rFonts w:ascii="Cambria Math" w:hAnsi="Cambria Math"/>
                      <w:sz w:val="22"/>
                      <w:szCs w:val="22"/>
                    </w:rPr>
                  </m:ctrlPr>
                </m:dPr>
                <m:e>
                  <m:m>
                    <m:mPr>
                      <m:mcs>
                        <m:mc>
                          <m:mcPr>
                            <m:count m:val="2"/>
                            <m:mcJc m:val="center"/>
                          </m:mcPr>
                        </m:mc>
                      </m:mcs>
                      <m:plcHide m:val="1"/>
                      <m:ctrlPr>
                        <w:rPr>
                          <w:rFonts w:ascii="Cambria Math" w:hAnsi="Cambria Math"/>
                          <w:sz w:val="22"/>
                          <w:szCs w:val="22"/>
                        </w:rPr>
                      </m:ctrlPr>
                    </m:mPr>
                    <m:mr>
                      <m:e>
                        <m:r>
                          <m:rPr>
                            <m:sty m:val="p"/>
                          </m:rPr>
                          <w:rPr>
                            <w:rFonts w:ascii="Cambria Math" w:hAnsi="Cambria Math"/>
                            <w:sz w:val="22"/>
                            <w:szCs w:val="22"/>
                          </w:rPr>
                          <m:t>1.00,</m:t>
                        </m:r>
                        <m:ctrlPr>
                          <w:rPr>
                            <w:rFonts w:ascii="Cambria Math" w:hAnsi="Cambria Math"/>
                            <w:sz w:val="22"/>
                            <w:szCs w:val="22"/>
                          </w:rPr>
                        </m:ctrlPr>
                      </m:e>
                      <m:e>
                        <m:r>
                          <m:rPr>
                            <m:sty m:val="p"/>
                          </m:rPr>
                          <w:rPr>
                            <w:rFonts w:ascii="Cambria Math" w:hAnsi="Cambria Math"/>
                            <w:sz w:val="22"/>
                            <w:szCs w:val="22"/>
                          </w:rPr>
                          <m:t>b=L,</m:t>
                        </m:r>
                        <m:ctrlPr>
                          <w:rPr>
                            <w:rFonts w:ascii="Cambria Math" w:hAnsi="Cambria Math"/>
                            <w:sz w:val="22"/>
                            <w:szCs w:val="22"/>
                          </w:rPr>
                        </m:ctrlPr>
                      </m:e>
                    </m:mr>
                    <m:mr>
                      <m:e>
                        <m:r>
                          <m:rPr>
                            <m:sty m:val="p"/>
                          </m:rPr>
                          <w:rPr>
                            <w:rFonts w:ascii="Cambria Math" w:hAnsi="Cambria Math"/>
                            <w:sz w:val="22"/>
                            <w:szCs w:val="22"/>
                          </w:rPr>
                          <m:t>1.10,</m:t>
                        </m:r>
                        <m:ctrlPr>
                          <w:rPr>
                            <w:rFonts w:ascii="Cambria Math" w:hAnsi="Cambria Math"/>
                            <w:sz w:val="22"/>
                            <w:szCs w:val="22"/>
                          </w:rPr>
                        </m:ctrlPr>
                      </m:e>
                      <m:e>
                        <m:r>
                          <m:rPr>
                            <m:sty m:val="p"/>
                          </m:rPr>
                          <w:rPr>
                            <w:rFonts w:ascii="Cambria Math" w:hAnsi="Cambria Math"/>
                            <w:sz w:val="22"/>
                            <w:szCs w:val="22"/>
                          </w:rPr>
                          <m:t>b=U,</m:t>
                        </m:r>
                        <m:ctrlPr>
                          <w:rPr>
                            <w:rFonts w:ascii="Cambria Math" w:hAnsi="Cambria Math"/>
                            <w:sz w:val="22"/>
                            <w:szCs w:val="22"/>
                          </w:rPr>
                        </m:ctrlPr>
                      </m:e>
                    </m:mr>
                  </m:m>
                  <m:ctrlPr>
                    <w:rPr>
                      <w:rFonts w:ascii="Cambria Math" w:hAnsi="Cambria Math"/>
                      <w:sz w:val="22"/>
                      <w:szCs w:val="22"/>
                    </w:rPr>
                  </m:ctrlPr>
                </m:e>
              </m:d>
              <m:r>
                <m:rPr>
                  <m:sty m:val="p"/>
                </m:rPr>
                <w:rPr>
                  <w:rFonts w:ascii="Cambria Math" w:hAnsi="Cambria Math"/>
                  <w:sz w:val="22"/>
                  <w:szCs w:val="22"/>
                </w:rPr>
                <m:t>i</m:t>
              </m:r>
              <m:r>
                <m:rPr>
                  <m:sty m:val="p"/>
                </m:rPr>
                <w:rPr>
                  <w:rFonts w:hint="eastAsia" w:ascii="Cambria Math" w:hAnsi="Cambria Math"/>
                  <w:sz w:val="22"/>
                  <w:szCs w:val="22"/>
                </w:rPr>
                <m:t>∈</m:t>
              </m:r>
              <m:r>
                <m:rPr>
                  <m:sty m:val="p"/>
                </m:rPr>
                <w:rPr>
                  <w:rFonts w:ascii="Cambria Math" w:hAnsi="Cambria Math"/>
                  <w:sz w:val="22"/>
                  <w:szCs w:val="22"/>
                </w:rPr>
                <m:t>Urban,</m:t>
              </m:r>
              <m:ctrlPr>
                <w:rPr>
                  <w:rFonts w:ascii="Cambria Math" w:hAnsi="Cambria Math"/>
                  <w:sz w:val="22"/>
                  <w:szCs w:val="22"/>
                </w:rPr>
              </m:ctrlPr>
            </m:e>
            <m:e>
              <m:r>
                <m:rPr>
                  <m:sty m:val="p"/>
                </m:rPr>
                <w:rPr>
                  <w:rFonts w:ascii="Cambria Math" w:hAnsi="Cambria Math"/>
                  <w:sz w:val="22"/>
                  <w:szCs w:val="22"/>
                </w:rPr>
                <m:t xml:space="preserve">                                </m:t>
              </m:r>
              <m:ctrlPr>
                <w:rPr>
                  <w:rFonts w:ascii="Cambria Math" w:hAnsi="Cambria Math"/>
                  <w:sz w:val="22"/>
                  <w:szCs w:val="22"/>
                </w:rPr>
              </m:ctrlPr>
            </m:e>
            <m:e>
              <m:ctrlPr>
                <w:rPr>
                  <w:rFonts w:ascii="Cambria Math" w:hAnsi="Cambria Math"/>
                  <w:sz w:val="22"/>
                  <w:szCs w:val="22"/>
                </w:rPr>
              </m:ctrlPr>
            </m:e>
          </m:mr>
        </m:m>
      </m:oMath>
      <w:r>
        <w:rPr>
          <w:sz w:val="22"/>
          <w:szCs w:val="22"/>
        </w:rPr>
        <w:t>(S24)</w:t>
      </w:r>
    </w:p>
    <w:p w14:paraId="6858955A">
      <w:pPr>
        <w:pStyle w:val="30"/>
        <w:ind w:firstLine="420"/>
        <w:rPr>
          <w:rFonts w:eastAsia="宋体"/>
          <w:sz w:val="22"/>
          <w:szCs w:val="22"/>
        </w:rPr>
      </w:pPr>
      <w:r>
        <w:rPr>
          <w:rFonts w:eastAsia="宋体"/>
          <w:sz w:val="22"/>
          <w:szCs w:val="22"/>
        </w:rPr>
        <w:t xml:space="preserve">where </w:t>
      </w:r>
      <m:oMath>
        <m:sSubSup>
          <m:sSubSupPr>
            <m:ctrlPr>
              <w:rPr>
                <w:rFonts w:ascii="Cambria Math" w:hAnsi="Cambria Math" w:eastAsia="宋体"/>
                <w:sz w:val="22"/>
                <w:szCs w:val="22"/>
              </w:rPr>
            </m:ctrlPr>
          </m:sSubSupPr>
          <m:e>
            <m:r>
              <m:rPr/>
              <w:rPr>
                <w:rFonts w:ascii="Cambria Math" w:hAnsi="Cambria Math" w:eastAsia="宋体"/>
                <w:sz w:val="22"/>
                <w:szCs w:val="22"/>
              </w:rPr>
              <m:t>C</m:t>
            </m:r>
            <m:ctrlPr>
              <w:rPr>
                <w:rFonts w:ascii="Cambria Math" w:hAnsi="Cambria Math" w:eastAsia="宋体"/>
                <w:sz w:val="22"/>
                <w:szCs w:val="22"/>
              </w:rPr>
            </m:ctrlPr>
          </m:e>
          <m:sub>
            <m:r>
              <m:rPr/>
              <w:rPr>
                <w:rFonts w:ascii="Cambria Math" w:hAnsi="Cambria Math" w:eastAsia="宋体"/>
                <w:sz w:val="22"/>
                <w:szCs w:val="22"/>
              </w:rPr>
              <m:t>i,b</m:t>
            </m:r>
            <m:ctrlPr>
              <w:rPr>
                <w:rFonts w:ascii="Cambria Math" w:hAnsi="Cambria Math" w:eastAsia="宋体"/>
                <w:sz w:val="22"/>
                <w:szCs w:val="22"/>
              </w:rPr>
            </m:ctrlPr>
          </m:sub>
          <m:sup>
            <m:r>
              <m:rPr>
                <m:sty m:val="p"/>
              </m:rPr>
              <w:rPr>
                <w:rFonts w:ascii="Cambria Math" w:hAnsi="Cambria Math" w:eastAsia="宋体"/>
                <w:sz w:val="22"/>
                <w:szCs w:val="22"/>
              </w:rPr>
              <m:t>dem</m:t>
            </m:r>
            <m:ctrlPr>
              <w:rPr>
                <w:rFonts w:ascii="Cambria Math" w:hAnsi="Cambria Math" w:eastAsia="宋体"/>
                <w:sz w:val="22"/>
                <w:szCs w:val="22"/>
              </w:rPr>
            </m:ctrlPr>
          </m:sup>
        </m:sSubSup>
      </m:oMath>
      <w:r>
        <w:rPr>
          <w:rFonts w:eastAsia="宋体"/>
          <w:sz w:val="22"/>
          <w:szCs w:val="22"/>
        </w:rPr>
        <w:t xml:space="preserve">is the demolition-mode compensation cost for building </w:t>
      </w:r>
      <m:oMath>
        <m:r>
          <m:rPr/>
          <w:rPr>
            <w:rFonts w:ascii="Cambria Math" w:hAnsi="Cambria Math" w:eastAsia="宋体"/>
            <w:sz w:val="22"/>
            <w:szCs w:val="22"/>
          </w:rPr>
          <m:t>i</m:t>
        </m:r>
      </m:oMath>
      <w:r>
        <w:rPr>
          <w:rFonts w:eastAsia="宋体"/>
          <w:sz w:val="22"/>
          <w:szCs w:val="22"/>
        </w:rPr>
        <w:t xml:space="preserve">under bound </w:t>
      </w:r>
      <m:oMath>
        <m:r>
          <m:rPr/>
          <w:rPr>
            <w:rFonts w:ascii="Cambria Math" w:hAnsi="Cambria Math" w:eastAsia="宋体"/>
            <w:sz w:val="22"/>
            <w:szCs w:val="22"/>
          </w:rPr>
          <m:t>b</m:t>
        </m:r>
      </m:oMath>
      <w:r>
        <w:rPr>
          <w:rFonts w:eastAsia="宋体"/>
          <w:sz w:val="22"/>
          <w:szCs w:val="22"/>
        </w:rPr>
        <w:t xml:space="preserve">, </w:t>
      </w:r>
      <m:oMath>
        <m:sSub>
          <m:sSubPr>
            <m:ctrlPr>
              <w:rPr>
                <w:rFonts w:ascii="Cambria Math" w:hAnsi="Cambria Math" w:eastAsia="宋体"/>
                <w:sz w:val="22"/>
                <w:szCs w:val="22"/>
              </w:rPr>
            </m:ctrlPr>
          </m:sSubPr>
          <m:e>
            <m:r>
              <m:rPr/>
              <w:rPr>
                <w:rFonts w:ascii="Cambria Math" w:hAnsi="Cambria Math" w:eastAsia="宋体"/>
                <w:sz w:val="22"/>
                <w:szCs w:val="22"/>
              </w:rPr>
              <m:t>A</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oMath>
      <w:r>
        <w:rPr>
          <w:rFonts w:eastAsia="宋体"/>
          <w:sz w:val="22"/>
          <w:szCs w:val="22"/>
        </w:rPr>
        <w:t xml:space="preserve">is the total building floor area, </w:t>
      </w:r>
      <m:oMath>
        <m:sSub>
          <m:sSubPr>
            <m:ctrlPr>
              <w:rPr>
                <w:rFonts w:ascii="Cambria Math" w:hAnsi="Cambria Math" w:eastAsia="宋体"/>
                <w:sz w:val="22"/>
                <w:szCs w:val="22"/>
              </w:rPr>
            </m:ctrlPr>
          </m:sSubPr>
          <m:e>
            <m:r>
              <m:rPr/>
              <w:rPr>
                <w:rFonts w:ascii="Cambria Math" w:hAnsi="Cambria Math" w:eastAsia="宋体"/>
                <w:sz w:val="22"/>
                <w:szCs w:val="22"/>
              </w:rPr>
              <m:t>p</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oMath>
      <w:r>
        <w:rPr>
          <w:rFonts w:eastAsia="宋体"/>
          <w:sz w:val="22"/>
          <w:szCs w:val="22"/>
        </w:rPr>
        <w:t xml:space="preserve">is the applicable urban unit compensation price, and </w:t>
      </w:r>
      <m:oMath>
        <m:r>
          <m:rPr/>
          <w:rPr>
            <w:rFonts w:ascii="Cambria Math" w:hAnsi="Cambria Math" w:eastAsia="宋体"/>
            <w:sz w:val="22"/>
            <w:szCs w:val="22"/>
          </w:rPr>
          <m:t>b</m:t>
        </m:r>
        <m:r>
          <m:rPr>
            <m:sty m:val="p"/>
          </m:rPr>
          <w:rPr>
            <w:rFonts w:hint="eastAsia" w:ascii="Cambria Math" w:hAnsi="Cambria Math" w:eastAsia="宋体"/>
            <w:sz w:val="22"/>
            <w:szCs w:val="22"/>
          </w:rPr>
          <m:t>∈{</m:t>
        </m:r>
        <m:r>
          <m:rPr/>
          <w:rPr>
            <w:rFonts w:ascii="Cambria Math" w:hAnsi="Cambria Math" w:eastAsia="宋体"/>
            <w:sz w:val="22"/>
            <w:szCs w:val="22"/>
          </w:rPr>
          <m:t>L</m:t>
        </m:r>
        <m:r>
          <m:rPr>
            <m:sty m:val="p"/>
          </m:rPr>
          <w:rPr>
            <w:rFonts w:ascii="Cambria Math" w:hAnsi="Cambria Math" w:eastAsia="宋体"/>
            <w:sz w:val="22"/>
            <w:szCs w:val="22"/>
          </w:rPr>
          <m:t>,</m:t>
        </m:r>
        <m:r>
          <m:rPr/>
          <w:rPr>
            <w:rFonts w:ascii="Cambria Math" w:hAnsi="Cambria Math" w:eastAsia="宋体"/>
            <w:sz w:val="22"/>
            <w:szCs w:val="22"/>
          </w:rPr>
          <m:t>U</m:t>
        </m:r>
        <m:r>
          <m:rPr>
            <m:sty m:val="p"/>
          </m:rPr>
          <w:rPr>
            <w:rFonts w:ascii="Cambria Math" w:hAnsi="Cambria Math" w:eastAsia="宋体"/>
            <w:sz w:val="22"/>
            <w:szCs w:val="22"/>
          </w:rPr>
          <m:t>}</m:t>
        </m:r>
      </m:oMath>
      <w:r>
        <w:rPr>
          <w:rFonts w:eastAsia="宋体"/>
          <w:sz w:val="22"/>
          <w:szCs w:val="22"/>
        </w:rPr>
        <w:t>denotes the lower and upper bounds, respectively.</w:t>
      </w:r>
    </w:p>
    <w:p w14:paraId="29667A3C">
      <w:pPr>
        <w:pStyle w:val="30"/>
        <w:ind w:firstLine="420"/>
        <w:rPr>
          <w:rFonts w:eastAsia="宋体"/>
          <w:sz w:val="22"/>
          <w:szCs w:val="22"/>
        </w:rPr>
      </w:pPr>
      <w:r>
        <w:rPr>
          <w:sz w:val="22"/>
          <w:szCs w:val="22"/>
        </w:rPr>
        <w:t>For rural residential buildings, compensation was estimated using the itemized replacement-cost method specified in the Guiding Opinions on Land and Housing Expropriation, Demolition Compensation and Resettlement in the Quanzhou Taiwanese Investment Zone</w:t>
      </w:r>
      <w:r>
        <w:rPr>
          <w:sz w:val="22"/>
          <w:szCs w:val="22"/>
          <w:vertAlign w:val="superscript"/>
        </w:rPr>
        <w:t>21</w:t>
      </w:r>
      <w:r>
        <w:rPr>
          <w:sz w:val="22"/>
          <w:szCs w:val="22"/>
        </w:rPr>
        <w:t>. Rural compensation comprises homestead compensation, structural replacement compensation and indoor-decoration compensation. Homestead compensation was set at 900 yuan m⁻² of building footprint or recognized homestead area. Structural compensation was assigned by matching the census structure class to the official replacement-price interval and applying the age-specific newness coefficient ηᵢ. Because building-level decoration standards were unavailable, decoration compensation ranges from 0 to 900 yuan m⁻² (</w:t>
      </w:r>
      <w:r>
        <w:rPr>
          <w:color w:val="0070A8"/>
          <w:sz w:val="22"/>
          <w:szCs w:val="22"/>
        </w:rPr>
        <w:t>Supplementary Tables 11 and 12</w:t>
      </w:r>
      <w:r>
        <w:rPr>
          <w:sz w:val="22"/>
          <w:szCs w:val="22"/>
        </w:rPr>
        <w:t>).</w:t>
      </w:r>
    </w:p>
    <w:p w14:paraId="5B6C0FC9">
      <w:pPr>
        <w:pStyle w:val="30"/>
        <w:ind w:firstLine="420"/>
        <w:rPr>
          <w:rFonts w:eastAsia="宋体"/>
          <w:sz w:val="22"/>
          <w:szCs w:val="22"/>
        </w:rPr>
      </w:pPr>
      <w:r>
        <w:rPr>
          <w:rFonts w:eastAsia="宋体"/>
          <w:sz w:val="22"/>
          <w:szCs w:val="22"/>
        </w:rPr>
        <w:t>The rural compensation bounds were calculated as:</w:t>
      </w:r>
    </w:p>
    <w:p w14:paraId="5BA67081">
      <w:pPr>
        <w:pStyle w:val="31"/>
        <w:rPr>
          <w:rFonts w:eastAsia="宋体"/>
          <w:sz w:val="22"/>
          <w:szCs w:val="22"/>
        </w:rPr>
      </w:pPr>
      <m:oMath>
        <m:m>
          <m:mPr>
            <m:mcs>
              <m:mc>
                <m:mcPr>
                  <m:count m:val="4"/>
                  <m:mcJc m:val="center"/>
                </m:mcPr>
              </m:mc>
            </m:mcs>
            <m:plcHide m:val="1"/>
            <m:ctrlPr>
              <w:rPr>
                <w:rFonts w:ascii="Cambria Math" w:hAnsi="Cambria Math"/>
                <w:sz w:val="22"/>
                <w:szCs w:val="22"/>
              </w:rPr>
            </m:ctrlPr>
          </m:mPr>
          <m:mr>
            <m:e>
              <m:ctrlPr>
                <w:rPr>
                  <w:rFonts w:ascii="Cambria Math" w:hAnsi="Cambria Math"/>
                  <w:sz w:val="22"/>
                  <w:szCs w:val="22"/>
                </w:rPr>
              </m:ctrlPr>
            </m:e>
            <m:e>
              <m:sSubSup>
                <m:sSubSupPr>
                  <m:ctrlPr>
                    <w:rPr>
                      <w:rFonts w:ascii="Cambria Math" w:hAnsi="Cambria Math"/>
                      <w:sz w:val="22"/>
                      <w:szCs w:val="22"/>
                    </w:rPr>
                  </m:ctrlPr>
                </m:sSubSupPr>
                <m:e>
                  <m:r>
                    <m:rPr>
                      <m:sty m:val="p"/>
                    </m:rPr>
                    <w:rPr>
                      <w:rFonts w:ascii="Cambria Math" w:hAnsi="Cambria Math"/>
                      <w:sz w:val="22"/>
                      <w:szCs w:val="22"/>
                    </w:rPr>
                    <m:t>C</m:t>
                  </m:r>
                  <m:ctrlPr>
                    <w:rPr>
                      <w:rFonts w:ascii="Cambria Math" w:hAnsi="Cambria Math"/>
                      <w:sz w:val="22"/>
                      <w:szCs w:val="22"/>
                    </w:rPr>
                  </m:ctrlPr>
                </m:e>
                <m:sub>
                  <m:r>
                    <m:rPr>
                      <m:sty m:val="p"/>
                    </m:rPr>
                    <w:rPr>
                      <w:rFonts w:ascii="Cambria Math" w:hAnsi="Cambria Math"/>
                      <w:sz w:val="22"/>
                      <w:szCs w:val="22"/>
                    </w:rPr>
                    <m:t>i,b</m:t>
                  </m:r>
                  <m:ctrlPr>
                    <w:rPr>
                      <w:rFonts w:ascii="Cambria Math" w:hAnsi="Cambria Math"/>
                      <w:sz w:val="22"/>
                      <w:szCs w:val="22"/>
                    </w:rPr>
                  </m:ctrlPr>
                </m:sub>
                <m:sup>
                  <m:r>
                    <m:rPr>
                      <m:sty m:val="p"/>
                    </m:rPr>
                    <w:rPr>
                      <w:rFonts w:ascii="Cambria Math" w:hAnsi="Cambria Math"/>
                      <w:sz w:val="22"/>
                      <w:szCs w:val="22"/>
                    </w:rPr>
                    <m:t>dem</m:t>
                  </m:r>
                  <m:ctrlPr>
                    <w:rPr>
                      <w:rFonts w:ascii="Cambria Math" w:hAnsi="Cambria Math"/>
                      <w:sz w:val="22"/>
                      <w:szCs w:val="22"/>
                    </w:rPr>
                  </m:ctrlPr>
                </m:sup>
              </m:sSubSup>
              <m:r>
                <m:rPr>
                  <m:sty m:val="p"/>
                </m:rPr>
                <w:rPr>
                  <w:rFonts w:ascii="Cambria Math" w:hAnsi="Cambria Math"/>
                  <w:sz w:val="22"/>
                  <w:szCs w:val="22"/>
                </w:rPr>
                <m:t>=900</m:t>
              </m:r>
              <m:sSub>
                <m:sSubPr>
                  <m:ctrlPr>
                    <w:rPr>
                      <w:rFonts w:ascii="Cambria Math" w:hAnsi="Cambria Math"/>
                      <w:sz w:val="22"/>
                      <w:szCs w:val="22"/>
                    </w:rPr>
                  </m:ctrlPr>
                </m:sSubPr>
                <m:e>
                  <m:r>
                    <m:rPr>
                      <m:sty m:val="p"/>
                    </m:rPr>
                    <w:rPr>
                      <w:rFonts w:ascii="Cambria Math" w:hAnsi="Cambria Math"/>
                      <w:sz w:val="22"/>
                      <w:szCs w:val="22"/>
                    </w:rPr>
                    <m:t>L</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A</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d>
                <m:dPr>
                  <m:begChr m:val="["/>
                  <m:endChr m:val="]"/>
                  <m:ctrlPr>
                    <w:rPr>
                      <w:rFonts w:ascii="Cambria Math" w:hAnsi="Cambria Math"/>
                      <w:sz w:val="22"/>
                      <w:szCs w:val="22"/>
                    </w:rPr>
                  </m:ctrlPr>
                </m:dPr>
                <m:e>
                  <m:sSub>
                    <m:sSubPr>
                      <m:ctrlPr>
                        <w:rPr>
                          <w:rFonts w:ascii="Cambria Math" w:hAnsi="Cambria Math"/>
                          <w:sz w:val="22"/>
                          <w:szCs w:val="22"/>
                        </w:rPr>
                      </m:ctrlPr>
                    </m:sSubPr>
                    <m:e>
                      <m:r>
                        <m:rPr>
                          <m:sty m:val="p"/>
                        </m:rPr>
                        <w:rPr>
                          <w:rFonts w:ascii="Cambria Math" w:hAnsi="Cambria Math"/>
                          <w:sz w:val="22"/>
                          <w:szCs w:val="22"/>
                        </w:rPr>
                        <m:t>R</m:t>
                      </m:r>
                      <m:ctrlPr>
                        <w:rPr>
                          <w:rFonts w:ascii="Cambria Math" w:hAnsi="Cambria Math"/>
                          <w:sz w:val="22"/>
                          <w:szCs w:val="22"/>
                        </w:rPr>
                      </m:ctrlPr>
                    </m:e>
                    <m:sub>
                      <m:r>
                        <m:rPr>
                          <m:sty m:val="p"/>
                        </m:rPr>
                        <w:rPr>
                          <w:rFonts w:ascii="Cambria Math" w:hAnsi="Cambria Math"/>
                          <w:sz w:val="22"/>
                          <w:szCs w:val="22"/>
                        </w:rPr>
                        <m:t>b</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s</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η</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D</m:t>
                      </m:r>
                      <m:ctrlPr>
                        <w:rPr>
                          <w:rFonts w:ascii="Cambria Math" w:hAnsi="Cambria Math"/>
                          <w:sz w:val="22"/>
                          <w:szCs w:val="22"/>
                        </w:rPr>
                      </m:ctrlPr>
                    </m:e>
                    <m:sub>
                      <m:r>
                        <m:rPr>
                          <m:sty m:val="p"/>
                        </m:rPr>
                        <w:rPr>
                          <w:rFonts w:ascii="Cambria Math" w:hAnsi="Cambria Math"/>
                          <w:sz w:val="22"/>
                          <w:szCs w:val="22"/>
                        </w:rPr>
                        <m:t>b</m:t>
                      </m:r>
                      <m:ctrlPr>
                        <w:rPr>
                          <w:rFonts w:ascii="Cambria Math" w:hAnsi="Cambria Math"/>
                          <w:sz w:val="22"/>
                          <w:szCs w:val="22"/>
                        </w:rPr>
                      </m:ctrlPr>
                    </m:sub>
                  </m:sSub>
                  <m:ctrlPr>
                    <w:rPr>
                      <w:rFonts w:ascii="Cambria Math" w:hAnsi="Cambria Math"/>
                      <w:sz w:val="22"/>
                      <w:szCs w:val="22"/>
                    </w:rPr>
                  </m:ctrlPr>
                </m:e>
              </m:d>
              <m:r>
                <m:rPr>
                  <m:sty m:val="p"/>
                </m:rPr>
                <w:rPr>
                  <w:rFonts w:ascii="Cambria Math" w:hAnsi="Cambria Math"/>
                  <w:sz w:val="22"/>
                  <w:szCs w:val="22"/>
                </w:rPr>
                <m:t>,</m:t>
              </m:r>
              <m:d>
                <m:dPr>
                  <m:begChr m:val="{"/>
                  <m:endChr m:val=""/>
                  <m:ctrlPr>
                    <w:rPr>
                      <w:rFonts w:ascii="Cambria Math" w:hAnsi="Cambria Math"/>
                      <w:sz w:val="22"/>
                      <w:szCs w:val="22"/>
                    </w:rPr>
                  </m:ctrlPr>
                </m:dPr>
                <m:e>
                  <m:eqArr>
                    <m:eqArrPr>
                      <m:ctrlPr>
                        <w:rPr>
                          <w:rFonts w:ascii="Cambria Math" w:hAnsi="Cambria Math"/>
                          <w:sz w:val="22"/>
                          <w:szCs w:val="22"/>
                        </w:rPr>
                      </m:ctrlPr>
                    </m:eqArrPr>
                    <m:e>
                      <m:sSub>
                        <m:sSubPr>
                          <m:ctrlPr>
                            <w:rPr>
                              <w:rFonts w:ascii="Cambria Math" w:hAnsi="Cambria Math"/>
                              <w:sz w:val="22"/>
                              <w:szCs w:val="22"/>
                            </w:rPr>
                          </m:ctrlPr>
                        </m:sSubPr>
                        <m:e>
                          <m:r>
                            <m:rPr>
                              <m:sty m:val="p"/>
                            </m:rPr>
                            <w:rPr>
                              <w:rFonts w:ascii="Cambria Math" w:hAnsi="Cambria Math"/>
                              <w:sz w:val="22"/>
                              <w:szCs w:val="22"/>
                            </w:rPr>
                            <m:t>R</m:t>
                          </m:r>
                          <m:ctrlPr>
                            <w:rPr>
                              <w:rFonts w:ascii="Cambria Math" w:hAnsi="Cambria Math"/>
                              <w:sz w:val="22"/>
                              <w:szCs w:val="22"/>
                            </w:rPr>
                          </m:ctrlPr>
                        </m:e>
                        <m:sub>
                          <m:r>
                            <m:rPr>
                              <m:sty m:val="p"/>
                            </m:rPr>
                            <w:rPr>
                              <w:rFonts w:ascii="Cambria Math" w:hAnsi="Cambria Math"/>
                              <w:sz w:val="22"/>
                              <w:szCs w:val="22"/>
                            </w:rPr>
                            <m:t>L</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s</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ctrlPr>
                            <w:rPr>
                              <w:rFonts w:ascii="Cambria Math" w:hAnsi="Cambria Math"/>
                              <w:sz w:val="22"/>
                              <w:szCs w:val="22"/>
                            </w:rPr>
                          </m:ctrlPr>
                        </m:e>
                        <m:sub>
                          <m:r>
                            <m:rPr>
                              <m:sty m:val="p"/>
                            </m:rPr>
                            <w:rPr>
                              <w:rFonts w:ascii="Cambria Math" w:hAnsi="Cambria Math"/>
                              <w:sz w:val="22"/>
                              <w:szCs w:val="22"/>
                            </w:rPr>
                            <m:t>min</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s</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D</m:t>
                          </m:r>
                          <m:ctrlPr>
                            <w:rPr>
                              <w:rFonts w:ascii="Cambria Math" w:hAnsi="Cambria Math"/>
                              <w:sz w:val="22"/>
                              <w:szCs w:val="22"/>
                            </w:rPr>
                          </m:ctrlPr>
                        </m:e>
                        <m:sub>
                          <m:r>
                            <m:rPr>
                              <m:sty m:val="p"/>
                            </m:rPr>
                            <w:rPr>
                              <w:rFonts w:ascii="Cambria Math" w:hAnsi="Cambria Math"/>
                              <w:sz w:val="22"/>
                              <w:szCs w:val="22"/>
                            </w:rPr>
                            <m:t>L</m:t>
                          </m:r>
                          <m:ctrlPr>
                            <w:rPr>
                              <w:rFonts w:ascii="Cambria Math" w:hAnsi="Cambria Math"/>
                              <w:sz w:val="22"/>
                              <w:szCs w:val="22"/>
                            </w:rPr>
                          </m:ctrlPr>
                        </m:sub>
                      </m:sSub>
                      <m:r>
                        <m:rPr>
                          <m:sty m:val="p"/>
                        </m:rPr>
                        <w:rPr>
                          <w:rFonts w:ascii="Cambria Math" w:hAnsi="Cambria Math"/>
                          <w:sz w:val="22"/>
                          <w:szCs w:val="22"/>
                        </w:rPr>
                        <m:t>=0,</m:t>
                      </m:r>
                      <m:ctrlPr>
                        <w:rPr>
                          <w:rFonts w:ascii="Cambria Math" w:hAnsi="Cambria Math"/>
                          <w:sz w:val="22"/>
                          <w:szCs w:val="22"/>
                        </w:rPr>
                      </m:ctrlPr>
                    </m:e>
                    <m:e>
                      <m:sSub>
                        <m:sSubPr>
                          <m:ctrlPr>
                            <w:rPr>
                              <w:rFonts w:ascii="Cambria Math" w:hAnsi="Cambria Math"/>
                              <w:sz w:val="22"/>
                              <w:szCs w:val="22"/>
                            </w:rPr>
                          </m:ctrlPr>
                        </m:sSubPr>
                        <m:e>
                          <m:r>
                            <m:rPr>
                              <m:sty m:val="p"/>
                            </m:rPr>
                            <w:rPr>
                              <w:rFonts w:ascii="Cambria Math" w:hAnsi="Cambria Math"/>
                              <w:sz w:val="22"/>
                              <w:szCs w:val="22"/>
                            </w:rPr>
                            <m:t xml:space="preserve">      R</m:t>
                          </m:r>
                          <m:ctrlPr>
                            <w:rPr>
                              <w:rFonts w:ascii="Cambria Math" w:hAnsi="Cambria Math"/>
                              <w:sz w:val="22"/>
                              <w:szCs w:val="22"/>
                            </w:rPr>
                          </m:ctrlPr>
                        </m:e>
                        <m:sub>
                          <m:r>
                            <m:rPr>
                              <m:sty m:val="p"/>
                            </m:rPr>
                            <w:rPr>
                              <w:rFonts w:ascii="Cambria Math" w:hAnsi="Cambria Math"/>
                              <w:sz w:val="22"/>
                              <w:szCs w:val="22"/>
                            </w:rPr>
                            <m:t>U</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s</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ctrlPr>
                            <w:rPr>
                              <w:rFonts w:ascii="Cambria Math" w:hAnsi="Cambria Math"/>
                              <w:sz w:val="22"/>
                              <w:szCs w:val="22"/>
                            </w:rPr>
                          </m:ctrlPr>
                        </m:e>
                        <m:sub>
                          <m:r>
                            <m:rPr>
                              <m:sty m:val="p"/>
                            </m:rPr>
                            <w:rPr>
                              <w:rFonts w:ascii="Cambria Math" w:hAnsi="Cambria Math"/>
                              <w:sz w:val="22"/>
                              <w:szCs w:val="22"/>
                            </w:rPr>
                            <m:t>max</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s</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D</m:t>
                          </m:r>
                          <m:ctrlPr>
                            <w:rPr>
                              <w:rFonts w:ascii="Cambria Math" w:hAnsi="Cambria Math"/>
                              <w:sz w:val="22"/>
                              <w:szCs w:val="22"/>
                            </w:rPr>
                          </m:ctrlPr>
                        </m:e>
                        <m:sub>
                          <m:r>
                            <m:rPr>
                              <m:sty m:val="p"/>
                            </m:rPr>
                            <w:rPr>
                              <w:rFonts w:ascii="Cambria Math" w:hAnsi="Cambria Math"/>
                              <w:sz w:val="22"/>
                              <w:szCs w:val="22"/>
                            </w:rPr>
                            <m:t>U</m:t>
                          </m:r>
                          <m:ctrlPr>
                            <w:rPr>
                              <w:rFonts w:ascii="Cambria Math" w:hAnsi="Cambria Math"/>
                              <w:sz w:val="22"/>
                              <w:szCs w:val="22"/>
                            </w:rPr>
                          </m:ctrlPr>
                        </m:sub>
                      </m:sSub>
                      <m:r>
                        <m:rPr>
                          <m:sty m:val="p"/>
                        </m:rPr>
                        <w:rPr>
                          <w:rFonts w:ascii="Cambria Math" w:hAnsi="Cambria Math"/>
                          <w:sz w:val="22"/>
                          <w:szCs w:val="22"/>
                        </w:rPr>
                        <m:t>=900,</m:t>
                      </m:r>
                      <m:ctrlPr>
                        <w:rPr>
                          <w:rFonts w:ascii="Cambria Math" w:hAnsi="Cambria Math"/>
                          <w:sz w:val="22"/>
                          <w:szCs w:val="22"/>
                        </w:rPr>
                      </m:ctrlPr>
                    </m:e>
                  </m:eqArr>
                  <m:ctrlPr>
                    <w:rPr>
                      <w:rFonts w:ascii="Cambria Math" w:hAnsi="Cambria Math"/>
                      <w:sz w:val="22"/>
                      <w:szCs w:val="22"/>
                    </w:rPr>
                  </m:ctrlPr>
                </m:e>
              </m:d>
              <m:r>
                <m:rPr>
                  <m:sty m:val="p"/>
                </m:rPr>
                <w:rPr>
                  <w:rFonts w:ascii="Cambria Math" w:hAnsi="Cambria Math"/>
                  <w:sz w:val="22"/>
                  <w:szCs w:val="22"/>
                </w:rPr>
                <m:t>i</m:t>
              </m:r>
              <m:r>
                <m:rPr>
                  <m:sty m:val="p"/>
                </m:rPr>
                <w:rPr>
                  <w:rFonts w:hint="eastAsia" w:ascii="Cambria Math" w:hAnsi="Cambria Math"/>
                  <w:sz w:val="22"/>
                  <w:szCs w:val="22"/>
                </w:rPr>
                <m:t>∈</m:t>
              </m:r>
              <m:r>
                <m:rPr>
                  <m:sty m:val="p"/>
                </m:rPr>
                <w:rPr>
                  <w:rFonts w:ascii="Cambria Math" w:hAnsi="Cambria Math"/>
                  <w:sz w:val="22"/>
                  <w:szCs w:val="22"/>
                </w:rPr>
                <m:t>Rural,</m:t>
              </m:r>
              <m:ctrlPr>
                <w:rPr>
                  <w:rFonts w:ascii="Cambria Math" w:hAnsi="Cambria Math"/>
                  <w:sz w:val="22"/>
                  <w:szCs w:val="22"/>
                </w:rPr>
              </m:ctrlPr>
            </m:e>
            <m:e>
              <m:r>
                <m:rPr>
                  <m:sty m:val="p"/>
                </m:rPr>
                <w:rPr>
                  <w:rFonts w:ascii="Cambria Math" w:hAnsi="Cambria Math"/>
                  <w:sz w:val="22"/>
                  <w:szCs w:val="22"/>
                </w:rPr>
                <m:t xml:space="preserve">         </m:t>
              </m:r>
              <m:ctrlPr>
                <w:rPr>
                  <w:rFonts w:ascii="Cambria Math" w:hAnsi="Cambria Math"/>
                  <w:sz w:val="22"/>
                  <w:szCs w:val="22"/>
                </w:rPr>
              </m:ctrlPr>
            </m:e>
            <m:e>
              <m:ctrlPr>
                <w:rPr>
                  <w:rFonts w:ascii="Cambria Math" w:hAnsi="Cambria Math"/>
                  <w:sz w:val="22"/>
                  <w:szCs w:val="22"/>
                </w:rPr>
              </m:ctrlPr>
            </m:e>
          </m:mr>
        </m:m>
      </m:oMath>
      <w:r>
        <w:rPr>
          <w:sz w:val="22"/>
          <w:szCs w:val="22"/>
        </w:rPr>
        <w:t>(S25)</w:t>
      </w:r>
    </w:p>
    <w:p w14:paraId="1B36E094">
      <w:pPr>
        <w:pStyle w:val="30"/>
        <w:ind w:firstLine="420"/>
        <w:rPr>
          <w:rFonts w:eastAsia="宋体"/>
          <w:sz w:val="22"/>
          <w:szCs w:val="22"/>
        </w:rPr>
      </w:pPr>
      <w:r>
        <w:rPr>
          <w:rFonts w:eastAsia="宋体"/>
          <w:sz w:val="22"/>
          <w:szCs w:val="22"/>
        </w:rPr>
        <w:t xml:space="preserve">where </w:t>
      </w:r>
      <m:oMath>
        <m:sSub>
          <m:sSubPr>
            <m:ctrlPr>
              <w:rPr>
                <w:rFonts w:ascii="Cambria Math" w:hAnsi="Cambria Math" w:eastAsia="宋体"/>
                <w:sz w:val="22"/>
                <w:szCs w:val="22"/>
              </w:rPr>
            </m:ctrlPr>
          </m:sSubPr>
          <m:e>
            <m:r>
              <m:rPr/>
              <w:rPr>
                <w:rFonts w:ascii="Cambria Math" w:hAnsi="Cambria Math" w:eastAsia="宋体"/>
                <w:sz w:val="22"/>
                <w:szCs w:val="22"/>
              </w:rPr>
              <m:t>L</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oMath>
      <w:r>
        <w:rPr>
          <w:rFonts w:eastAsia="宋体"/>
          <w:sz w:val="22"/>
          <w:szCs w:val="22"/>
        </w:rPr>
        <w:t xml:space="preserve">is the building footprint or recognized homestead area, </w:t>
      </w:r>
      <m:oMath>
        <m:sSub>
          <m:sSubPr>
            <m:ctrlPr>
              <w:rPr>
                <w:rFonts w:ascii="Cambria Math" w:hAnsi="Cambria Math" w:eastAsia="宋体"/>
                <w:sz w:val="22"/>
                <w:szCs w:val="22"/>
              </w:rPr>
            </m:ctrlPr>
          </m:sSubPr>
          <m:e>
            <m:r>
              <m:rPr/>
              <w:rPr>
                <w:rFonts w:ascii="Cambria Math" w:hAnsi="Cambria Math" w:eastAsia="宋体"/>
                <w:sz w:val="22"/>
                <w:szCs w:val="22"/>
              </w:rPr>
              <m:t>R</m:t>
            </m:r>
            <m:ctrlPr>
              <w:rPr>
                <w:rFonts w:ascii="Cambria Math" w:hAnsi="Cambria Math" w:eastAsia="宋体"/>
                <w:sz w:val="22"/>
                <w:szCs w:val="22"/>
              </w:rPr>
            </m:ctrlPr>
          </m:e>
          <m:sub>
            <m:r>
              <m:rPr>
                <m:sty m:val="p"/>
              </m:rPr>
              <w:rPr>
                <w:rFonts w:ascii="Cambria Math" w:hAnsi="Cambria Math" w:eastAsia="宋体"/>
                <w:sz w:val="22"/>
                <w:szCs w:val="22"/>
              </w:rPr>
              <m:t>min</m:t>
            </m:r>
            <m:ctrlPr>
              <w:rPr>
                <w:rFonts w:ascii="Cambria Math" w:hAnsi="Cambria Math" w:eastAsia="宋体"/>
                <w:sz w:val="22"/>
                <w:szCs w:val="22"/>
              </w:rPr>
            </m:ctrlPr>
          </m:sub>
        </m:sSub>
        <m:r>
          <m:rPr/>
          <w:rPr>
            <w:rFonts w:ascii="Cambria Math" w:hAnsi="Cambria Math" w:eastAsia="宋体"/>
            <w:sz w:val="22"/>
            <w:szCs w:val="22"/>
          </w:rPr>
          <m:t>(</m:t>
        </m:r>
        <m:sSub>
          <m:sSubPr>
            <m:ctrlPr>
              <w:rPr>
                <w:rFonts w:ascii="Cambria Math" w:hAnsi="Cambria Math" w:eastAsia="宋体"/>
                <w:sz w:val="22"/>
                <w:szCs w:val="22"/>
              </w:rPr>
            </m:ctrlPr>
          </m:sSubPr>
          <m:e>
            <m:r>
              <m:rPr/>
              <w:rPr>
                <w:rFonts w:ascii="Cambria Math" w:hAnsi="Cambria Math" w:eastAsia="宋体"/>
                <w:sz w:val="22"/>
                <w:szCs w:val="22"/>
              </w:rPr>
              <m:t>s</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r>
          <m:rPr/>
          <w:rPr>
            <w:rFonts w:ascii="Cambria Math" w:hAnsi="Cambria Math" w:eastAsia="宋体"/>
            <w:sz w:val="22"/>
            <w:szCs w:val="22"/>
          </w:rPr>
          <m:t>)</m:t>
        </m:r>
      </m:oMath>
      <w:r>
        <w:rPr>
          <w:rFonts w:eastAsia="宋体"/>
          <w:sz w:val="22"/>
          <w:szCs w:val="22"/>
        </w:rPr>
        <w:t xml:space="preserve">and </w:t>
      </w:r>
      <m:oMath>
        <m:sSub>
          <m:sSubPr>
            <m:ctrlPr>
              <w:rPr>
                <w:rFonts w:ascii="Cambria Math" w:hAnsi="Cambria Math" w:eastAsia="宋体"/>
                <w:sz w:val="22"/>
                <w:szCs w:val="22"/>
              </w:rPr>
            </m:ctrlPr>
          </m:sSubPr>
          <m:e>
            <m:r>
              <m:rPr/>
              <w:rPr>
                <w:rFonts w:ascii="Cambria Math" w:hAnsi="Cambria Math" w:eastAsia="宋体"/>
                <w:sz w:val="22"/>
                <w:szCs w:val="22"/>
              </w:rPr>
              <m:t>R</m:t>
            </m:r>
            <m:ctrlPr>
              <w:rPr>
                <w:rFonts w:ascii="Cambria Math" w:hAnsi="Cambria Math" w:eastAsia="宋体"/>
                <w:sz w:val="22"/>
                <w:szCs w:val="22"/>
              </w:rPr>
            </m:ctrlPr>
          </m:e>
          <m:sub>
            <m:r>
              <m:rPr>
                <m:sty m:val="p"/>
              </m:rPr>
              <w:rPr>
                <w:rFonts w:ascii="Cambria Math" w:hAnsi="Cambria Math" w:eastAsia="宋体"/>
                <w:sz w:val="22"/>
                <w:szCs w:val="22"/>
              </w:rPr>
              <m:t>max</m:t>
            </m:r>
            <m:ctrlPr>
              <w:rPr>
                <w:rFonts w:ascii="Cambria Math" w:hAnsi="Cambria Math" w:eastAsia="宋体"/>
                <w:sz w:val="22"/>
                <w:szCs w:val="22"/>
              </w:rPr>
            </m:ctrlPr>
          </m:sub>
        </m:sSub>
        <m:r>
          <m:rPr/>
          <w:rPr>
            <w:rFonts w:ascii="Cambria Math" w:hAnsi="Cambria Math" w:eastAsia="宋体"/>
            <w:sz w:val="22"/>
            <w:szCs w:val="22"/>
          </w:rPr>
          <m:t>(</m:t>
        </m:r>
        <m:sSub>
          <m:sSubPr>
            <m:ctrlPr>
              <w:rPr>
                <w:rFonts w:ascii="Cambria Math" w:hAnsi="Cambria Math" w:eastAsia="宋体"/>
                <w:sz w:val="22"/>
                <w:szCs w:val="22"/>
              </w:rPr>
            </m:ctrlPr>
          </m:sSubPr>
          <m:e>
            <m:r>
              <m:rPr/>
              <w:rPr>
                <w:rFonts w:ascii="Cambria Math" w:hAnsi="Cambria Math" w:eastAsia="宋体"/>
                <w:sz w:val="22"/>
                <w:szCs w:val="22"/>
              </w:rPr>
              <m:t>s</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r>
          <m:rPr/>
          <w:rPr>
            <w:rFonts w:ascii="Cambria Math" w:hAnsi="Cambria Math" w:eastAsia="宋体"/>
            <w:sz w:val="22"/>
            <w:szCs w:val="22"/>
          </w:rPr>
          <m:t>)</m:t>
        </m:r>
      </m:oMath>
      <w:r>
        <w:rPr>
          <w:rFonts w:eastAsia="宋体"/>
          <w:sz w:val="22"/>
          <w:szCs w:val="22"/>
        </w:rPr>
        <w:t xml:space="preserve">are the lower and upper official replacement prices for structural class </w:t>
      </w:r>
      <m:oMath>
        <m:sSub>
          <m:sSubPr>
            <m:ctrlPr>
              <w:rPr>
                <w:rFonts w:ascii="Cambria Math" w:hAnsi="Cambria Math" w:eastAsia="宋体"/>
                <w:sz w:val="22"/>
                <w:szCs w:val="22"/>
              </w:rPr>
            </m:ctrlPr>
          </m:sSubPr>
          <m:e>
            <m:r>
              <m:rPr/>
              <w:rPr>
                <w:rFonts w:ascii="Cambria Math" w:hAnsi="Cambria Math" w:eastAsia="宋体"/>
                <w:sz w:val="22"/>
                <w:szCs w:val="22"/>
              </w:rPr>
              <m:t>s</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oMath>
      <w:r>
        <w:rPr>
          <w:rFonts w:eastAsia="宋体"/>
          <w:color w:val="000000"/>
          <w:sz w:val="22"/>
          <w:szCs w:val="22"/>
        </w:rPr>
        <w:t xml:space="preserve">, respectively, as reported in </w:t>
      </w:r>
      <w:r>
        <w:rPr>
          <w:rFonts w:eastAsia="宋体"/>
          <w:color w:val="0070A8"/>
          <w:sz w:val="22"/>
          <w:szCs w:val="22"/>
        </w:rPr>
        <w:t>Supplementary Table 11</w:t>
      </w:r>
      <w:r>
        <w:rPr>
          <w:rFonts w:eastAsia="宋体"/>
          <w:color w:val="000000"/>
          <w:sz w:val="22"/>
          <w:szCs w:val="22"/>
        </w:rPr>
        <w:t xml:space="preserve">, and </w:t>
      </w:r>
      <m:oMath>
        <m:sSub>
          <m:sSubPr>
            <m:ctrlPr>
              <w:rPr>
                <w:rFonts w:ascii="Cambria Math" w:hAnsi="Cambria Math" w:eastAsia="宋体"/>
                <w:sz w:val="22"/>
                <w:szCs w:val="22"/>
              </w:rPr>
            </m:ctrlPr>
          </m:sSubPr>
          <m:e>
            <m:r>
              <m:rPr/>
              <w:rPr>
                <w:rFonts w:ascii="Cambria Math" w:hAnsi="Cambria Math" w:eastAsia="宋体"/>
                <w:sz w:val="22"/>
                <w:szCs w:val="22"/>
              </w:rPr>
              <m:t>η</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oMath>
      <w:r>
        <w:rPr>
          <w:rFonts w:eastAsia="宋体"/>
          <w:color w:val="000000"/>
          <w:sz w:val="22"/>
          <w:szCs w:val="22"/>
        </w:rPr>
        <w:t xml:space="preserve">is the age-specific newness coefficient reported in </w:t>
      </w:r>
      <w:r>
        <w:rPr>
          <w:rFonts w:eastAsia="宋体"/>
          <w:color w:val="0070A8"/>
          <w:sz w:val="22"/>
          <w:szCs w:val="22"/>
        </w:rPr>
        <w:t>Supplementary Table 12</w:t>
      </w:r>
      <w:r>
        <w:rPr>
          <w:rFonts w:eastAsia="宋体"/>
          <w:color w:val="000000"/>
          <w:sz w:val="22"/>
          <w:szCs w:val="22"/>
        </w:rPr>
        <w:t xml:space="preserve">. </w:t>
      </w:r>
      <m:oMath>
        <m:sSub>
          <m:sSubPr>
            <m:ctrlPr>
              <w:rPr>
                <w:rFonts w:ascii="Cambria Math" w:hAnsi="Cambria Math" w:eastAsia="宋体"/>
                <w:sz w:val="22"/>
                <w:szCs w:val="22"/>
              </w:rPr>
            </m:ctrlPr>
          </m:sSubPr>
          <m:e>
            <m:r>
              <m:rPr/>
              <w:rPr>
                <w:rFonts w:ascii="Cambria Math" w:hAnsi="Cambria Math" w:eastAsia="宋体"/>
                <w:sz w:val="22"/>
                <w:szCs w:val="22"/>
              </w:rPr>
              <m:t>D</m:t>
            </m:r>
            <m:ctrlPr>
              <w:rPr>
                <w:rFonts w:ascii="Cambria Math" w:hAnsi="Cambria Math" w:eastAsia="宋体"/>
                <w:sz w:val="22"/>
                <w:szCs w:val="22"/>
              </w:rPr>
            </m:ctrlPr>
          </m:e>
          <m:sub>
            <m:r>
              <m:rPr/>
              <w:rPr>
                <w:rFonts w:ascii="Cambria Math" w:hAnsi="Cambria Math" w:eastAsia="宋体"/>
                <w:sz w:val="22"/>
                <w:szCs w:val="22"/>
              </w:rPr>
              <m:t>b</m:t>
            </m:r>
            <m:ctrlPr>
              <w:rPr>
                <w:rFonts w:ascii="Cambria Math" w:hAnsi="Cambria Math" w:eastAsia="宋体"/>
                <w:sz w:val="22"/>
                <w:szCs w:val="22"/>
              </w:rPr>
            </m:ctrlPr>
          </m:sub>
        </m:sSub>
      </m:oMath>
      <w:r>
        <w:rPr>
          <w:rFonts w:eastAsia="宋体"/>
          <w:sz w:val="22"/>
          <w:szCs w:val="22"/>
        </w:rPr>
        <w:t>denotes the assumed unit compensation for indoor decoration under the lower- or upper-bound condition. The resulting estimates represent standardized exposure to demolition-compensation liabilities under a consistent accounting framework and should not be interpreted as exact settlement amounts for individual redevelopment projects.</w:t>
      </w:r>
    </w:p>
    <w:p w14:paraId="23524DD5">
      <w:pPr>
        <w:pStyle w:val="29"/>
      </w:pPr>
      <w:r>
        <w:t>S6.3 In situ renewal cost</w:t>
      </w:r>
    </w:p>
    <w:p w14:paraId="2780A378">
      <w:pPr>
        <w:pStyle w:val="30"/>
        <w:ind w:firstLine="420"/>
        <w:rPr>
          <w:rFonts w:eastAsia="宋体"/>
          <w:sz w:val="22"/>
          <w:szCs w:val="22"/>
        </w:rPr>
      </w:pPr>
      <w:r>
        <w:rPr>
          <w:sz w:val="22"/>
          <w:szCs w:val="22"/>
        </w:rPr>
        <w:t>In situ renewal costs were estimated independently of demolition compensation. Unit costs were calibrated from government-approved old residential community renovation projects in Quanzhou by dividing approved investment by renovated building area. The observed minimum, the benchmark from the broadest Licheng District programme and the observed maximum are 47, 103 and 117 yuan m⁻², respectively. Project-level sources and calculations are documented in the accompanying source-data workbook.</w:t>
      </w:r>
    </w:p>
    <w:p w14:paraId="0D0C0A30">
      <w:pPr>
        <w:pStyle w:val="30"/>
        <w:ind w:firstLine="420"/>
        <w:rPr>
          <w:rFonts w:eastAsia="宋体"/>
          <w:sz w:val="22"/>
          <w:szCs w:val="22"/>
        </w:rPr>
      </w:pPr>
      <w:r>
        <w:rPr>
          <w:rFonts w:eastAsia="宋体"/>
          <w:sz w:val="22"/>
          <w:szCs w:val="22"/>
        </w:rPr>
        <w:t>For each residential building, direct in situ renewal investment was calculated as</w:t>
      </w:r>
    </w:p>
    <w:p w14:paraId="21EF93E1">
      <w:pPr>
        <w:pStyle w:val="31"/>
        <w:rPr>
          <w:rFonts w:eastAsia="宋体"/>
          <w:sz w:val="22"/>
          <w:szCs w:val="22"/>
        </w:rPr>
      </w:pPr>
      <m:oMath>
        <m:m>
          <m:mPr>
            <m:mcs>
              <m:mc>
                <m:mcPr>
                  <m:count m:val="4"/>
                  <m:mcJc m:val="center"/>
                </m:mcPr>
              </m:mc>
            </m:mcs>
            <m:plcHide m:val="1"/>
            <m:ctrlPr>
              <w:rPr>
                <w:rFonts w:ascii="Cambria Math" w:hAnsi="Cambria Math"/>
                <w:sz w:val="22"/>
                <w:szCs w:val="22"/>
              </w:rPr>
            </m:ctrlPr>
          </m:mPr>
          <m:mr>
            <m:e>
              <m:ctrlPr>
                <w:rPr>
                  <w:rFonts w:ascii="Cambria Math" w:hAnsi="Cambria Math"/>
                  <w:sz w:val="22"/>
                  <w:szCs w:val="22"/>
                </w:rPr>
              </m:ctrlPr>
            </m:e>
            <m:e>
              <m:sSubSup>
                <m:sSubSupPr>
                  <m:ctrlPr>
                    <w:rPr>
                      <w:rFonts w:ascii="Cambria Math" w:hAnsi="Cambria Math"/>
                      <w:sz w:val="22"/>
                      <w:szCs w:val="22"/>
                    </w:rPr>
                  </m:ctrlPr>
                </m:sSubSupPr>
                <m:e>
                  <m:r>
                    <m:rPr>
                      <m:sty m:val="p"/>
                    </m:rPr>
                    <w:rPr>
                      <w:rFonts w:ascii="Cambria Math" w:hAnsi="Cambria Math"/>
                      <w:sz w:val="22"/>
                      <w:szCs w:val="22"/>
                    </w:rPr>
                    <m:t>C</m:t>
                  </m:r>
                  <m:ctrlPr>
                    <w:rPr>
                      <w:rFonts w:ascii="Cambria Math" w:hAnsi="Cambria Math"/>
                      <w:sz w:val="22"/>
                      <w:szCs w:val="22"/>
                    </w:rPr>
                  </m:ctrlPr>
                </m:e>
                <m:sub>
                  <m:r>
                    <m:rPr>
                      <m:sty m:val="p"/>
                    </m:rPr>
                    <w:rPr>
                      <w:rFonts w:ascii="Cambria Math" w:hAnsi="Cambria Math"/>
                      <w:sz w:val="22"/>
                      <w:szCs w:val="22"/>
                    </w:rPr>
                    <m:t>i,b</m:t>
                  </m:r>
                  <m:ctrlPr>
                    <w:rPr>
                      <w:rFonts w:ascii="Cambria Math" w:hAnsi="Cambria Math"/>
                      <w:sz w:val="22"/>
                      <w:szCs w:val="22"/>
                    </w:rPr>
                  </m:ctrlPr>
                </m:sub>
                <m:sup>
                  <m:r>
                    <m:rPr>
                      <m:sty m:val="p"/>
                    </m:rPr>
                    <w:rPr>
                      <w:rFonts w:ascii="Cambria Math" w:hAnsi="Cambria Math"/>
                      <w:sz w:val="22"/>
                      <w:szCs w:val="22"/>
                    </w:rPr>
                    <m:t>in situ</m:t>
                  </m:r>
                  <m:ctrlPr>
                    <w:rPr>
                      <w:rFonts w:ascii="Cambria Math" w:hAnsi="Cambria Math"/>
                      <w:sz w:val="22"/>
                      <w:szCs w:val="22"/>
                    </w:rPr>
                  </m:ctrlPr>
                </m:sup>
              </m:sSubSup>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A</m:t>
                  </m:r>
                  <m:ctrlPr>
                    <w:rPr>
                      <w:rFonts w:ascii="Cambria Math" w:hAnsi="Cambria Math"/>
                      <w:sz w:val="22"/>
                      <w:szCs w:val="22"/>
                    </w:rPr>
                  </m:ctrlPr>
                </m:e>
                <m:sub>
                  <m:r>
                    <m:rPr>
                      <m:sty m:val="p"/>
                    </m:rPr>
                    <w:rPr>
                      <w:rFonts w:ascii="Cambria Math" w:hAnsi="Cambria Math"/>
                      <w:sz w:val="22"/>
                      <w:szCs w:val="22"/>
                    </w:rPr>
                    <m:t>i</m:t>
                  </m:r>
                  <m:ctrlPr>
                    <w:rPr>
                      <w:rFonts w:ascii="Cambria Math" w:hAnsi="Cambria Math"/>
                      <w:sz w:val="22"/>
                      <w:szCs w:val="22"/>
                    </w:rPr>
                  </m:ctrlPr>
                </m:sub>
              </m:sSub>
              <m:sSub>
                <m:sSubPr>
                  <m:ctrlPr>
                    <w:rPr>
                      <w:rFonts w:ascii="Cambria Math" w:hAnsi="Cambria Math"/>
                      <w:sz w:val="22"/>
                      <w:szCs w:val="22"/>
                    </w:rPr>
                  </m:ctrlPr>
                </m:sSubPr>
                <m:e>
                  <m:r>
                    <m:rPr>
                      <m:sty m:val="p"/>
                    </m:rPr>
                    <w:rPr>
                      <w:rFonts w:ascii="Cambria Math" w:hAnsi="Cambria Math"/>
                      <w:sz w:val="22"/>
                      <w:szCs w:val="22"/>
                    </w:rPr>
                    <m:t>c</m:t>
                  </m:r>
                  <m:ctrlPr>
                    <w:rPr>
                      <w:rFonts w:ascii="Cambria Math" w:hAnsi="Cambria Math"/>
                      <w:sz w:val="22"/>
                      <w:szCs w:val="22"/>
                    </w:rPr>
                  </m:ctrlPr>
                </m:e>
                <m:sub>
                  <m:r>
                    <m:rPr>
                      <m:sty m:val="p"/>
                    </m:rPr>
                    <w:rPr>
                      <w:rFonts w:ascii="Cambria Math" w:hAnsi="Cambria Math"/>
                      <w:sz w:val="22"/>
                      <w:szCs w:val="22"/>
                    </w:rPr>
                    <m:t>b</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c</m:t>
                  </m:r>
                  <m:ctrlPr>
                    <w:rPr>
                      <w:rFonts w:ascii="Cambria Math" w:hAnsi="Cambria Math"/>
                      <w:sz w:val="22"/>
                      <w:szCs w:val="22"/>
                    </w:rPr>
                  </m:ctrlPr>
                </m:e>
                <m:sub>
                  <m:r>
                    <m:rPr>
                      <m:sty m:val="p"/>
                    </m:rPr>
                    <w:rPr>
                      <w:rFonts w:ascii="Cambria Math" w:hAnsi="Cambria Math"/>
                      <w:sz w:val="22"/>
                      <w:szCs w:val="22"/>
                    </w:rPr>
                    <m:t>b</m:t>
                  </m:r>
                  <m:ctrlPr>
                    <w:rPr>
                      <w:rFonts w:ascii="Cambria Math" w:hAnsi="Cambria Math"/>
                      <w:sz w:val="22"/>
                      <w:szCs w:val="22"/>
                    </w:rPr>
                  </m:ctrlPr>
                </m:sub>
              </m:sSub>
              <m:r>
                <m:rPr>
                  <m:sty m:val="p"/>
                </m:rPr>
                <w:rPr>
                  <w:rFonts w:ascii="Cambria Math" w:hAnsi="Cambria Math"/>
                  <w:sz w:val="22"/>
                  <w:szCs w:val="22"/>
                </w:rPr>
                <m:t>=</m:t>
              </m:r>
              <m:d>
                <m:dPr>
                  <m:begChr m:val="{"/>
                  <m:endChr m:val=""/>
                  <m:ctrlPr>
                    <w:rPr>
                      <w:rFonts w:ascii="Cambria Math" w:hAnsi="Cambria Math"/>
                      <w:sz w:val="22"/>
                      <w:szCs w:val="22"/>
                    </w:rPr>
                  </m:ctrlPr>
                </m:dPr>
                <m:e>
                  <m:m>
                    <m:mPr>
                      <m:mcs>
                        <m:mc>
                          <m:mcPr>
                            <m:count m:val="2"/>
                            <m:mcJc m:val="center"/>
                          </m:mcPr>
                        </m:mc>
                      </m:mcs>
                      <m:plcHide m:val="1"/>
                      <m:ctrlPr>
                        <w:rPr>
                          <w:rFonts w:ascii="Cambria Math" w:hAnsi="Cambria Math"/>
                          <w:sz w:val="22"/>
                          <w:szCs w:val="22"/>
                        </w:rPr>
                      </m:ctrlPr>
                    </m:mPr>
                    <m:mr>
                      <m:e>
                        <m:r>
                          <m:rPr>
                            <m:sty m:val="p"/>
                          </m:rPr>
                          <w:rPr>
                            <w:rFonts w:ascii="Cambria Math" w:hAnsi="Cambria Math"/>
                            <w:sz w:val="22"/>
                            <w:szCs w:val="22"/>
                          </w:rPr>
                          <m:t>47,</m:t>
                        </m:r>
                        <m:ctrlPr>
                          <w:rPr>
                            <w:rFonts w:ascii="Cambria Math" w:hAnsi="Cambria Math"/>
                            <w:sz w:val="22"/>
                            <w:szCs w:val="22"/>
                          </w:rPr>
                        </m:ctrlPr>
                      </m:e>
                      <m:e>
                        <m:r>
                          <m:rPr>
                            <m:sty m:val="p"/>
                          </m:rPr>
                          <w:rPr>
                            <w:rFonts w:ascii="Cambria Math" w:hAnsi="Cambria Math"/>
                            <w:sz w:val="22"/>
                            <w:szCs w:val="22"/>
                          </w:rPr>
                          <m:t>b=L</m:t>
                        </m:r>
                        <m:ctrlPr>
                          <w:rPr>
                            <w:rFonts w:ascii="Cambria Math" w:hAnsi="Cambria Math"/>
                            <w:sz w:val="22"/>
                            <w:szCs w:val="22"/>
                          </w:rPr>
                        </m:ctrlPr>
                      </m:e>
                    </m:mr>
                    <m:mr>
                      <m:e>
                        <m:r>
                          <m:rPr>
                            <m:sty m:val="p"/>
                          </m:rPr>
                          <w:rPr>
                            <w:rFonts w:ascii="Cambria Math" w:hAnsi="Cambria Math"/>
                            <w:sz w:val="22"/>
                            <w:szCs w:val="22"/>
                          </w:rPr>
                          <m:t>117,</m:t>
                        </m:r>
                        <m:ctrlPr>
                          <w:rPr>
                            <w:rFonts w:ascii="Cambria Math" w:hAnsi="Cambria Math"/>
                            <w:sz w:val="22"/>
                            <w:szCs w:val="22"/>
                          </w:rPr>
                        </m:ctrlPr>
                      </m:e>
                      <m:e>
                        <m:r>
                          <m:rPr>
                            <m:sty m:val="p"/>
                          </m:rPr>
                          <w:rPr>
                            <w:rFonts w:ascii="Cambria Math" w:hAnsi="Cambria Math"/>
                            <w:sz w:val="22"/>
                            <w:szCs w:val="22"/>
                          </w:rPr>
                          <m:t>b=U</m:t>
                        </m:r>
                        <m:ctrlPr>
                          <w:rPr>
                            <w:rFonts w:ascii="Cambria Math" w:hAnsi="Cambria Math"/>
                            <w:sz w:val="22"/>
                            <w:szCs w:val="22"/>
                          </w:rPr>
                        </m:ctrlPr>
                      </m:e>
                    </m:mr>
                  </m:m>
                  <m:ctrlPr>
                    <w:rPr>
                      <w:rFonts w:ascii="Cambria Math" w:hAnsi="Cambria Math"/>
                      <w:sz w:val="22"/>
                      <w:szCs w:val="22"/>
                    </w:rPr>
                  </m:ctrlPr>
                </m:e>
              </m:d>
              <m:ctrlPr>
                <w:rPr>
                  <w:rFonts w:ascii="Cambria Math" w:hAnsi="Cambria Math"/>
                  <w:sz w:val="22"/>
                  <w:szCs w:val="22"/>
                </w:rPr>
              </m:ctrlPr>
            </m:e>
            <m:e>
              <m:ctrlPr>
                <w:rPr>
                  <w:rFonts w:ascii="Cambria Math" w:hAnsi="Cambria Math"/>
                  <w:sz w:val="22"/>
                  <w:szCs w:val="22"/>
                </w:rPr>
              </m:ctrlPr>
            </m:e>
            <m:e>
              <m:r>
                <m:rPr>
                  <m:sty m:val="p"/>
                </m:rPr>
                <w:rPr>
                  <w:rFonts w:ascii="Cambria Math" w:hAnsi="Cambria Math"/>
                  <w:sz w:val="22"/>
                  <w:szCs w:val="22"/>
                </w:rPr>
                <m:t xml:space="preserve">               </m:t>
              </m:r>
              <m:ctrlPr>
                <w:rPr>
                  <w:rFonts w:ascii="Cambria Math" w:hAnsi="Cambria Math"/>
                  <w:sz w:val="22"/>
                  <w:szCs w:val="22"/>
                </w:rPr>
              </m:ctrlPr>
            </m:e>
          </m:mr>
        </m:m>
      </m:oMath>
      <w:r>
        <w:rPr>
          <w:sz w:val="22"/>
          <w:szCs w:val="22"/>
        </w:rPr>
        <w:t xml:space="preserve">                     (S26)</w:t>
      </w:r>
    </w:p>
    <w:p w14:paraId="7F08DA4E">
      <w:pPr>
        <w:pStyle w:val="30"/>
        <w:ind w:firstLine="420"/>
        <w:rPr>
          <w:rFonts w:eastAsia="宋体"/>
          <w:sz w:val="22"/>
          <w:szCs w:val="22"/>
        </w:rPr>
      </w:pPr>
      <w:r>
        <w:rPr>
          <w:rFonts w:eastAsia="宋体"/>
          <w:sz w:val="22"/>
          <w:szCs w:val="22"/>
        </w:rPr>
        <w:t xml:space="preserve">where </w:t>
      </w:r>
      <m:oMath>
        <m:sSubSup>
          <m:sSubSupPr>
            <m:ctrlPr>
              <w:rPr>
                <w:rFonts w:ascii="Cambria Math" w:hAnsi="Cambria Math" w:eastAsia="宋体"/>
                <w:sz w:val="22"/>
                <w:szCs w:val="22"/>
              </w:rPr>
            </m:ctrlPr>
          </m:sSubSupPr>
          <m:e>
            <m:r>
              <m:rPr/>
              <w:rPr>
                <w:rFonts w:ascii="Cambria Math" w:hAnsi="Cambria Math" w:eastAsia="宋体"/>
                <w:sz w:val="22"/>
                <w:szCs w:val="22"/>
              </w:rPr>
              <m:t>C</m:t>
            </m:r>
            <m:ctrlPr>
              <w:rPr>
                <w:rFonts w:ascii="Cambria Math" w:hAnsi="Cambria Math" w:eastAsia="宋体"/>
                <w:sz w:val="22"/>
                <w:szCs w:val="22"/>
              </w:rPr>
            </m:ctrlPr>
          </m:e>
          <m:sub>
            <m:r>
              <m:rPr/>
              <w:rPr>
                <w:rFonts w:ascii="Cambria Math" w:hAnsi="Cambria Math" w:eastAsia="宋体"/>
                <w:sz w:val="22"/>
                <w:szCs w:val="22"/>
              </w:rPr>
              <m:t>i</m:t>
            </m:r>
            <m:r>
              <m:rPr>
                <m:sty m:val="p"/>
              </m:rPr>
              <w:rPr>
                <w:rFonts w:ascii="Cambria Math" w:hAnsi="Cambria Math" w:eastAsia="宋体"/>
                <w:sz w:val="22"/>
                <w:szCs w:val="22"/>
              </w:rPr>
              <m:t>,</m:t>
            </m:r>
            <m:r>
              <m:rPr/>
              <w:rPr>
                <w:rFonts w:ascii="Cambria Math" w:hAnsi="Cambria Math" w:eastAsia="宋体"/>
                <w:sz w:val="22"/>
                <w:szCs w:val="22"/>
              </w:rPr>
              <m:t>b</m:t>
            </m:r>
            <m:ctrlPr>
              <w:rPr>
                <w:rFonts w:ascii="Cambria Math" w:hAnsi="Cambria Math" w:eastAsia="宋体"/>
                <w:sz w:val="22"/>
                <w:szCs w:val="22"/>
              </w:rPr>
            </m:ctrlPr>
          </m:sub>
          <m:sup>
            <m:r>
              <m:rPr>
                <m:sty m:val="p"/>
              </m:rPr>
              <w:rPr>
                <w:rFonts w:ascii="Cambria Math" w:hAnsi="Cambria Math" w:eastAsia="宋体"/>
                <w:sz w:val="22"/>
                <w:szCs w:val="22"/>
              </w:rPr>
              <m:t>in situ</m:t>
            </m:r>
            <m:ctrlPr>
              <w:rPr>
                <w:rFonts w:ascii="Cambria Math" w:hAnsi="Cambria Math" w:eastAsia="宋体"/>
                <w:sz w:val="22"/>
                <w:szCs w:val="22"/>
              </w:rPr>
            </m:ctrlPr>
          </m:sup>
        </m:sSubSup>
      </m:oMath>
      <w:r>
        <w:rPr>
          <w:rFonts w:eastAsia="宋体"/>
          <w:sz w:val="22"/>
          <w:szCs w:val="22"/>
        </w:rPr>
        <w:t xml:space="preserve">is the direct in situ renewal cost of building </w:t>
      </w:r>
      <m:oMath>
        <m:r>
          <m:rPr/>
          <w:rPr>
            <w:rFonts w:ascii="Cambria Math" w:hAnsi="Cambria Math" w:eastAsia="宋体"/>
            <w:sz w:val="22"/>
            <w:szCs w:val="22"/>
          </w:rPr>
          <m:t>i</m:t>
        </m:r>
      </m:oMath>
      <w:r>
        <w:rPr>
          <w:rFonts w:eastAsia="宋体"/>
          <w:sz w:val="22"/>
          <w:szCs w:val="22"/>
        </w:rPr>
        <w:t xml:space="preserve">under bound </w:t>
      </w:r>
      <m:oMath>
        <m:r>
          <m:rPr/>
          <w:rPr>
            <w:rFonts w:ascii="Cambria Math" w:hAnsi="Cambria Math" w:eastAsia="宋体"/>
            <w:sz w:val="22"/>
            <w:szCs w:val="22"/>
          </w:rPr>
          <m:t>b</m:t>
        </m:r>
      </m:oMath>
      <w:r>
        <w:rPr>
          <w:rFonts w:eastAsia="宋体"/>
          <w:sz w:val="22"/>
          <w:szCs w:val="22"/>
        </w:rPr>
        <w:t xml:space="preserve">, </w:t>
      </w:r>
      <m:oMath>
        <m:sSub>
          <m:sSubPr>
            <m:ctrlPr>
              <w:rPr>
                <w:rFonts w:ascii="Cambria Math" w:hAnsi="Cambria Math" w:eastAsia="宋体"/>
                <w:sz w:val="22"/>
                <w:szCs w:val="22"/>
              </w:rPr>
            </m:ctrlPr>
          </m:sSubPr>
          <m:e>
            <m:r>
              <m:rPr/>
              <w:rPr>
                <w:rFonts w:ascii="Cambria Math" w:hAnsi="Cambria Math" w:eastAsia="宋体"/>
                <w:sz w:val="22"/>
                <w:szCs w:val="22"/>
              </w:rPr>
              <m:t>A</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oMath>
      <w:r>
        <w:rPr>
          <w:rFonts w:eastAsia="宋体"/>
          <w:sz w:val="22"/>
          <w:szCs w:val="22"/>
        </w:rPr>
        <w:t xml:space="preserve">is the total building floor area, and </w:t>
      </w:r>
      <m:oMath>
        <m:r>
          <m:rPr/>
          <w:rPr>
            <w:rFonts w:ascii="Cambria Math" w:hAnsi="Cambria Math" w:eastAsia="宋体"/>
            <w:sz w:val="22"/>
            <w:szCs w:val="22"/>
          </w:rPr>
          <m:t>b</m:t>
        </m:r>
        <m:r>
          <m:rPr>
            <m:sty m:val="p"/>
          </m:rPr>
          <w:rPr>
            <w:rFonts w:hint="eastAsia" w:ascii="Cambria Math" w:hAnsi="Cambria Math" w:eastAsia="宋体"/>
            <w:sz w:val="22"/>
            <w:szCs w:val="22"/>
          </w:rPr>
          <m:t>∈{</m:t>
        </m:r>
        <m:r>
          <m:rPr/>
          <w:rPr>
            <w:rFonts w:ascii="Cambria Math" w:hAnsi="Cambria Math" w:eastAsia="宋体"/>
            <w:sz w:val="22"/>
            <w:szCs w:val="22"/>
          </w:rPr>
          <m:t>L</m:t>
        </m:r>
        <m:r>
          <m:rPr>
            <m:sty m:val="p"/>
          </m:rPr>
          <w:rPr>
            <w:rFonts w:ascii="Cambria Math" w:hAnsi="Cambria Math" w:eastAsia="宋体"/>
            <w:sz w:val="22"/>
            <w:szCs w:val="22"/>
          </w:rPr>
          <m:t>,</m:t>
        </m:r>
        <m:r>
          <m:rPr/>
          <w:rPr>
            <w:rFonts w:ascii="Cambria Math" w:hAnsi="Cambria Math" w:eastAsia="宋体"/>
            <w:sz w:val="22"/>
            <w:szCs w:val="22"/>
          </w:rPr>
          <m:t>U</m:t>
        </m:r>
        <m:r>
          <m:rPr>
            <m:sty m:val="p"/>
          </m:rPr>
          <w:rPr>
            <w:rFonts w:ascii="Cambria Math" w:hAnsi="Cambria Math" w:eastAsia="宋体"/>
            <w:sz w:val="22"/>
            <w:szCs w:val="22"/>
          </w:rPr>
          <m:t>}</m:t>
        </m:r>
      </m:oMath>
      <w:r>
        <w:rPr>
          <w:rFonts w:eastAsia="宋体"/>
          <w:sz w:val="22"/>
          <w:szCs w:val="22"/>
        </w:rPr>
        <w:t xml:space="preserve">denotes the lower and upper bounds, respectively. The corresponding unit costs, </w:t>
      </w:r>
      <m:oMath>
        <m:sSub>
          <m:sSubPr>
            <m:ctrlPr>
              <w:rPr>
                <w:rFonts w:ascii="Cambria Math" w:hAnsi="Cambria Math" w:eastAsia="宋体"/>
                <w:sz w:val="22"/>
                <w:szCs w:val="22"/>
              </w:rPr>
            </m:ctrlPr>
          </m:sSubPr>
          <m:e>
            <m:r>
              <m:rPr/>
              <w:rPr>
                <w:rFonts w:ascii="Cambria Math" w:hAnsi="Cambria Math" w:eastAsia="宋体"/>
                <w:sz w:val="22"/>
                <w:szCs w:val="22"/>
              </w:rPr>
              <m:t>c</m:t>
            </m:r>
            <m:ctrlPr>
              <w:rPr>
                <w:rFonts w:ascii="Cambria Math" w:hAnsi="Cambria Math" w:eastAsia="宋体"/>
                <w:sz w:val="22"/>
                <w:szCs w:val="22"/>
              </w:rPr>
            </m:ctrlPr>
          </m:e>
          <m:sub>
            <m:r>
              <m:rPr/>
              <w:rPr>
                <w:rFonts w:ascii="Cambria Math" w:hAnsi="Cambria Math" w:eastAsia="宋体"/>
                <w:sz w:val="22"/>
                <w:szCs w:val="22"/>
              </w:rPr>
              <m:t>L</m:t>
            </m:r>
            <m:ctrlPr>
              <w:rPr>
                <w:rFonts w:ascii="Cambria Math" w:hAnsi="Cambria Math" w:eastAsia="宋体"/>
                <w:sz w:val="22"/>
                <w:szCs w:val="22"/>
              </w:rPr>
            </m:ctrlPr>
          </m:sub>
        </m:sSub>
      </m:oMath>
      <w:r>
        <w:rPr>
          <w:rFonts w:eastAsia="宋体"/>
          <w:sz w:val="22"/>
          <w:szCs w:val="22"/>
        </w:rPr>
        <w:t xml:space="preserve">and </w:t>
      </w:r>
      <m:oMath>
        <m:sSub>
          <m:sSubPr>
            <m:ctrlPr>
              <w:rPr>
                <w:rFonts w:ascii="Cambria Math" w:hAnsi="Cambria Math" w:eastAsia="宋体"/>
                <w:sz w:val="22"/>
                <w:szCs w:val="22"/>
              </w:rPr>
            </m:ctrlPr>
          </m:sSubPr>
          <m:e>
            <m:r>
              <m:rPr/>
              <w:rPr>
                <w:rFonts w:ascii="Cambria Math" w:hAnsi="Cambria Math" w:eastAsia="宋体"/>
                <w:sz w:val="22"/>
                <w:szCs w:val="22"/>
              </w:rPr>
              <m:t>c</m:t>
            </m:r>
            <m:ctrlPr>
              <w:rPr>
                <w:rFonts w:ascii="Cambria Math" w:hAnsi="Cambria Math" w:eastAsia="宋体"/>
                <w:sz w:val="22"/>
                <w:szCs w:val="22"/>
              </w:rPr>
            </m:ctrlPr>
          </m:e>
          <m:sub>
            <m:r>
              <m:rPr/>
              <w:rPr>
                <w:rFonts w:ascii="Cambria Math" w:hAnsi="Cambria Math" w:eastAsia="宋体"/>
                <w:sz w:val="22"/>
                <w:szCs w:val="22"/>
              </w:rPr>
              <m:t>U</m:t>
            </m:r>
            <m:ctrlPr>
              <w:rPr>
                <w:rFonts w:ascii="Cambria Math" w:hAnsi="Cambria Math" w:eastAsia="宋体"/>
                <w:sz w:val="22"/>
                <w:szCs w:val="22"/>
              </w:rPr>
            </m:ctrlPr>
          </m:sub>
        </m:sSub>
      </m:oMath>
      <w:r>
        <w:rPr>
          <w:rFonts w:eastAsia="宋体"/>
          <w:sz w:val="22"/>
          <w:szCs w:val="22"/>
        </w:rPr>
        <w:t>, represent the observed minimum and maximum values derived from the comparable local renovation projects.</w:t>
      </w:r>
    </w:p>
    <w:p w14:paraId="11ABCBB0">
      <w:pPr>
        <w:pStyle w:val="30"/>
        <w:ind w:firstLine="420"/>
        <w:rPr>
          <w:rFonts w:eastAsia="宋体"/>
          <w:sz w:val="22"/>
          <w:szCs w:val="22"/>
        </w:rPr>
      </w:pPr>
      <w:r>
        <w:rPr>
          <w:rFonts w:eastAsia="宋体"/>
          <w:sz w:val="22"/>
          <w:szCs w:val="22"/>
        </w:rPr>
        <w:t>These bounds represent a locally calibrated range of potential renewal investment rather than the realized retrofit cost of an individual building. The interval captures observed variation in renovation intensity, site conditions and engineering scope across comparable projects. Because the parameter represents direct engineering investment rather than land or property compensation, the same unit-area cost range was applied to urban and rural residential buildings. Urban–rural differences therefore arise from the number, total floor area and spatial distribution of buildings identified as being under renewal pressure.</w:t>
      </w:r>
    </w:p>
    <w:p w14:paraId="06B1E167">
      <w:pPr>
        <w:pStyle w:val="29"/>
      </w:pPr>
      <w:r>
        <w:t>S6.4 Carbon accounting</w:t>
      </w:r>
    </w:p>
    <w:p w14:paraId="7120E450">
      <w:pPr>
        <w:pStyle w:val="30"/>
        <w:ind w:firstLine="420"/>
        <w:rPr>
          <w:rFonts w:eastAsia="宋体"/>
          <w:sz w:val="22"/>
          <w:szCs w:val="22"/>
        </w:rPr>
      </w:pPr>
      <w:r>
        <w:rPr>
          <w:sz w:val="22"/>
          <w:szCs w:val="22"/>
        </w:rPr>
        <w:t>Demolition-stage emissions were estimated from the empirical relationship in provincial building-carbon accounting guidance</w:t>
      </w:r>
      <w:r>
        <w:rPr>
          <w:sz w:val="22"/>
          <w:szCs w:val="22"/>
          <w:vertAlign w:val="superscript"/>
        </w:rPr>
        <w:t>22</w:t>
      </w:r>
      <w:r>
        <w:rPr>
          <w:sz w:val="22"/>
          <w:szCs w:val="22"/>
        </w:rPr>
        <w:t>. The relationship is used as a transparent approximation because Fujian-specific demolition coefficients and building-level records of machinery use, work shifts, waste transport and disposal were unavailable.</w:t>
      </w:r>
    </w:p>
    <w:p w14:paraId="15E3BE3C">
      <w:pPr>
        <w:pStyle w:val="30"/>
        <w:ind w:firstLine="420"/>
        <w:rPr>
          <w:rFonts w:eastAsia="宋体"/>
          <w:sz w:val="22"/>
          <w:szCs w:val="22"/>
        </w:rPr>
      </w:pPr>
      <w:r>
        <w:rPr>
          <w:rFonts w:eastAsia="宋体"/>
          <w:sz w:val="22"/>
          <w:szCs w:val="22"/>
        </w:rPr>
        <w:t>For each building, demolition-stage carbon emissions were calculated by multiplying total building floor area by an empirical emission intensity determined by the number of storeys:</w:t>
      </w:r>
    </w:p>
    <w:p w14:paraId="5D05D04C">
      <w:pPr>
        <w:pStyle w:val="31"/>
        <w:rPr>
          <w:rFonts w:eastAsia="宋体"/>
          <w:sz w:val="22"/>
          <w:szCs w:val="22"/>
        </w:rPr>
      </w:pPr>
      <m:oMath>
        <m:m>
          <m:mPr>
            <m:mcs>
              <m:mc>
                <m:mcPr>
                  <m:count m:val="4"/>
                  <m:mcJc m:val="center"/>
                </m:mcPr>
              </m:mc>
            </m:mcs>
            <m:plcHide m:val="1"/>
            <m:ctrlPr>
              <w:rPr>
                <w:rFonts w:ascii="Cambria Math" w:hAnsi="Cambria Math" w:eastAsia="宋体"/>
                <w:sz w:val="22"/>
                <w:szCs w:val="22"/>
              </w:rPr>
            </m:ctrlPr>
          </m:mPr>
          <m:mr>
            <m:e>
              <m:ctrlPr>
                <w:rPr>
                  <w:rFonts w:ascii="Cambria Math" w:hAnsi="Cambria Math" w:eastAsia="宋体"/>
                  <w:sz w:val="22"/>
                  <w:szCs w:val="22"/>
                </w:rPr>
              </m:ctrlPr>
            </m:e>
            <m:e>
              <m:sSubSup>
                <m:sSubSupPr>
                  <m:ctrlPr>
                    <w:rPr>
                      <w:rFonts w:ascii="Cambria Math" w:hAnsi="Cambria Math" w:eastAsia="宋体"/>
                      <w:sz w:val="22"/>
                      <w:szCs w:val="22"/>
                    </w:rPr>
                  </m:ctrlPr>
                </m:sSubSupPr>
                <m:e>
                  <m:r>
                    <m:rPr/>
                    <w:rPr>
                      <w:rFonts w:ascii="Cambria Math" w:hAnsi="Cambria Math" w:eastAsia="宋体"/>
                      <w:sz w:val="22"/>
                      <w:szCs w:val="22"/>
                    </w:rPr>
                    <m:t>E</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up>
                  <m:r>
                    <m:rPr>
                      <m:sty m:val="p"/>
                    </m:rPr>
                    <w:rPr>
                      <w:rFonts w:ascii="Cambria Math" w:hAnsi="Cambria Math" w:eastAsia="宋体"/>
                      <w:sz w:val="22"/>
                      <w:szCs w:val="22"/>
                    </w:rPr>
                    <m:t>dem</m:t>
                  </m:r>
                  <m:ctrlPr>
                    <w:rPr>
                      <w:rFonts w:ascii="Cambria Math" w:hAnsi="Cambria Math" w:eastAsia="宋体"/>
                      <w:sz w:val="22"/>
                      <w:szCs w:val="22"/>
                    </w:rPr>
                  </m:ctrlPr>
                </m:sup>
              </m:sSubSup>
              <m:r>
                <m:rPr>
                  <m:sty m:val="p"/>
                </m:rPr>
                <w:rPr>
                  <w:rFonts w:ascii="Cambria Math" w:hAnsi="Cambria Math" w:eastAsia="宋体"/>
                  <w:sz w:val="22"/>
                  <w:szCs w:val="22"/>
                </w:rPr>
                <m:t>=</m:t>
              </m:r>
              <m:sSub>
                <m:sSubPr>
                  <m:ctrlPr>
                    <w:rPr>
                      <w:rFonts w:ascii="Cambria Math" w:hAnsi="Cambria Math" w:eastAsia="宋体"/>
                      <w:sz w:val="22"/>
                      <w:szCs w:val="22"/>
                    </w:rPr>
                  </m:ctrlPr>
                </m:sSubPr>
                <m:e>
                  <m:r>
                    <m:rPr/>
                    <w:rPr>
                      <w:rFonts w:ascii="Cambria Math" w:hAnsi="Cambria Math" w:eastAsia="宋体"/>
                      <w:sz w:val="22"/>
                      <w:szCs w:val="22"/>
                    </w:rPr>
                    <m:t>A</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d>
                <m:dPr>
                  <m:sepChr m:val="+"/>
                  <m:ctrlPr>
                    <w:rPr>
                      <w:rFonts w:ascii="Cambria Math" w:hAnsi="Cambria Math" w:eastAsia="宋体"/>
                      <w:sz w:val="22"/>
                      <w:szCs w:val="22"/>
                    </w:rPr>
                  </m:ctrlPr>
                </m:dPr>
                <m:e>
                  <m:sSub>
                    <m:sSubPr>
                      <m:ctrlPr>
                        <w:rPr>
                          <w:rFonts w:ascii="Cambria Math" w:hAnsi="Cambria Math" w:eastAsia="宋体"/>
                          <w:sz w:val="22"/>
                          <w:szCs w:val="22"/>
                        </w:rPr>
                      </m:ctrlPr>
                    </m:sSubPr>
                    <m:e>
                      <m:r>
                        <m:rPr/>
                        <w:rPr>
                          <w:rFonts w:ascii="Cambria Math" w:hAnsi="Cambria Math" w:eastAsia="宋体"/>
                          <w:sz w:val="22"/>
                          <w:szCs w:val="22"/>
                        </w:rPr>
                        <m:t>n</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ctrlPr>
                    <w:rPr>
                      <w:rFonts w:ascii="Cambria Math" w:hAnsi="Cambria Math" w:eastAsia="宋体"/>
                      <w:sz w:val="22"/>
                      <w:szCs w:val="22"/>
                    </w:rPr>
                  </m:ctrlPr>
                </m:e>
                <m:e>
                  <m:sSub>
                    <m:sSubPr>
                      <m:ctrlPr>
                        <w:rPr>
                          <w:rFonts w:ascii="Cambria Math" w:hAnsi="Cambria Math" w:eastAsia="宋体"/>
                          <w:sz w:val="22"/>
                          <w:szCs w:val="22"/>
                        </w:rPr>
                      </m:ctrlPr>
                    </m:sSubPr>
                    <w:bookmarkStart w:id="32" w:name="OLE_LINK11"/>
                    <m:e>
                      <m:r>
                        <m:rPr/>
                        <w:rPr>
                          <w:rFonts w:ascii="Cambria Math" w:hAnsi="Cambria Math" w:eastAsia="宋体"/>
                          <w:sz w:val="22"/>
                          <w:szCs w:val="22"/>
                        </w:rPr>
                        <m:t>α</m:t>
                      </m:r>
                      <m:ctrlPr>
                        <w:rPr>
                          <w:rFonts w:ascii="Cambria Math" w:hAnsi="Cambria Math" w:eastAsia="宋体"/>
                          <w:sz w:val="22"/>
                          <w:szCs w:val="22"/>
                        </w:rPr>
                      </m:ctrlPr>
                    </m:e>
                    <m:sub>
                      <m:r>
                        <m:rPr>
                          <m:sty m:val="p"/>
                        </m:rPr>
                        <w:rPr>
                          <w:rFonts w:ascii="Cambria Math" w:hAnsi="Cambria Math" w:eastAsia="宋体"/>
                          <w:sz w:val="22"/>
                          <w:szCs w:val="22"/>
                        </w:rPr>
                        <m:t>dem</m:t>
                      </m:r>
                      <w:bookmarkEnd w:id="32"/>
                      <m:ctrlPr>
                        <w:rPr>
                          <w:rFonts w:ascii="Cambria Math" w:hAnsi="Cambria Math" w:eastAsia="宋体"/>
                          <w:sz w:val="22"/>
                          <w:szCs w:val="22"/>
                        </w:rPr>
                      </m:ctrlPr>
                    </m:sub>
                  </m:sSub>
                  <m:ctrlPr>
                    <w:rPr>
                      <w:rFonts w:ascii="Cambria Math" w:hAnsi="Cambria Math" w:eastAsia="宋体"/>
                      <w:sz w:val="22"/>
                      <w:szCs w:val="22"/>
                    </w:rPr>
                  </m:ctrlPr>
                </m:e>
              </m:d>
              <m:ctrlPr>
                <w:rPr>
                  <w:rFonts w:ascii="Cambria Math" w:hAnsi="Cambria Math" w:eastAsia="宋体"/>
                  <w:sz w:val="22"/>
                  <w:szCs w:val="22"/>
                </w:rPr>
              </m:ctrlPr>
            </m:e>
            <m:e>
              <m:ctrlPr>
                <w:rPr>
                  <w:rFonts w:ascii="Cambria Math" w:hAnsi="Cambria Math" w:eastAsia="宋体"/>
                  <w:sz w:val="22"/>
                  <w:szCs w:val="22"/>
                </w:rPr>
              </m:ctrlPr>
            </m:e>
            <m:e>
              <m:ctrlPr>
                <w:rPr>
                  <w:rFonts w:ascii="Cambria Math" w:hAnsi="Cambria Math" w:eastAsia="宋体"/>
                  <w:sz w:val="22"/>
                  <w:szCs w:val="22"/>
                </w:rPr>
              </m:ctrlPr>
            </m:e>
          </m:mr>
        </m:m>
      </m:oMath>
      <w:r>
        <w:rPr>
          <w:rFonts w:eastAsia="宋体"/>
          <w:sz w:val="22"/>
          <w:szCs w:val="22"/>
        </w:rPr>
        <w:t xml:space="preserve">                           (S27)</w:t>
      </w:r>
    </w:p>
    <w:p w14:paraId="4314DEE8">
      <w:pPr>
        <w:pStyle w:val="30"/>
        <w:ind w:firstLine="420"/>
        <w:rPr>
          <w:rFonts w:eastAsia="宋体"/>
          <w:sz w:val="22"/>
          <w:szCs w:val="22"/>
        </w:rPr>
      </w:pPr>
      <w:r>
        <w:rPr>
          <w:rFonts w:eastAsia="宋体"/>
          <w:sz w:val="22"/>
          <w:szCs w:val="22"/>
        </w:rPr>
        <w:t xml:space="preserve">where </w:t>
      </w:r>
      <m:oMath>
        <m:sSubSup>
          <m:sSubSupPr>
            <m:ctrlPr>
              <w:rPr>
                <w:rFonts w:ascii="Cambria Math" w:hAnsi="Cambria Math" w:eastAsia="宋体"/>
                <w:sz w:val="22"/>
                <w:szCs w:val="22"/>
              </w:rPr>
            </m:ctrlPr>
          </m:sSubSupPr>
          <m:e>
            <m:r>
              <m:rPr/>
              <w:rPr>
                <w:rFonts w:ascii="Cambria Math" w:hAnsi="Cambria Math" w:eastAsia="宋体"/>
                <w:sz w:val="22"/>
                <w:szCs w:val="22"/>
              </w:rPr>
              <m:t>E</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up>
            <m:r>
              <m:rPr>
                <m:sty m:val="p"/>
              </m:rPr>
              <w:rPr>
                <w:rFonts w:ascii="Cambria Math" w:hAnsi="Cambria Math" w:eastAsia="宋体"/>
                <w:sz w:val="22"/>
                <w:szCs w:val="22"/>
              </w:rPr>
              <m:t>dem</m:t>
            </m:r>
            <m:ctrlPr>
              <w:rPr>
                <w:rFonts w:ascii="Cambria Math" w:hAnsi="Cambria Math" w:eastAsia="宋体"/>
                <w:sz w:val="22"/>
                <w:szCs w:val="22"/>
              </w:rPr>
            </m:ctrlPr>
          </m:sup>
        </m:sSubSup>
      </m:oMath>
      <w:r>
        <w:rPr>
          <w:rFonts w:eastAsia="宋体"/>
          <w:sz w:val="22"/>
          <w:szCs w:val="22"/>
        </w:rPr>
        <w:t xml:space="preserve">is the one-off demolition-stage carbon emission of building </w:t>
      </w:r>
      <m:oMath>
        <m:r>
          <m:rPr/>
          <w:rPr>
            <w:rFonts w:ascii="Cambria Math" w:hAnsi="Cambria Math" w:eastAsia="宋体"/>
            <w:sz w:val="22"/>
            <w:szCs w:val="22"/>
          </w:rPr>
          <m:t>i</m:t>
        </m:r>
      </m:oMath>
      <w:r>
        <w:rPr>
          <w:rFonts w:eastAsia="宋体"/>
          <w:sz w:val="22"/>
          <w:szCs w:val="22"/>
        </w:rPr>
        <w:t xml:space="preserve">, </w:t>
      </w:r>
      <m:oMath>
        <m:sSub>
          <m:sSubPr>
            <m:ctrlPr>
              <w:rPr>
                <w:rFonts w:ascii="Cambria Math" w:hAnsi="Cambria Math" w:eastAsia="宋体"/>
                <w:sz w:val="22"/>
                <w:szCs w:val="22"/>
              </w:rPr>
            </m:ctrlPr>
          </m:sSubPr>
          <m:e>
            <m:r>
              <m:rPr/>
              <w:rPr>
                <w:rFonts w:ascii="Cambria Math" w:hAnsi="Cambria Math" w:eastAsia="宋体"/>
                <w:sz w:val="22"/>
                <w:szCs w:val="22"/>
              </w:rPr>
              <m:t>A</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oMath>
      <w:r>
        <w:rPr>
          <w:rFonts w:eastAsia="宋体"/>
          <w:sz w:val="22"/>
          <w:szCs w:val="22"/>
        </w:rPr>
        <w:t xml:space="preserve">is the total building floor area, </w:t>
      </w:r>
      <m:oMath>
        <m:sSub>
          <m:sSubPr>
            <m:ctrlPr>
              <w:rPr>
                <w:rFonts w:ascii="Cambria Math" w:hAnsi="Cambria Math" w:eastAsia="宋体"/>
                <w:sz w:val="22"/>
                <w:szCs w:val="22"/>
              </w:rPr>
            </m:ctrlPr>
          </m:sSubPr>
          <m:e>
            <m:r>
              <m:rPr/>
              <w:rPr>
                <w:rFonts w:ascii="Cambria Math" w:hAnsi="Cambria Math" w:eastAsia="宋体"/>
                <w:sz w:val="22"/>
                <w:szCs w:val="22"/>
              </w:rPr>
              <m:t>n</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Sub>
      </m:oMath>
      <w:r>
        <w:rPr>
          <w:rFonts w:eastAsia="宋体"/>
          <w:sz w:val="22"/>
          <w:szCs w:val="22"/>
        </w:rPr>
        <w:t xml:space="preserve">is the number of storeys, and </w:t>
      </w:r>
      <m:oMath>
        <m:sSub>
          <m:sSubPr>
            <m:ctrlPr>
              <w:rPr>
                <w:rFonts w:ascii="Cambria Math" w:hAnsi="Cambria Math" w:eastAsia="宋体"/>
                <w:sz w:val="22"/>
                <w:szCs w:val="22"/>
              </w:rPr>
            </m:ctrlPr>
          </m:sSubPr>
          <m:e>
            <m:r>
              <m:rPr/>
              <w:rPr>
                <w:rFonts w:ascii="Cambria Math" w:hAnsi="Cambria Math" w:eastAsia="宋体"/>
                <w:sz w:val="22"/>
                <w:szCs w:val="22"/>
              </w:rPr>
              <m:t>α</m:t>
            </m:r>
            <m:ctrlPr>
              <w:rPr>
                <w:rFonts w:ascii="Cambria Math" w:hAnsi="Cambria Math" w:eastAsia="宋体"/>
                <w:sz w:val="22"/>
                <w:szCs w:val="22"/>
              </w:rPr>
            </m:ctrlPr>
          </m:e>
          <m:sub>
            <m:r>
              <m:rPr>
                <m:sty m:val="p"/>
              </m:rPr>
              <w:rPr>
                <w:rFonts w:ascii="Cambria Math" w:hAnsi="Cambria Math" w:eastAsia="宋体"/>
                <w:sz w:val="22"/>
                <w:szCs w:val="22"/>
              </w:rPr>
              <m:t>dem</m:t>
            </m:r>
            <m:ctrlPr>
              <w:rPr>
                <w:rFonts w:ascii="Cambria Math" w:hAnsi="Cambria Math" w:eastAsia="宋体"/>
                <w:sz w:val="22"/>
                <w:szCs w:val="22"/>
              </w:rPr>
            </m:ctrlPr>
          </m:sub>
        </m:sSub>
      </m:oMath>
      <w:r>
        <w:rPr>
          <w:rFonts w:eastAsia="宋体"/>
          <w:sz w:val="22"/>
          <w:szCs w:val="22"/>
        </w:rPr>
        <w:t>is the empirical intercept specified in the adopted accounting guidance</w:t>
      </w:r>
      <w:r>
        <w:rPr>
          <w:rFonts w:eastAsia="宋体"/>
          <w:color w:val="000000"/>
          <w:sz w:val="22"/>
          <w:szCs w:val="22"/>
        </w:rPr>
        <w:t xml:space="preserve"> in </w:t>
      </w:r>
      <w:r>
        <w:rPr>
          <w:rFonts w:eastAsia="宋体"/>
          <w:color w:val="0070A8"/>
          <w:sz w:val="22"/>
          <w:szCs w:val="22"/>
        </w:rPr>
        <w:t>Supplementary Table 15</w:t>
      </w:r>
      <w:r>
        <w:rPr>
          <w:rFonts w:eastAsia="宋体"/>
          <w:sz w:val="22"/>
          <w:szCs w:val="22"/>
        </w:rPr>
        <w:t>.</w:t>
      </w:r>
    </w:p>
    <w:p w14:paraId="12B84852">
      <w:pPr>
        <w:pStyle w:val="30"/>
        <w:ind w:firstLine="420"/>
        <w:rPr>
          <w:rFonts w:eastAsia="宋体"/>
          <w:sz w:val="22"/>
          <w:szCs w:val="22"/>
        </w:rPr>
      </w:pPr>
      <w:r>
        <w:rPr>
          <w:sz w:val="22"/>
          <w:szCs w:val="22"/>
        </w:rPr>
        <w:t>Operational emissions under the in situ pathway were estimated from Fujian residential energy-consumption data. For each demographic scenario and benchmark year, allocated building population was multiplied by provincial per-capita residential energy use and the national standard-coal CO₂ emission factor</w:t>
      </w:r>
      <w:r>
        <w:rPr>
          <w:sz w:val="22"/>
          <w:szCs w:val="22"/>
          <w:vertAlign w:val="superscript"/>
        </w:rPr>
        <w:t>23</w:t>
      </w:r>
      <w:r>
        <w:rPr>
          <w:sz w:val="22"/>
          <w:szCs w:val="22"/>
        </w:rPr>
        <w:t>:</w:t>
      </w:r>
    </w:p>
    <w:p w14:paraId="42BB23B1">
      <w:pPr>
        <w:pStyle w:val="31"/>
        <w:rPr>
          <w:rFonts w:eastAsia="宋体"/>
          <w:sz w:val="22"/>
          <w:szCs w:val="22"/>
        </w:rPr>
      </w:pPr>
      <m:oMath>
        <m:m>
          <m:mPr>
            <m:mcs>
              <m:mc>
                <m:mcPr>
                  <m:count m:val="4"/>
                  <m:mcJc m:val="center"/>
                </m:mcPr>
              </m:mc>
            </m:mcs>
            <m:plcHide m:val="1"/>
            <m:ctrlPr>
              <w:rPr>
                <w:rFonts w:ascii="Cambria Math" w:hAnsi="Cambria Math" w:eastAsia="宋体"/>
                <w:sz w:val="22"/>
                <w:szCs w:val="22"/>
              </w:rPr>
            </m:ctrlPr>
          </m:mPr>
          <m:mr>
            <m:e>
              <m:ctrlPr>
                <w:rPr>
                  <w:rFonts w:ascii="Cambria Math" w:hAnsi="Cambria Math" w:eastAsia="宋体"/>
                  <w:sz w:val="22"/>
                  <w:szCs w:val="22"/>
                </w:rPr>
              </m:ctrlPr>
            </m:e>
            <m:e>
              <m:sSubSup>
                <m:sSubSupPr>
                  <m:ctrlPr>
                    <w:rPr>
                      <w:rFonts w:ascii="Cambria Math" w:hAnsi="Cambria Math" w:eastAsia="宋体"/>
                      <w:sz w:val="22"/>
                      <w:szCs w:val="22"/>
                    </w:rPr>
                  </m:ctrlPr>
                </m:sSubSupPr>
                <m:e>
                  <m:r>
                    <m:rPr/>
                    <w:rPr>
                      <w:rFonts w:ascii="Cambria Math" w:hAnsi="Cambria Math" w:eastAsia="宋体"/>
                      <w:sz w:val="22"/>
                      <w:szCs w:val="22"/>
                    </w:rPr>
                    <m:t>E</m:t>
                  </m:r>
                  <m:ctrlPr>
                    <w:rPr>
                      <w:rFonts w:ascii="Cambria Math" w:hAnsi="Cambria Math" w:eastAsia="宋体"/>
                      <w:sz w:val="22"/>
                      <w:szCs w:val="22"/>
                    </w:rPr>
                  </m:ctrlPr>
                </m:e>
                <m:sub>
                  <m:r>
                    <m:rPr/>
                    <w:rPr>
                      <w:rFonts w:ascii="Cambria Math" w:hAnsi="Cambria Math" w:eastAsia="宋体"/>
                      <w:sz w:val="22"/>
                      <w:szCs w:val="22"/>
                    </w:rPr>
                    <m:t>i</m:t>
                  </m:r>
                  <m:r>
                    <m:rPr>
                      <m:sty m:val="p"/>
                    </m:rPr>
                    <w:rPr>
                      <w:rFonts w:ascii="Cambria Math" w:hAnsi="Cambria Math" w:eastAsia="宋体"/>
                      <w:sz w:val="22"/>
                      <w:szCs w:val="22"/>
                    </w:rPr>
                    <m:t>,</m:t>
                  </m:r>
                  <m:r>
                    <m:rPr/>
                    <w:rPr>
                      <w:rFonts w:ascii="Cambria Math" w:hAnsi="Cambria Math" w:eastAsia="宋体"/>
                      <w:sz w:val="22"/>
                      <w:szCs w:val="22"/>
                    </w:rPr>
                    <m:t>s</m:t>
                  </m:r>
                  <m:r>
                    <m:rPr>
                      <m:sty m:val="p"/>
                    </m:rPr>
                    <w:rPr>
                      <w:rFonts w:ascii="Cambria Math" w:hAnsi="Cambria Math" w:eastAsia="宋体"/>
                      <w:sz w:val="22"/>
                      <w:szCs w:val="22"/>
                    </w:rPr>
                    <m:t>,</m:t>
                  </m:r>
                  <m:r>
                    <m:rPr/>
                    <w:rPr>
                      <w:rFonts w:ascii="Cambria Math" w:hAnsi="Cambria Math" w:eastAsia="宋体"/>
                      <w:sz w:val="22"/>
                      <w:szCs w:val="22"/>
                    </w:rPr>
                    <m:t>t</m:t>
                  </m:r>
                  <m:ctrlPr>
                    <w:rPr>
                      <w:rFonts w:ascii="Cambria Math" w:hAnsi="Cambria Math" w:eastAsia="宋体"/>
                      <w:sz w:val="22"/>
                      <w:szCs w:val="22"/>
                    </w:rPr>
                  </m:ctrlPr>
                </m:sub>
                <m:sup>
                  <m:r>
                    <m:rPr>
                      <m:sty m:val="p"/>
                    </m:rPr>
                    <w:rPr>
                      <w:rFonts w:ascii="Cambria Math" w:hAnsi="Cambria Math" w:eastAsia="宋体"/>
                      <w:sz w:val="22"/>
                      <w:szCs w:val="22"/>
                    </w:rPr>
                    <m:t>op</m:t>
                  </m:r>
                  <m:ctrlPr>
                    <w:rPr>
                      <w:rFonts w:ascii="Cambria Math" w:hAnsi="Cambria Math" w:eastAsia="宋体"/>
                      <w:sz w:val="22"/>
                      <w:szCs w:val="22"/>
                    </w:rPr>
                  </m:ctrlPr>
                </m:sup>
              </m:sSubSup>
              <m:r>
                <m:rPr>
                  <m:sty m:val="p"/>
                </m:rPr>
                <w:rPr>
                  <w:rFonts w:ascii="Cambria Math" w:hAnsi="Cambria Math" w:eastAsia="宋体"/>
                  <w:sz w:val="22"/>
                  <w:szCs w:val="22"/>
                </w:rPr>
                <m:t>=</m:t>
              </m:r>
              <m:sSub>
                <m:sSubPr>
                  <m:ctrlPr>
                    <w:rPr>
                      <w:rFonts w:ascii="Cambria Math" w:hAnsi="Cambria Math" w:eastAsia="宋体"/>
                      <w:sz w:val="22"/>
                      <w:szCs w:val="22"/>
                    </w:rPr>
                  </m:ctrlPr>
                </m:sSubPr>
                <m:e>
                  <m:r>
                    <m:rPr/>
                    <w:rPr>
                      <w:rFonts w:ascii="Cambria Math" w:hAnsi="Cambria Math" w:eastAsia="宋体"/>
                      <w:sz w:val="22"/>
                      <w:szCs w:val="22"/>
                    </w:rPr>
                    <m:t>P</m:t>
                  </m:r>
                  <m:ctrlPr>
                    <w:rPr>
                      <w:rFonts w:ascii="Cambria Math" w:hAnsi="Cambria Math" w:eastAsia="宋体"/>
                      <w:sz w:val="22"/>
                      <w:szCs w:val="22"/>
                    </w:rPr>
                  </m:ctrlPr>
                </m:e>
                <m:sub>
                  <m:r>
                    <m:rPr/>
                    <w:rPr>
                      <w:rFonts w:ascii="Cambria Math" w:hAnsi="Cambria Math" w:eastAsia="宋体"/>
                      <w:sz w:val="22"/>
                      <w:szCs w:val="22"/>
                    </w:rPr>
                    <m:t>i</m:t>
                  </m:r>
                  <m:r>
                    <m:rPr>
                      <m:sty m:val="p"/>
                    </m:rPr>
                    <w:rPr>
                      <w:rFonts w:ascii="Cambria Math" w:hAnsi="Cambria Math" w:eastAsia="宋体"/>
                      <w:sz w:val="22"/>
                      <w:szCs w:val="22"/>
                    </w:rPr>
                    <m:t>,</m:t>
                  </m:r>
                  <m:r>
                    <m:rPr/>
                    <w:rPr>
                      <w:rFonts w:ascii="Cambria Math" w:hAnsi="Cambria Math" w:eastAsia="宋体"/>
                      <w:sz w:val="22"/>
                      <w:szCs w:val="22"/>
                    </w:rPr>
                    <m:t>s</m:t>
                  </m:r>
                  <m:r>
                    <m:rPr>
                      <m:sty m:val="p"/>
                    </m:rPr>
                    <w:rPr>
                      <w:rFonts w:ascii="Cambria Math" w:hAnsi="Cambria Math" w:eastAsia="宋体"/>
                      <w:sz w:val="22"/>
                      <w:szCs w:val="22"/>
                    </w:rPr>
                    <m:t>,</m:t>
                  </m:r>
                  <m:r>
                    <m:rPr/>
                    <w:rPr>
                      <w:rFonts w:ascii="Cambria Math" w:hAnsi="Cambria Math" w:eastAsia="宋体"/>
                      <w:sz w:val="22"/>
                      <w:szCs w:val="22"/>
                    </w:rPr>
                    <m:t>t</m:t>
                  </m:r>
                  <m:ctrlPr>
                    <w:rPr>
                      <w:rFonts w:ascii="Cambria Math" w:hAnsi="Cambria Math" w:eastAsia="宋体"/>
                      <w:sz w:val="22"/>
                      <w:szCs w:val="22"/>
                    </w:rPr>
                  </m:ctrlPr>
                </m:sub>
              </m:sSub>
              <m:sSubSup>
                <m:sSubSupPr>
                  <m:ctrlPr>
                    <w:rPr>
                      <w:rFonts w:ascii="Cambria Math" w:hAnsi="Cambria Math" w:eastAsia="宋体"/>
                      <w:sz w:val="22"/>
                      <w:szCs w:val="22"/>
                    </w:rPr>
                  </m:ctrlPr>
                </m:sSubSupPr>
                <m:e>
                  <m:r>
                    <m:rPr/>
                    <w:rPr>
                      <w:rFonts w:ascii="Cambria Math" w:hAnsi="Cambria Math" w:eastAsia="宋体"/>
                      <w:sz w:val="22"/>
                      <w:szCs w:val="22"/>
                    </w:rPr>
                    <m:t>q</m:t>
                  </m:r>
                  <m:ctrlPr>
                    <w:rPr>
                      <w:rFonts w:ascii="Cambria Math" w:hAnsi="Cambria Math" w:eastAsia="宋体"/>
                      <w:sz w:val="22"/>
                      <w:szCs w:val="22"/>
                    </w:rPr>
                  </m:ctrlPr>
                </m:e>
                <m:sub>
                  <m:r>
                    <m:rPr>
                      <m:sty m:val="p"/>
                    </m:rPr>
                    <w:rPr>
                      <w:rFonts w:ascii="Cambria Math" w:hAnsi="Cambria Math" w:eastAsia="宋体"/>
                      <w:sz w:val="22"/>
                      <w:szCs w:val="22"/>
                    </w:rPr>
                    <m:t>FJ</m:t>
                  </m:r>
                  <m:ctrlPr>
                    <w:rPr>
                      <w:rFonts w:ascii="Cambria Math" w:hAnsi="Cambria Math" w:eastAsia="宋体"/>
                      <w:sz w:val="22"/>
                      <w:szCs w:val="22"/>
                    </w:rPr>
                  </m:ctrlPr>
                </m:sub>
                <m:sup>
                  <m:r>
                    <m:rPr>
                      <m:sty m:val="p"/>
                    </m:rPr>
                    <w:rPr>
                      <w:rFonts w:ascii="Cambria Math" w:hAnsi="Cambria Math" w:eastAsia="宋体"/>
                      <w:sz w:val="22"/>
                      <w:szCs w:val="22"/>
                    </w:rPr>
                    <m:t>res</m:t>
                  </m:r>
                  <m:ctrlPr>
                    <w:rPr>
                      <w:rFonts w:ascii="Cambria Math" w:hAnsi="Cambria Math" w:eastAsia="宋体"/>
                      <w:sz w:val="22"/>
                      <w:szCs w:val="22"/>
                    </w:rPr>
                  </m:ctrlPr>
                </m:sup>
              </m:sSubSup>
              <m:sSub>
                <m:sSubPr>
                  <m:ctrlPr>
                    <w:rPr>
                      <w:rFonts w:ascii="Cambria Math" w:hAnsi="Cambria Math" w:eastAsia="宋体"/>
                      <w:sz w:val="22"/>
                      <w:szCs w:val="22"/>
                    </w:rPr>
                  </m:ctrlPr>
                </m:sSubPr>
                <m:e>
                  <m:r>
                    <m:rPr/>
                    <w:rPr>
                      <w:rFonts w:ascii="Cambria Math" w:hAnsi="Cambria Math" w:eastAsia="宋体"/>
                      <w:sz w:val="22"/>
                      <w:szCs w:val="22"/>
                    </w:rPr>
                    <m:t>f</m:t>
                  </m:r>
                  <m:ctrlPr>
                    <w:rPr>
                      <w:rFonts w:ascii="Cambria Math" w:hAnsi="Cambria Math" w:eastAsia="宋体"/>
                      <w:sz w:val="22"/>
                      <w:szCs w:val="22"/>
                    </w:rPr>
                  </m:ctrlPr>
                </m:e>
                <m:sub>
                  <m:r>
                    <m:rPr>
                      <m:sty m:val="p"/>
                    </m:rPr>
                    <w:rPr>
                      <w:rFonts w:ascii="Cambria Math" w:hAnsi="Cambria Math" w:eastAsia="宋体"/>
                      <w:sz w:val="22"/>
                      <w:szCs w:val="22"/>
                    </w:rPr>
                    <m:t>C</m:t>
                  </m:r>
                  <m:sSub>
                    <m:sSubPr>
                      <m:ctrlPr>
                        <w:rPr>
                          <w:rFonts w:ascii="Cambria Math" w:hAnsi="Cambria Math" w:eastAsia="宋体"/>
                          <w:sz w:val="22"/>
                          <w:szCs w:val="22"/>
                        </w:rPr>
                      </m:ctrlPr>
                    </m:sSubPr>
                    <m:e>
                      <m:r>
                        <m:rPr>
                          <m:sty m:val="p"/>
                        </m:rPr>
                        <w:rPr>
                          <w:rFonts w:ascii="Cambria Math" w:hAnsi="Cambria Math" w:eastAsia="宋体"/>
                          <w:sz w:val="22"/>
                          <w:szCs w:val="22"/>
                        </w:rPr>
                        <m:t>O</m:t>
                      </m:r>
                      <m:ctrlPr>
                        <w:rPr>
                          <w:rFonts w:ascii="Cambria Math" w:hAnsi="Cambria Math" w:eastAsia="宋体"/>
                          <w:sz w:val="22"/>
                          <w:szCs w:val="22"/>
                        </w:rPr>
                      </m:ctrlPr>
                    </m:e>
                    <m:sub>
                      <m:r>
                        <m:rPr>
                          <m:sty m:val="p"/>
                        </m:rPr>
                        <w:rPr>
                          <w:rFonts w:ascii="Cambria Math" w:hAnsi="Cambria Math" w:eastAsia="宋体"/>
                          <w:sz w:val="22"/>
                          <w:szCs w:val="22"/>
                        </w:rPr>
                        <m:t>2</m:t>
                      </m:r>
                      <m:ctrlPr>
                        <w:rPr>
                          <w:rFonts w:ascii="Cambria Math" w:hAnsi="Cambria Math" w:eastAsia="宋体"/>
                          <w:sz w:val="22"/>
                          <w:szCs w:val="22"/>
                        </w:rPr>
                      </m:ctrlPr>
                    </m:sub>
                  </m:sSub>
                  <m:ctrlPr>
                    <w:rPr>
                      <w:rFonts w:ascii="Cambria Math" w:hAnsi="Cambria Math" w:eastAsia="宋体"/>
                      <w:sz w:val="22"/>
                      <w:szCs w:val="22"/>
                    </w:rPr>
                  </m:ctrlPr>
                </m:sub>
              </m:sSub>
              <m:ctrlPr>
                <w:rPr>
                  <w:rFonts w:ascii="Cambria Math" w:hAnsi="Cambria Math" w:eastAsia="宋体"/>
                  <w:sz w:val="22"/>
                  <w:szCs w:val="22"/>
                </w:rPr>
              </m:ctrlPr>
            </m:e>
            <m:e>
              <m:ctrlPr>
                <w:rPr>
                  <w:rFonts w:ascii="Cambria Math" w:hAnsi="Cambria Math" w:eastAsia="宋体"/>
                  <w:sz w:val="22"/>
                  <w:szCs w:val="22"/>
                </w:rPr>
              </m:ctrlPr>
            </m:e>
            <m:e>
              <m:ctrlPr>
                <w:rPr>
                  <w:rFonts w:ascii="Cambria Math" w:hAnsi="Cambria Math" w:eastAsia="宋体"/>
                  <w:sz w:val="22"/>
                  <w:szCs w:val="22"/>
                </w:rPr>
              </m:ctrlPr>
            </m:e>
          </m:mr>
        </m:m>
      </m:oMath>
      <w:r>
        <w:rPr>
          <w:rFonts w:eastAsia="宋体"/>
          <w:sz w:val="22"/>
          <w:szCs w:val="22"/>
        </w:rPr>
        <w:t xml:space="preserve">                            (S28)</w:t>
      </w:r>
    </w:p>
    <w:p w14:paraId="20551618">
      <w:pPr>
        <w:pStyle w:val="30"/>
        <w:ind w:firstLine="420"/>
        <w:rPr>
          <w:rFonts w:eastAsia="宋体"/>
          <w:sz w:val="22"/>
          <w:szCs w:val="22"/>
        </w:rPr>
      </w:pPr>
      <w:r>
        <w:rPr>
          <w:rFonts w:eastAsia="宋体"/>
          <w:sz w:val="22"/>
          <w:szCs w:val="22"/>
        </w:rPr>
        <w:t xml:space="preserve">where </w:t>
      </w:r>
      <m:oMath>
        <m:sSubSup>
          <m:sSubSupPr>
            <m:ctrlPr>
              <w:rPr>
                <w:rFonts w:ascii="Cambria Math" w:hAnsi="Cambria Math" w:eastAsia="宋体"/>
                <w:sz w:val="22"/>
                <w:szCs w:val="22"/>
              </w:rPr>
            </m:ctrlPr>
          </m:sSubSupPr>
          <m:e>
            <m:r>
              <m:rPr/>
              <w:rPr>
                <w:rFonts w:ascii="Cambria Math" w:hAnsi="Cambria Math" w:eastAsia="宋体"/>
                <w:sz w:val="22"/>
                <w:szCs w:val="22"/>
              </w:rPr>
              <m:t>E</m:t>
            </m:r>
            <m:ctrlPr>
              <w:rPr>
                <w:rFonts w:ascii="Cambria Math" w:hAnsi="Cambria Math" w:eastAsia="宋体"/>
                <w:sz w:val="22"/>
                <w:szCs w:val="22"/>
              </w:rPr>
            </m:ctrlPr>
          </m:e>
          <m:sub>
            <m:r>
              <m:rPr/>
              <w:rPr>
                <w:rFonts w:ascii="Cambria Math" w:hAnsi="Cambria Math" w:eastAsia="宋体"/>
                <w:sz w:val="22"/>
                <w:szCs w:val="22"/>
              </w:rPr>
              <m:t>i</m:t>
            </m:r>
            <m:r>
              <m:rPr>
                <m:sty m:val="p"/>
              </m:rPr>
              <w:rPr>
                <w:rFonts w:ascii="Cambria Math" w:hAnsi="Cambria Math" w:eastAsia="宋体"/>
                <w:sz w:val="22"/>
                <w:szCs w:val="22"/>
              </w:rPr>
              <m:t>,</m:t>
            </m:r>
            <m:r>
              <m:rPr/>
              <w:rPr>
                <w:rFonts w:ascii="Cambria Math" w:hAnsi="Cambria Math" w:eastAsia="宋体"/>
                <w:sz w:val="22"/>
                <w:szCs w:val="22"/>
              </w:rPr>
              <m:t>s</m:t>
            </m:r>
            <m:r>
              <m:rPr>
                <m:sty m:val="p"/>
              </m:rPr>
              <w:rPr>
                <w:rFonts w:ascii="Cambria Math" w:hAnsi="Cambria Math" w:eastAsia="宋体"/>
                <w:sz w:val="22"/>
                <w:szCs w:val="22"/>
              </w:rPr>
              <m:t>,</m:t>
            </m:r>
            <m:r>
              <m:rPr/>
              <w:rPr>
                <w:rFonts w:ascii="Cambria Math" w:hAnsi="Cambria Math" w:eastAsia="宋体"/>
                <w:sz w:val="22"/>
                <w:szCs w:val="22"/>
              </w:rPr>
              <m:t>t</m:t>
            </m:r>
            <m:ctrlPr>
              <w:rPr>
                <w:rFonts w:ascii="Cambria Math" w:hAnsi="Cambria Math" w:eastAsia="宋体"/>
                <w:sz w:val="22"/>
                <w:szCs w:val="22"/>
              </w:rPr>
            </m:ctrlPr>
          </m:sub>
          <m:sup>
            <m:r>
              <m:rPr>
                <m:sty m:val="p"/>
              </m:rPr>
              <w:rPr>
                <w:rFonts w:ascii="Cambria Math" w:hAnsi="Cambria Math" w:eastAsia="宋体"/>
                <w:sz w:val="22"/>
                <w:szCs w:val="22"/>
              </w:rPr>
              <m:t>op</m:t>
            </m:r>
            <m:ctrlPr>
              <w:rPr>
                <w:rFonts w:ascii="Cambria Math" w:hAnsi="Cambria Math" w:eastAsia="宋体"/>
                <w:sz w:val="22"/>
                <w:szCs w:val="22"/>
              </w:rPr>
            </m:ctrlPr>
          </m:sup>
        </m:sSubSup>
      </m:oMath>
      <w:r>
        <w:rPr>
          <w:rFonts w:eastAsia="宋体"/>
          <w:sz w:val="22"/>
          <w:szCs w:val="22"/>
        </w:rPr>
        <w:t xml:space="preserve">is the annual operational carbon emission associated with building </w:t>
      </w:r>
      <m:oMath>
        <m:r>
          <m:rPr/>
          <w:rPr>
            <w:rFonts w:ascii="Cambria Math" w:hAnsi="Cambria Math" w:eastAsia="宋体"/>
            <w:sz w:val="22"/>
            <w:szCs w:val="22"/>
          </w:rPr>
          <m:t>i</m:t>
        </m:r>
      </m:oMath>
      <w:r>
        <w:rPr>
          <w:rFonts w:eastAsia="宋体"/>
          <w:sz w:val="22"/>
          <w:szCs w:val="22"/>
        </w:rPr>
        <w:t xml:space="preserve">under demographic scenario </w:t>
      </w:r>
      <m:oMath>
        <m:r>
          <m:rPr/>
          <w:rPr>
            <w:rFonts w:ascii="Cambria Math" w:hAnsi="Cambria Math" w:eastAsia="宋体"/>
            <w:sz w:val="22"/>
            <w:szCs w:val="22"/>
          </w:rPr>
          <m:t>s</m:t>
        </m:r>
      </m:oMath>
      <w:r>
        <w:rPr>
          <w:rFonts w:eastAsia="宋体"/>
          <w:sz w:val="22"/>
          <w:szCs w:val="22"/>
        </w:rPr>
        <w:t xml:space="preserve">in year </w:t>
      </w:r>
      <m:oMath>
        <m:r>
          <m:rPr/>
          <w:rPr>
            <w:rFonts w:ascii="Cambria Math" w:hAnsi="Cambria Math" w:eastAsia="宋体"/>
            <w:sz w:val="22"/>
            <w:szCs w:val="22"/>
          </w:rPr>
          <m:t>t</m:t>
        </m:r>
      </m:oMath>
      <w:r>
        <w:rPr>
          <w:rFonts w:eastAsia="宋体"/>
          <w:sz w:val="22"/>
          <w:szCs w:val="22"/>
        </w:rPr>
        <w:t xml:space="preserve">, </w:t>
      </w:r>
      <m:oMath>
        <m:sSub>
          <m:sSubPr>
            <m:ctrlPr>
              <w:rPr>
                <w:rFonts w:ascii="Cambria Math" w:hAnsi="Cambria Math" w:eastAsia="宋体"/>
                <w:sz w:val="22"/>
                <w:szCs w:val="22"/>
              </w:rPr>
            </m:ctrlPr>
          </m:sSubPr>
          <m:e>
            <m:r>
              <m:rPr/>
              <w:rPr>
                <w:rFonts w:ascii="Cambria Math" w:hAnsi="Cambria Math" w:eastAsia="宋体"/>
                <w:sz w:val="22"/>
                <w:szCs w:val="22"/>
              </w:rPr>
              <m:t>P</m:t>
            </m:r>
            <m:ctrlPr>
              <w:rPr>
                <w:rFonts w:ascii="Cambria Math" w:hAnsi="Cambria Math" w:eastAsia="宋体"/>
                <w:sz w:val="22"/>
                <w:szCs w:val="22"/>
              </w:rPr>
            </m:ctrlPr>
          </m:e>
          <m:sub>
            <m:r>
              <m:rPr/>
              <w:rPr>
                <w:rFonts w:ascii="Cambria Math" w:hAnsi="Cambria Math" w:eastAsia="宋体"/>
                <w:sz w:val="22"/>
                <w:szCs w:val="22"/>
              </w:rPr>
              <m:t>i</m:t>
            </m:r>
            <m:r>
              <m:rPr>
                <m:sty m:val="p"/>
              </m:rPr>
              <w:rPr>
                <w:rFonts w:ascii="Cambria Math" w:hAnsi="Cambria Math" w:eastAsia="宋体"/>
                <w:sz w:val="22"/>
                <w:szCs w:val="22"/>
              </w:rPr>
              <m:t>,</m:t>
            </m:r>
            <m:r>
              <m:rPr/>
              <w:rPr>
                <w:rFonts w:ascii="Cambria Math" w:hAnsi="Cambria Math" w:eastAsia="宋体"/>
                <w:sz w:val="22"/>
                <w:szCs w:val="22"/>
              </w:rPr>
              <m:t>s</m:t>
            </m:r>
            <m:r>
              <m:rPr>
                <m:sty m:val="p"/>
              </m:rPr>
              <w:rPr>
                <w:rFonts w:ascii="Cambria Math" w:hAnsi="Cambria Math" w:eastAsia="宋体"/>
                <w:sz w:val="22"/>
                <w:szCs w:val="22"/>
              </w:rPr>
              <m:t>,</m:t>
            </m:r>
            <m:r>
              <m:rPr/>
              <w:rPr>
                <w:rFonts w:ascii="Cambria Math" w:hAnsi="Cambria Math" w:eastAsia="宋体"/>
                <w:sz w:val="22"/>
                <w:szCs w:val="22"/>
              </w:rPr>
              <m:t>t</m:t>
            </m:r>
            <m:ctrlPr>
              <w:rPr>
                <w:rFonts w:ascii="Cambria Math" w:hAnsi="Cambria Math" w:eastAsia="宋体"/>
                <w:sz w:val="22"/>
                <w:szCs w:val="22"/>
              </w:rPr>
            </m:ctrlPr>
          </m:sub>
        </m:sSub>
      </m:oMath>
      <w:r>
        <w:rPr>
          <w:rFonts w:eastAsia="宋体"/>
          <w:sz w:val="22"/>
          <w:szCs w:val="22"/>
        </w:rPr>
        <w:t xml:space="preserve">is the population allocated to the building, </w:t>
      </w:r>
      <m:oMath>
        <m:sSubSup>
          <m:sSubSupPr>
            <m:ctrlPr>
              <w:rPr>
                <w:rFonts w:ascii="Cambria Math" w:hAnsi="Cambria Math" w:eastAsia="宋体"/>
                <w:sz w:val="22"/>
                <w:szCs w:val="22"/>
              </w:rPr>
            </m:ctrlPr>
          </m:sSubSupPr>
          <m:e>
            <m:r>
              <m:rPr/>
              <w:rPr>
                <w:rFonts w:ascii="Cambria Math" w:hAnsi="Cambria Math" w:eastAsia="宋体"/>
                <w:sz w:val="22"/>
                <w:szCs w:val="22"/>
              </w:rPr>
              <m:t>q</m:t>
            </m:r>
            <m:ctrlPr>
              <w:rPr>
                <w:rFonts w:ascii="Cambria Math" w:hAnsi="Cambria Math" w:eastAsia="宋体"/>
                <w:sz w:val="22"/>
                <w:szCs w:val="22"/>
              </w:rPr>
            </m:ctrlPr>
          </m:e>
          <m:sub>
            <m:r>
              <m:rPr>
                <m:sty m:val="p"/>
              </m:rPr>
              <w:rPr>
                <w:rFonts w:ascii="Cambria Math" w:hAnsi="Cambria Math" w:eastAsia="宋体"/>
                <w:sz w:val="22"/>
                <w:szCs w:val="22"/>
              </w:rPr>
              <m:t>FJ</m:t>
            </m:r>
            <m:ctrlPr>
              <w:rPr>
                <w:rFonts w:ascii="Cambria Math" w:hAnsi="Cambria Math" w:eastAsia="宋体"/>
                <w:sz w:val="22"/>
                <w:szCs w:val="22"/>
              </w:rPr>
            </m:ctrlPr>
          </m:sub>
          <m:sup>
            <m:r>
              <m:rPr>
                <m:sty m:val="p"/>
              </m:rPr>
              <w:rPr>
                <w:rFonts w:ascii="Cambria Math" w:hAnsi="Cambria Math" w:eastAsia="宋体"/>
                <w:sz w:val="22"/>
                <w:szCs w:val="22"/>
              </w:rPr>
              <m:t>res</m:t>
            </m:r>
            <m:ctrlPr>
              <w:rPr>
                <w:rFonts w:ascii="Cambria Math" w:hAnsi="Cambria Math" w:eastAsia="宋体"/>
                <w:sz w:val="22"/>
                <w:szCs w:val="22"/>
              </w:rPr>
            </m:ctrlPr>
          </m:sup>
        </m:sSubSup>
      </m:oMath>
      <w:r>
        <w:rPr>
          <w:rFonts w:eastAsia="宋体"/>
          <w:sz w:val="22"/>
          <w:szCs w:val="22"/>
        </w:rPr>
        <w:t xml:space="preserve">is per-capita residential energy consumption in Fujian Province, and </w:t>
      </w:r>
      <m:oMath>
        <m:sSub>
          <m:sSubPr>
            <m:ctrlPr>
              <w:rPr>
                <w:rFonts w:ascii="Cambria Math" w:hAnsi="Cambria Math" w:eastAsia="宋体"/>
                <w:sz w:val="22"/>
                <w:szCs w:val="22"/>
              </w:rPr>
            </m:ctrlPr>
          </m:sSubPr>
          <m:e>
            <m:r>
              <m:rPr/>
              <w:rPr>
                <w:rFonts w:ascii="Cambria Math" w:hAnsi="Cambria Math" w:eastAsia="宋体"/>
                <w:sz w:val="22"/>
                <w:szCs w:val="22"/>
              </w:rPr>
              <m:t>f</m:t>
            </m:r>
            <m:ctrlPr>
              <w:rPr>
                <w:rFonts w:ascii="Cambria Math" w:hAnsi="Cambria Math" w:eastAsia="宋体"/>
                <w:sz w:val="22"/>
                <w:szCs w:val="22"/>
              </w:rPr>
            </m:ctrlPr>
          </m:e>
          <m:sub>
            <m:r>
              <m:rPr>
                <m:sty m:val="p"/>
              </m:rPr>
              <w:rPr>
                <w:rFonts w:ascii="Cambria Math" w:hAnsi="Cambria Math" w:eastAsia="宋体"/>
                <w:sz w:val="22"/>
                <w:szCs w:val="22"/>
              </w:rPr>
              <m:t>C</m:t>
            </m:r>
            <m:sSub>
              <m:sSubPr>
                <m:ctrlPr>
                  <w:rPr>
                    <w:rFonts w:ascii="Cambria Math" w:hAnsi="Cambria Math" w:eastAsia="宋体"/>
                    <w:sz w:val="22"/>
                    <w:szCs w:val="22"/>
                  </w:rPr>
                </m:ctrlPr>
              </m:sSubPr>
              <m:e>
                <m:r>
                  <m:rPr>
                    <m:sty m:val="p"/>
                  </m:rPr>
                  <w:rPr>
                    <w:rFonts w:ascii="Cambria Math" w:hAnsi="Cambria Math" w:eastAsia="宋体"/>
                    <w:sz w:val="22"/>
                    <w:szCs w:val="22"/>
                  </w:rPr>
                  <m:t>O</m:t>
                </m:r>
                <m:ctrlPr>
                  <w:rPr>
                    <w:rFonts w:ascii="Cambria Math" w:hAnsi="Cambria Math" w:eastAsia="宋体"/>
                    <w:sz w:val="22"/>
                    <w:szCs w:val="22"/>
                  </w:rPr>
                </m:ctrlPr>
              </m:e>
              <m:sub>
                <m:r>
                  <m:rPr>
                    <m:sty m:val="p"/>
                  </m:rPr>
                  <w:rPr>
                    <w:rFonts w:ascii="Cambria Math" w:hAnsi="Cambria Math" w:eastAsia="宋体"/>
                    <w:sz w:val="22"/>
                    <w:szCs w:val="22"/>
                  </w:rPr>
                  <m:t>2</m:t>
                </m:r>
                <m:ctrlPr>
                  <w:rPr>
                    <w:rFonts w:ascii="Cambria Math" w:hAnsi="Cambria Math" w:eastAsia="宋体"/>
                    <w:sz w:val="22"/>
                    <w:szCs w:val="22"/>
                  </w:rPr>
                </m:ctrlPr>
              </m:sub>
            </m:sSub>
            <m:ctrlPr>
              <w:rPr>
                <w:rFonts w:ascii="Cambria Math" w:hAnsi="Cambria Math" w:eastAsia="宋体"/>
                <w:sz w:val="22"/>
                <w:szCs w:val="22"/>
              </w:rPr>
            </m:ctrlPr>
          </m:sub>
        </m:sSub>
      </m:oMath>
      <w:r>
        <w:rPr>
          <w:rFonts w:eastAsia="宋体"/>
          <w:sz w:val="22"/>
          <w:szCs w:val="22"/>
        </w:rPr>
        <w:t xml:space="preserve">is the carbon-emission factor for standard coal. The parameter values and their sources are reported </w:t>
      </w:r>
      <w:r>
        <w:rPr>
          <w:rFonts w:eastAsia="宋体"/>
          <w:color w:val="000000"/>
          <w:sz w:val="22"/>
          <w:szCs w:val="22"/>
        </w:rPr>
        <w:t xml:space="preserve">in </w:t>
      </w:r>
      <w:r>
        <w:rPr>
          <w:rFonts w:eastAsia="宋体"/>
          <w:color w:val="0070A8"/>
          <w:sz w:val="22"/>
          <w:szCs w:val="22"/>
        </w:rPr>
        <w:t>Supplementary Table 15</w:t>
      </w:r>
      <w:r>
        <w:rPr>
          <w:rFonts w:eastAsia="宋体"/>
          <w:sz w:val="22"/>
          <w:szCs w:val="22"/>
        </w:rPr>
        <w:t>.</w:t>
      </w:r>
    </w:p>
    <w:p w14:paraId="7B3D538F">
      <w:pPr>
        <w:pStyle w:val="29"/>
      </w:pPr>
      <w:r>
        <w:t>S6.5 Annual, cumulative and new-cohort pathway outputs</w:t>
      </w:r>
    </w:p>
    <w:p w14:paraId="7ABB81AB">
      <w:pPr>
        <w:pStyle w:val="30"/>
        <w:ind w:firstLine="420"/>
        <w:rPr>
          <w:rFonts w:eastAsia="宋体"/>
          <w:sz w:val="22"/>
          <w:szCs w:val="22"/>
        </w:rPr>
      </w:pPr>
      <w:r>
        <w:rPr>
          <w:rFonts w:eastAsia="宋体"/>
          <w:sz w:val="22"/>
          <w:szCs w:val="22"/>
        </w:rPr>
        <w:t>Four principal outputs were quantified for the two renewal pathways. For the demolition pathway, these comprised lower- and upper-bound compensation costs and one-off demolition-stage carbon emissions. For the in situ renewal pathway, they comprised lower- and upper-bound direct renewal costs and annual operational carbon emissions. All outputs were calculated separately by demographic scenario, benchmark year and urban–rural group before being aggregated to the citywide level.</w:t>
      </w:r>
    </w:p>
    <w:p w14:paraId="066A6C8B">
      <w:pPr>
        <w:pStyle w:val="30"/>
        <w:ind w:firstLine="420"/>
        <w:rPr>
          <w:rFonts w:eastAsia="宋体"/>
          <w:sz w:val="22"/>
          <w:szCs w:val="22"/>
        </w:rPr>
      </w:pPr>
      <w:r>
        <w:rPr>
          <w:rFonts w:eastAsia="宋体"/>
          <w:sz w:val="22"/>
          <w:szCs w:val="22"/>
        </w:rPr>
        <w:t>Demolition-compensation costs were calculated as</w:t>
      </w:r>
    </w:p>
    <w:p w14:paraId="3BD2C7DE">
      <w:pPr>
        <w:pStyle w:val="31"/>
        <w:rPr>
          <w:sz w:val="22"/>
          <w:szCs w:val="22"/>
        </w:rPr>
      </w:pPr>
      <m:oMath>
        <m:m>
          <m:mPr>
            <m:mcs>
              <m:mc>
                <m:mcPr>
                  <m:count m:val="4"/>
                  <m:mcJc m:val="center"/>
                </m:mcPr>
              </m:mc>
            </m:mcs>
            <m:plcHide m:val="1"/>
            <m:ctrlPr>
              <w:rPr>
                <w:rFonts w:ascii="Cambria Math" w:hAnsi="Cambria Math"/>
                <w:sz w:val="22"/>
                <w:szCs w:val="22"/>
              </w:rPr>
            </m:ctrlPr>
          </m:mPr>
          <m:mr>
            <m:e>
              <m:ctrlPr>
                <w:rPr>
                  <w:rFonts w:ascii="Cambria Math" w:hAnsi="Cambria Math"/>
                  <w:sz w:val="22"/>
                  <w:szCs w:val="22"/>
                </w:rPr>
              </m:ctrlPr>
            </m:e>
            <m:e>
              <m:sSubSup>
                <m:sSubSupPr>
                  <m:ctrlPr>
                    <w:rPr>
                      <w:rFonts w:ascii="Cambria Math" w:hAnsi="Cambria Math"/>
                      <w:sz w:val="22"/>
                      <w:szCs w:val="22"/>
                    </w:rPr>
                  </m:ctrlPr>
                </m:sSubSupPr>
                <m:e>
                  <m:r>
                    <m:rPr>
                      <m:sty m:val="p"/>
                    </m:rPr>
                    <w:rPr>
                      <w:rFonts w:ascii="Cambria Math" w:hAnsi="Cambria Math"/>
                      <w:sz w:val="22"/>
                      <w:szCs w:val="22"/>
                    </w:rPr>
                    <m:t>DemCost</m:t>
                  </m:r>
                  <m:ctrlPr>
                    <w:rPr>
                      <w:rFonts w:ascii="Cambria Math" w:hAnsi="Cambria Math"/>
                      <w:sz w:val="22"/>
                      <w:szCs w:val="22"/>
                    </w:rPr>
                  </m:ctrlPr>
                </m:e>
                <m:sub>
                  <m:r>
                    <m:rPr>
                      <m:sty m:val="p"/>
                    </m:rPr>
                    <w:rPr>
                      <w:rFonts w:ascii="Cambria Math" w:hAnsi="Cambria Math"/>
                      <w:sz w:val="22"/>
                      <w:szCs w:val="22"/>
                    </w:rPr>
                    <m:t>s,t,b</m:t>
                  </m:r>
                  <m:ctrlPr>
                    <w:rPr>
                      <w:rFonts w:ascii="Cambria Math" w:hAnsi="Cambria Math"/>
                      <w:sz w:val="22"/>
                      <w:szCs w:val="22"/>
                    </w:rPr>
                  </m:ctrlPr>
                </m:sub>
                <m:sup>
                  <m:r>
                    <m:rPr>
                      <m:sty m:val="p"/>
                    </m:rPr>
                    <w:rPr>
                      <w:rFonts w:ascii="Cambria Math" w:hAnsi="Cambria Math"/>
                      <w:sz w:val="22"/>
                      <w:szCs w:val="22"/>
                    </w:rPr>
                    <m:t>v</m:t>
                  </m:r>
                  <m:ctrlPr>
                    <w:rPr>
                      <w:rFonts w:ascii="Cambria Math" w:hAnsi="Cambria Math"/>
                      <w:sz w:val="22"/>
                      <w:szCs w:val="22"/>
                    </w:rPr>
                  </m:ctrlPr>
                </m:sup>
              </m:sSubSup>
              <m:r>
                <m:rPr>
                  <m:sty m:val="p"/>
                </m:rPr>
                <w:rPr>
                  <w:rFonts w:ascii="Cambria Math" w:hAnsi="Cambria Math"/>
                  <w:sz w:val="22"/>
                  <w:szCs w:val="22"/>
                </w:rPr>
                <m:t>=</m:t>
              </m:r>
              <m:nary>
                <m:naryPr>
                  <m:chr m:val="∑"/>
                  <m:grow m:val="1"/>
                  <m:limLoc m:val="undOvr"/>
                  <m:supHide m:val="1"/>
                  <m:ctrlPr>
                    <w:rPr>
                      <w:rFonts w:ascii="Cambria Math" w:hAnsi="Cambria Math"/>
                      <w:sz w:val="22"/>
                      <w:szCs w:val="22"/>
                    </w:rPr>
                  </m:ctrlPr>
                </m:naryPr>
                <m:sub>
                  <m:r>
                    <m:rPr>
                      <m:sty m:val="p"/>
                    </m:rPr>
                    <w:rPr>
                      <w:rFonts w:ascii="Cambria Math" w:hAnsi="Cambria Math"/>
                      <w:sz w:val="22"/>
                      <w:szCs w:val="22"/>
                    </w:rPr>
                    <m:t>i</m:t>
                  </m:r>
                  <m:r>
                    <m:rPr>
                      <m:sty m:val="p"/>
                    </m:rPr>
                    <w:rPr>
                      <w:rFonts w:hint="eastAsia" w:ascii="Cambria Math" w:hAnsi="Cambria Math"/>
                      <w:sz w:val="22"/>
                      <w:szCs w:val="22"/>
                    </w:rPr>
                    <m:t>∈</m:t>
                  </m:r>
                  <m:sSubSup>
                    <m:sSubSupPr>
                      <m:ctrlPr>
                        <w:rPr>
                          <w:rFonts w:ascii="Cambria Math" w:hAnsi="Cambria Math"/>
                          <w:sz w:val="22"/>
                          <w:szCs w:val="22"/>
                        </w:rPr>
                      </m:ctrlPr>
                    </m:sSubSupPr>
                    <m:e>
                      <m:r>
                        <m:rPr>
                          <m:sty m:val="p"/>
                        </m:rPr>
                        <w:rPr>
                          <w:rFonts w:hint="eastAsia" w:ascii="Cambria Math" w:hAnsi="Cambria Math"/>
                          <w:sz w:val="22"/>
                          <w:szCs w:val="22"/>
                        </w:rPr>
                        <m:t>Ω</m:t>
                      </m:r>
                      <m:ctrlPr>
                        <w:rPr>
                          <w:rFonts w:ascii="Cambria Math" w:hAnsi="Cambria Math"/>
                          <w:sz w:val="22"/>
                          <w:szCs w:val="22"/>
                        </w:rPr>
                      </m:ctrlPr>
                    </m:e>
                    <m:sub>
                      <m:r>
                        <m:rPr>
                          <m:sty m:val="p"/>
                        </m:rPr>
                        <w:rPr>
                          <w:rFonts w:ascii="Cambria Math" w:hAnsi="Cambria Math"/>
                          <w:sz w:val="22"/>
                          <w:szCs w:val="22"/>
                        </w:rPr>
                        <m:t>s,t</m:t>
                      </m:r>
                      <m:ctrlPr>
                        <w:rPr>
                          <w:rFonts w:ascii="Cambria Math" w:hAnsi="Cambria Math"/>
                          <w:sz w:val="22"/>
                          <w:szCs w:val="22"/>
                        </w:rPr>
                      </m:ctrlPr>
                    </m:sub>
                    <m:sup>
                      <m:r>
                        <m:rPr>
                          <m:sty m:val="p"/>
                        </m:rPr>
                        <w:rPr>
                          <w:rFonts w:ascii="Cambria Math" w:hAnsi="Cambria Math"/>
                          <w:sz w:val="22"/>
                          <w:szCs w:val="22"/>
                        </w:rPr>
                        <m:t>v</m:t>
                      </m:r>
                      <m:ctrlPr>
                        <w:rPr>
                          <w:rFonts w:ascii="Cambria Math" w:hAnsi="Cambria Math"/>
                          <w:sz w:val="22"/>
                          <w:szCs w:val="22"/>
                        </w:rPr>
                      </m:ctrlPr>
                    </m:sup>
                  </m:sSubSup>
                  <m:ctrlPr>
                    <w:rPr>
                      <w:rFonts w:ascii="Cambria Math" w:hAnsi="Cambria Math"/>
                      <w:sz w:val="22"/>
                      <w:szCs w:val="22"/>
                    </w:rPr>
                  </m:ctrlPr>
                </m:sub>
                <m:sup>
                  <m:ctrlPr>
                    <w:rPr>
                      <w:rFonts w:ascii="Cambria Math" w:hAnsi="Cambria Math"/>
                      <w:sz w:val="22"/>
                      <w:szCs w:val="22"/>
                    </w:rPr>
                  </m:ctrlPr>
                </m:sup>
                <m:e>
                  <m:sSubSup>
                    <m:sSubSupPr>
                      <m:ctrlPr>
                        <w:rPr>
                          <w:rFonts w:ascii="Cambria Math" w:hAnsi="Cambria Math"/>
                          <w:sz w:val="22"/>
                          <w:szCs w:val="22"/>
                        </w:rPr>
                      </m:ctrlPr>
                    </m:sSubSupPr>
                    <m:e>
                      <m:r>
                        <m:rPr>
                          <m:sty m:val="p"/>
                        </m:rPr>
                        <w:rPr>
                          <w:rFonts w:ascii="Cambria Math" w:hAnsi="Cambria Math"/>
                          <w:sz w:val="22"/>
                          <w:szCs w:val="22"/>
                        </w:rPr>
                        <m:t>C</m:t>
                      </m:r>
                      <m:ctrlPr>
                        <w:rPr>
                          <w:rFonts w:ascii="Cambria Math" w:hAnsi="Cambria Math"/>
                          <w:sz w:val="22"/>
                          <w:szCs w:val="22"/>
                        </w:rPr>
                      </m:ctrlPr>
                    </m:e>
                    <m:sub>
                      <m:r>
                        <m:rPr>
                          <m:sty m:val="p"/>
                        </m:rPr>
                        <w:rPr>
                          <w:rFonts w:ascii="Cambria Math" w:hAnsi="Cambria Math"/>
                          <w:sz w:val="22"/>
                          <w:szCs w:val="22"/>
                        </w:rPr>
                        <m:t>i,b</m:t>
                      </m:r>
                      <m:ctrlPr>
                        <w:rPr>
                          <w:rFonts w:ascii="Cambria Math" w:hAnsi="Cambria Math"/>
                          <w:sz w:val="22"/>
                          <w:szCs w:val="22"/>
                        </w:rPr>
                      </m:ctrlPr>
                    </m:sub>
                    <m:sup>
                      <m:r>
                        <m:rPr>
                          <m:sty m:val="p"/>
                        </m:rPr>
                        <w:rPr>
                          <w:rFonts w:ascii="Cambria Math" w:hAnsi="Cambria Math"/>
                          <w:sz w:val="22"/>
                          <w:szCs w:val="22"/>
                        </w:rPr>
                        <m:t>dem</m:t>
                      </m:r>
                      <m:ctrlPr>
                        <w:rPr>
                          <w:rFonts w:ascii="Cambria Math" w:hAnsi="Cambria Math"/>
                          <w:sz w:val="22"/>
                          <w:szCs w:val="22"/>
                        </w:rPr>
                      </m:ctrlPr>
                    </m:sup>
                  </m:sSubSup>
                  <m:ctrlPr>
                    <w:rPr>
                      <w:rFonts w:ascii="Cambria Math" w:hAnsi="Cambria Math"/>
                      <w:sz w:val="22"/>
                      <w:szCs w:val="22"/>
                    </w:rPr>
                  </m:ctrlPr>
                </m:e>
              </m:nary>
              <m:r>
                <m:rPr>
                  <m:sty m:val="p"/>
                </m:rPr>
                <w:rPr>
                  <w:rFonts w:ascii="Cambria Math" w:hAnsi="Cambria Math"/>
                  <w:sz w:val="22"/>
                  <w:szCs w:val="22"/>
                </w:rPr>
                <m:t>,b</m:t>
              </m:r>
              <m:r>
                <m:rPr>
                  <m:sty m:val="p"/>
                </m:rPr>
                <w:rPr>
                  <w:rFonts w:hint="eastAsia" w:ascii="Cambria Math" w:hAnsi="Cambria Math"/>
                  <w:sz w:val="22"/>
                  <w:szCs w:val="22"/>
                </w:rPr>
                <m:t>∈</m:t>
              </m:r>
              <m:r>
                <m:rPr>
                  <m:sty m:val="p"/>
                </m:rPr>
                <w:rPr>
                  <w:rFonts w:ascii="Cambria Math" w:hAnsi="Cambria Math"/>
                  <w:sz w:val="22"/>
                  <w:szCs w:val="22"/>
                </w:rPr>
                <m:t>{L,U}.</m:t>
              </m:r>
              <m:ctrlPr>
                <w:rPr>
                  <w:rFonts w:ascii="Cambria Math" w:hAnsi="Cambria Math"/>
                  <w:sz w:val="22"/>
                  <w:szCs w:val="22"/>
                </w:rPr>
              </m:ctrlPr>
            </m:e>
            <m:e>
              <m:ctrlPr>
                <w:rPr>
                  <w:rFonts w:ascii="Cambria Math" w:hAnsi="Cambria Math"/>
                  <w:sz w:val="22"/>
                  <w:szCs w:val="22"/>
                </w:rPr>
              </m:ctrlPr>
            </m:e>
            <m:e>
              <m:ctrlPr>
                <w:rPr>
                  <w:rFonts w:ascii="Cambria Math" w:hAnsi="Cambria Math"/>
                  <w:sz w:val="22"/>
                  <w:szCs w:val="22"/>
                </w:rPr>
              </m:ctrlPr>
            </m:e>
          </m:mr>
        </m:m>
      </m:oMath>
      <w:r>
        <w:rPr>
          <w:sz w:val="22"/>
          <w:szCs w:val="22"/>
        </w:rPr>
        <w:t xml:space="preserve">                         (S29)</w:t>
      </w:r>
    </w:p>
    <w:p w14:paraId="204A7268">
      <w:pPr>
        <w:pStyle w:val="30"/>
        <w:ind w:firstLine="420"/>
        <w:rPr>
          <w:rFonts w:eastAsia="宋体"/>
          <w:sz w:val="22"/>
          <w:szCs w:val="22"/>
        </w:rPr>
      </w:pPr>
      <w:r>
        <w:rPr>
          <w:rFonts w:eastAsia="宋体"/>
          <w:sz w:val="22"/>
          <w:szCs w:val="22"/>
        </w:rPr>
        <w:t>One-off demolition-stage carbon emissions were calculated as</w:t>
      </w:r>
    </w:p>
    <w:p w14:paraId="6313C2B1">
      <w:pPr>
        <w:pStyle w:val="31"/>
        <w:rPr>
          <w:rFonts w:eastAsia="宋体"/>
          <w:sz w:val="22"/>
          <w:szCs w:val="22"/>
        </w:rPr>
      </w:pPr>
      <m:oMath>
        <m:m>
          <m:mPr>
            <m:mcs>
              <m:mc>
                <m:mcPr>
                  <m:count m:val="4"/>
                  <m:mcJc m:val="center"/>
                </m:mcPr>
              </m:mc>
            </m:mcs>
            <m:plcHide m:val="1"/>
            <m:ctrlPr>
              <w:rPr>
                <w:rFonts w:ascii="Cambria Math" w:hAnsi="Cambria Math"/>
                <w:sz w:val="22"/>
                <w:szCs w:val="22"/>
              </w:rPr>
            </m:ctrlPr>
          </m:mPr>
          <m:mr>
            <m:e>
              <m:ctrlPr>
                <w:rPr>
                  <w:rFonts w:ascii="Cambria Math" w:hAnsi="Cambria Math"/>
                  <w:sz w:val="22"/>
                  <w:szCs w:val="22"/>
                </w:rPr>
              </m:ctrlPr>
            </m:e>
            <m:e>
              <m:sSubSup>
                <m:sSubSupPr>
                  <m:ctrlPr>
                    <w:rPr>
                      <w:rFonts w:ascii="Cambria Math" w:hAnsi="Cambria Math"/>
                      <w:sz w:val="22"/>
                      <w:szCs w:val="22"/>
                    </w:rPr>
                  </m:ctrlPr>
                </m:sSubSupPr>
                <m:e>
                  <m:r>
                    <m:rPr>
                      <m:nor/>
                      <m:sty m:val="p"/>
                    </m:rPr>
                    <w:rPr>
                      <w:sz w:val="22"/>
                      <w:szCs w:val="22"/>
                    </w:rPr>
                    <m:t>DemCarbon</m:t>
                  </m:r>
                  <m:ctrlPr>
                    <w:rPr>
                      <w:rFonts w:ascii="Cambria Math" w:hAnsi="Cambria Math"/>
                      <w:sz w:val="22"/>
                      <w:szCs w:val="22"/>
                    </w:rPr>
                  </m:ctrlPr>
                </m:e>
                <m:sub>
                  <m:r>
                    <m:rPr>
                      <m:nor/>
                      <m:sty m:val="p"/>
                    </m:rPr>
                    <w:rPr>
                      <w:sz w:val="22"/>
                      <w:szCs w:val="22"/>
                    </w:rPr>
                    <m:t>s,t</m:t>
                  </m:r>
                  <m:ctrlPr>
                    <w:rPr>
                      <w:rFonts w:ascii="Cambria Math" w:hAnsi="Cambria Math"/>
                      <w:sz w:val="22"/>
                      <w:szCs w:val="22"/>
                    </w:rPr>
                  </m:ctrlPr>
                </m:sub>
                <m:sup>
                  <m:r>
                    <m:rPr>
                      <m:nor/>
                      <m:sty m:val="p"/>
                    </m:rPr>
                    <w:rPr>
                      <w:sz w:val="22"/>
                      <w:szCs w:val="22"/>
                    </w:rPr>
                    <m:t>v</m:t>
                  </m:r>
                  <m:ctrlPr>
                    <w:rPr>
                      <w:rFonts w:ascii="Cambria Math" w:hAnsi="Cambria Math"/>
                      <w:sz w:val="22"/>
                      <w:szCs w:val="22"/>
                    </w:rPr>
                  </m:ctrlPr>
                </m:sup>
              </m:sSubSup>
              <m:r>
                <m:rPr>
                  <m:nor/>
                  <m:sty m:val="p"/>
                </m:rPr>
                <w:rPr>
                  <w:sz w:val="22"/>
                  <w:szCs w:val="22"/>
                </w:rPr>
                <m:t>=</m:t>
              </m:r>
              <m:nary>
                <m:naryPr>
                  <m:chr m:val="∑"/>
                  <m:grow m:val="1"/>
                  <m:limLoc m:val="undOvr"/>
                  <m:supHide m:val="1"/>
                  <m:ctrlPr>
                    <w:rPr>
                      <w:rFonts w:ascii="Cambria Math" w:hAnsi="Cambria Math"/>
                      <w:sz w:val="22"/>
                      <w:szCs w:val="22"/>
                    </w:rPr>
                  </m:ctrlPr>
                </m:naryPr>
                <m:sub>
                  <m:r>
                    <m:rPr>
                      <m:nor/>
                      <m:sty m:val="p"/>
                    </m:rPr>
                    <w:rPr>
                      <w:sz w:val="22"/>
                      <w:szCs w:val="22"/>
                    </w:rPr>
                    <m:t>i</m:t>
                  </m:r>
                  <m:r>
                    <m:rPr>
                      <m:nor/>
                      <m:sty m:val="p"/>
                    </m:rPr>
                    <w:rPr>
                      <w:rFonts w:ascii="Cambria Math" w:hAnsi="Cambria Math" w:cs="Cambria Math"/>
                      <w:sz w:val="22"/>
                      <w:szCs w:val="22"/>
                    </w:rPr>
                    <m:t>∈</m:t>
                  </m:r>
                  <m:sSubSup>
                    <m:sSubSupPr>
                      <m:ctrlPr>
                        <w:rPr>
                          <w:rFonts w:ascii="Cambria Math" w:hAnsi="Cambria Math"/>
                          <w:sz w:val="22"/>
                          <w:szCs w:val="22"/>
                        </w:rPr>
                      </m:ctrlPr>
                    </m:sSubSupPr>
                    <m:e>
                      <m:r>
                        <m:rPr>
                          <m:nor/>
                          <m:sty m:val="p"/>
                        </m:rPr>
                        <w:rPr>
                          <w:rFonts w:hint="eastAsia"/>
                          <w:sz w:val="22"/>
                          <w:szCs w:val="22"/>
                        </w:rPr>
                        <m:t>Ω</m:t>
                      </m:r>
                      <m:ctrlPr>
                        <w:rPr>
                          <w:rFonts w:ascii="Cambria Math" w:hAnsi="Cambria Math"/>
                          <w:sz w:val="22"/>
                          <w:szCs w:val="22"/>
                        </w:rPr>
                      </m:ctrlPr>
                    </m:e>
                    <m:sub>
                      <m:r>
                        <m:rPr>
                          <m:nor/>
                          <m:sty m:val="p"/>
                        </m:rPr>
                        <w:rPr>
                          <w:sz w:val="22"/>
                          <w:szCs w:val="22"/>
                        </w:rPr>
                        <m:t>s,t</m:t>
                      </m:r>
                      <m:ctrlPr>
                        <w:rPr>
                          <w:rFonts w:ascii="Cambria Math" w:hAnsi="Cambria Math"/>
                          <w:sz w:val="22"/>
                          <w:szCs w:val="22"/>
                        </w:rPr>
                      </m:ctrlPr>
                    </m:sub>
                    <m:sup>
                      <m:r>
                        <m:rPr>
                          <m:nor/>
                          <m:sty m:val="p"/>
                        </m:rPr>
                        <w:rPr>
                          <w:sz w:val="22"/>
                          <w:szCs w:val="22"/>
                        </w:rPr>
                        <m:t>v</m:t>
                      </m:r>
                      <m:ctrlPr>
                        <w:rPr>
                          <w:rFonts w:ascii="Cambria Math" w:hAnsi="Cambria Math"/>
                          <w:sz w:val="22"/>
                          <w:szCs w:val="22"/>
                        </w:rPr>
                      </m:ctrlPr>
                    </m:sup>
                  </m:sSubSup>
                  <m:ctrlPr>
                    <w:rPr>
                      <w:rFonts w:ascii="Cambria Math" w:hAnsi="Cambria Math"/>
                      <w:sz w:val="22"/>
                      <w:szCs w:val="22"/>
                    </w:rPr>
                  </m:ctrlPr>
                </m:sub>
                <m:sup>
                  <m:ctrlPr>
                    <w:rPr>
                      <w:rFonts w:ascii="Cambria Math" w:hAnsi="Cambria Math"/>
                      <w:sz w:val="22"/>
                      <w:szCs w:val="22"/>
                    </w:rPr>
                  </m:ctrlPr>
                </m:sup>
                <m:e>
                  <m:sSubSup>
                    <m:sSubSupPr>
                      <m:ctrlPr>
                        <w:rPr>
                          <w:rFonts w:ascii="Cambria Math" w:hAnsi="Cambria Math"/>
                          <w:sz w:val="22"/>
                          <w:szCs w:val="22"/>
                        </w:rPr>
                      </m:ctrlPr>
                    </m:sSubSupPr>
                    <m:e>
                      <m:r>
                        <m:rPr>
                          <m:nor/>
                          <m:sty m:val="p"/>
                        </m:rPr>
                        <w:rPr>
                          <w:sz w:val="22"/>
                          <w:szCs w:val="22"/>
                        </w:rPr>
                        <m:t>E</m:t>
                      </m:r>
                      <m:ctrlPr>
                        <w:rPr>
                          <w:rFonts w:ascii="Cambria Math" w:hAnsi="Cambria Math"/>
                          <w:sz w:val="22"/>
                          <w:szCs w:val="22"/>
                        </w:rPr>
                      </m:ctrlPr>
                    </m:e>
                    <m:sub>
                      <m:r>
                        <m:rPr>
                          <m:nor/>
                          <m:sty m:val="p"/>
                        </m:rPr>
                        <w:rPr>
                          <w:sz w:val="22"/>
                          <w:szCs w:val="22"/>
                        </w:rPr>
                        <m:t>i</m:t>
                      </m:r>
                      <m:ctrlPr>
                        <w:rPr>
                          <w:rFonts w:ascii="Cambria Math" w:hAnsi="Cambria Math"/>
                          <w:sz w:val="22"/>
                          <w:szCs w:val="22"/>
                        </w:rPr>
                      </m:ctrlPr>
                    </m:sub>
                    <m:sup>
                      <m:r>
                        <m:rPr>
                          <m:nor/>
                          <m:sty m:val="p"/>
                        </m:rPr>
                        <w:rPr>
                          <w:sz w:val="22"/>
                          <w:szCs w:val="22"/>
                        </w:rPr>
                        <m:t>dem</m:t>
                      </m:r>
                      <m:ctrlPr>
                        <w:rPr>
                          <w:rFonts w:ascii="Cambria Math" w:hAnsi="Cambria Math"/>
                          <w:sz w:val="22"/>
                          <w:szCs w:val="22"/>
                        </w:rPr>
                      </m:ctrlPr>
                    </m:sup>
                  </m:sSubSup>
                  <m:ctrlPr>
                    <w:rPr>
                      <w:rFonts w:ascii="Cambria Math" w:hAnsi="Cambria Math"/>
                      <w:sz w:val="22"/>
                      <w:szCs w:val="22"/>
                    </w:rPr>
                  </m:ctrlPr>
                </m:e>
              </m:nary>
              <m:r>
                <m:rPr>
                  <m:nor/>
                  <m:sty m:val="p"/>
                </m:rPr>
                <w:rPr>
                  <w:sz w:val="22"/>
                  <w:szCs w:val="22"/>
                </w:rPr>
                <m:t>.</m:t>
              </m:r>
              <m:ctrlPr>
                <w:rPr>
                  <w:rFonts w:ascii="Cambria Math" w:hAnsi="Cambria Math"/>
                  <w:sz w:val="22"/>
                  <w:szCs w:val="22"/>
                </w:rPr>
              </m:ctrlPr>
            </m:e>
            <m:e>
              <m:ctrlPr>
                <w:rPr>
                  <w:rFonts w:ascii="Cambria Math" w:hAnsi="Cambria Math"/>
                  <w:sz w:val="22"/>
                  <w:szCs w:val="22"/>
                </w:rPr>
              </m:ctrlPr>
            </m:e>
            <m:e>
              <m:ctrlPr>
                <w:rPr>
                  <w:rFonts w:ascii="Cambria Math" w:hAnsi="Cambria Math"/>
                  <w:sz w:val="22"/>
                  <w:szCs w:val="22"/>
                </w:rPr>
              </m:ctrlPr>
            </m:e>
          </m:mr>
        </m:m>
      </m:oMath>
      <w:r>
        <w:rPr>
          <w:sz w:val="22"/>
          <w:szCs w:val="22"/>
        </w:rPr>
        <w:t xml:space="preserve">                                   (S30)</w:t>
      </w:r>
    </w:p>
    <w:p w14:paraId="0820E203">
      <w:pPr>
        <w:pStyle w:val="30"/>
        <w:ind w:firstLine="420"/>
        <w:rPr>
          <w:rFonts w:eastAsia="宋体"/>
          <w:sz w:val="22"/>
          <w:szCs w:val="22"/>
        </w:rPr>
      </w:pPr>
      <w:r>
        <w:rPr>
          <w:rFonts w:eastAsia="宋体"/>
          <w:sz w:val="22"/>
          <w:szCs w:val="22"/>
        </w:rPr>
        <w:t>Direct in situ renewal costs were calculated as</w:t>
      </w:r>
    </w:p>
    <w:p w14:paraId="708B3B2B">
      <w:pPr>
        <w:pStyle w:val="31"/>
        <w:rPr>
          <w:sz w:val="22"/>
          <w:szCs w:val="22"/>
        </w:rPr>
      </w:pPr>
      <m:oMath>
        <m:m>
          <m:mPr>
            <m:mcs>
              <m:mc>
                <m:mcPr>
                  <m:count m:val="4"/>
                  <m:mcJc m:val="center"/>
                </m:mcPr>
              </m:mc>
            </m:mcs>
            <m:plcHide m:val="1"/>
            <m:ctrlPr>
              <w:rPr>
                <w:rFonts w:ascii="Cambria Math" w:hAnsi="Cambria Math"/>
                <w:sz w:val="22"/>
                <w:szCs w:val="22"/>
              </w:rPr>
            </m:ctrlPr>
          </m:mPr>
          <m:mr>
            <m:e>
              <m:ctrlPr>
                <w:rPr>
                  <w:rFonts w:ascii="Cambria Math" w:hAnsi="Cambria Math"/>
                  <w:sz w:val="22"/>
                  <w:szCs w:val="22"/>
                </w:rPr>
              </m:ctrlPr>
            </m:e>
            <m:e>
              <m:sSubSup>
                <m:sSubSupPr>
                  <m:ctrlPr>
                    <w:rPr>
                      <w:rFonts w:ascii="Cambria Math" w:hAnsi="Cambria Math"/>
                      <w:sz w:val="22"/>
                      <w:szCs w:val="22"/>
                    </w:rPr>
                  </m:ctrlPr>
                </m:sSubSupPr>
                <m:e>
                  <m:r>
                    <m:rPr>
                      <m:nor/>
                      <m:sty m:val="p"/>
                    </m:rPr>
                    <w:rPr>
                      <w:sz w:val="22"/>
                      <w:szCs w:val="22"/>
                    </w:rPr>
                    <m:t>InSituCost</m:t>
                  </m:r>
                  <m:ctrlPr>
                    <w:rPr>
                      <w:rFonts w:ascii="Cambria Math" w:hAnsi="Cambria Math"/>
                      <w:sz w:val="22"/>
                      <w:szCs w:val="22"/>
                    </w:rPr>
                  </m:ctrlPr>
                </m:e>
                <m:sub>
                  <m:r>
                    <m:rPr>
                      <m:nor/>
                      <m:sty m:val="p"/>
                    </m:rPr>
                    <w:rPr>
                      <w:sz w:val="22"/>
                      <w:szCs w:val="22"/>
                    </w:rPr>
                    <m:t>s,t,b</m:t>
                  </m:r>
                  <m:ctrlPr>
                    <w:rPr>
                      <w:rFonts w:ascii="Cambria Math" w:hAnsi="Cambria Math"/>
                      <w:sz w:val="22"/>
                      <w:szCs w:val="22"/>
                    </w:rPr>
                  </m:ctrlPr>
                </m:sub>
                <m:sup>
                  <m:r>
                    <m:rPr>
                      <m:nor/>
                      <m:sty m:val="p"/>
                    </m:rPr>
                    <w:rPr>
                      <w:sz w:val="22"/>
                      <w:szCs w:val="22"/>
                    </w:rPr>
                    <m:t>v</m:t>
                  </m:r>
                  <m:ctrlPr>
                    <w:rPr>
                      <w:rFonts w:ascii="Cambria Math" w:hAnsi="Cambria Math"/>
                      <w:sz w:val="22"/>
                      <w:szCs w:val="22"/>
                    </w:rPr>
                  </m:ctrlPr>
                </m:sup>
              </m:sSubSup>
              <m:r>
                <m:rPr>
                  <m:nor/>
                  <m:sty m:val="p"/>
                </m:rPr>
                <w:rPr>
                  <w:sz w:val="22"/>
                  <w:szCs w:val="22"/>
                </w:rPr>
                <m:t>=</m:t>
              </m:r>
              <m:nary>
                <m:naryPr>
                  <m:chr m:val="∑"/>
                  <m:grow m:val="1"/>
                  <m:limLoc m:val="undOvr"/>
                  <m:supHide m:val="1"/>
                  <m:ctrlPr>
                    <w:rPr>
                      <w:rFonts w:ascii="Cambria Math" w:hAnsi="Cambria Math"/>
                      <w:sz w:val="22"/>
                      <w:szCs w:val="22"/>
                    </w:rPr>
                  </m:ctrlPr>
                </m:naryPr>
                <m:sub>
                  <m:r>
                    <m:rPr>
                      <m:nor/>
                      <m:sty m:val="p"/>
                    </m:rPr>
                    <w:rPr>
                      <w:sz w:val="22"/>
                      <w:szCs w:val="22"/>
                    </w:rPr>
                    <m:t>i</m:t>
                  </m:r>
                  <m:r>
                    <m:rPr>
                      <m:nor/>
                      <m:sty m:val="p"/>
                    </m:rPr>
                    <w:rPr>
                      <w:rFonts w:ascii="Cambria Math" w:hAnsi="Cambria Math" w:cs="Cambria Math"/>
                      <w:sz w:val="22"/>
                      <w:szCs w:val="22"/>
                    </w:rPr>
                    <m:t>∈</m:t>
                  </m:r>
                  <m:sSubSup>
                    <m:sSubSupPr>
                      <m:ctrlPr>
                        <w:rPr>
                          <w:rFonts w:ascii="Cambria Math" w:hAnsi="Cambria Math"/>
                          <w:sz w:val="22"/>
                          <w:szCs w:val="22"/>
                        </w:rPr>
                      </m:ctrlPr>
                    </m:sSubSupPr>
                    <m:e>
                      <m:r>
                        <m:rPr>
                          <m:nor/>
                          <m:sty m:val="p"/>
                        </m:rPr>
                        <w:rPr>
                          <w:rFonts w:hint="eastAsia"/>
                          <w:sz w:val="22"/>
                          <w:szCs w:val="22"/>
                        </w:rPr>
                        <m:t>Ω</m:t>
                      </m:r>
                      <m:ctrlPr>
                        <w:rPr>
                          <w:rFonts w:ascii="Cambria Math" w:hAnsi="Cambria Math"/>
                          <w:sz w:val="22"/>
                          <w:szCs w:val="22"/>
                        </w:rPr>
                      </m:ctrlPr>
                    </m:e>
                    <m:sub>
                      <m:r>
                        <m:rPr>
                          <m:nor/>
                          <m:sty m:val="p"/>
                        </m:rPr>
                        <w:rPr>
                          <w:sz w:val="22"/>
                          <w:szCs w:val="22"/>
                        </w:rPr>
                        <m:t>s,t</m:t>
                      </m:r>
                      <m:ctrlPr>
                        <w:rPr>
                          <w:rFonts w:ascii="Cambria Math" w:hAnsi="Cambria Math"/>
                          <w:sz w:val="22"/>
                          <w:szCs w:val="22"/>
                        </w:rPr>
                      </m:ctrlPr>
                    </m:sub>
                    <m:sup>
                      <m:r>
                        <m:rPr>
                          <m:nor/>
                          <m:sty m:val="p"/>
                        </m:rPr>
                        <w:rPr>
                          <w:sz w:val="22"/>
                          <w:szCs w:val="22"/>
                        </w:rPr>
                        <m:t>v</m:t>
                      </m:r>
                      <m:ctrlPr>
                        <w:rPr>
                          <w:rFonts w:ascii="Cambria Math" w:hAnsi="Cambria Math"/>
                          <w:sz w:val="22"/>
                          <w:szCs w:val="22"/>
                        </w:rPr>
                      </m:ctrlPr>
                    </m:sup>
                  </m:sSubSup>
                  <m:ctrlPr>
                    <w:rPr>
                      <w:rFonts w:ascii="Cambria Math" w:hAnsi="Cambria Math"/>
                      <w:sz w:val="22"/>
                      <w:szCs w:val="22"/>
                    </w:rPr>
                  </m:ctrlPr>
                </m:sub>
                <m:sup>
                  <m:ctrlPr>
                    <w:rPr>
                      <w:rFonts w:ascii="Cambria Math" w:hAnsi="Cambria Math"/>
                      <w:sz w:val="22"/>
                      <w:szCs w:val="22"/>
                    </w:rPr>
                  </m:ctrlPr>
                </m:sup>
                <m:e>
                  <m:sSubSup>
                    <m:sSubSupPr>
                      <m:ctrlPr>
                        <w:rPr>
                          <w:rFonts w:ascii="Cambria Math" w:hAnsi="Cambria Math"/>
                          <w:sz w:val="22"/>
                          <w:szCs w:val="22"/>
                        </w:rPr>
                      </m:ctrlPr>
                    </m:sSubSupPr>
                    <m:e>
                      <m:r>
                        <m:rPr>
                          <m:nor/>
                          <m:sty m:val="p"/>
                        </m:rPr>
                        <w:rPr>
                          <w:sz w:val="22"/>
                          <w:szCs w:val="22"/>
                        </w:rPr>
                        <m:t>C</m:t>
                      </m:r>
                      <m:ctrlPr>
                        <w:rPr>
                          <w:rFonts w:ascii="Cambria Math" w:hAnsi="Cambria Math"/>
                          <w:sz w:val="22"/>
                          <w:szCs w:val="22"/>
                        </w:rPr>
                      </m:ctrlPr>
                    </m:e>
                    <m:sub>
                      <m:r>
                        <m:rPr>
                          <m:nor/>
                          <m:sty m:val="p"/>
                        </m:rPr>
                        <w:rPr>
                          <w:sz w:val="22"/>
                          <w:szCs w:val="22"/>
                        </w:rPr>
                        <m:t>i,b</m:t>
                      </m:r>
                      <m:ctrlPr>
                        <w:rPr>
                          <w:rFonts w:ascii="Cambria Math" w:hAnsi="Cambria Math"/>
                          <w:sz w:val="22"/>
                          <w:szCs w:val="22"/>
                        </w:rPr>
                      </m:ctrlPr>
                    </m:sub>
                    <m:sup>
                      <m:r>
                        <m:rPr>
                          <m:nor/>
                          <m:sty m:val="p"/>
                        </m:rPr>
                        <w:rPr>
                          <w:sz w:val="22"/>
                          <w:szCs w:val="22"/>
                        </w:rPr>
                        <m:t>in situ</m:t>
                      </m:r>
                      <m:ctrlPr>
                        <w:rPr>
                          <w:rFonts w:ascii="Cambria Math" w:hAnsi="Cambria Math"/>
                          <w:sz w:val="22"/>
                          <w:szCs w:val="22"/>
                        </w:rPr>
                      </m:ctrlPr>
                    </m:sup>
                  </m:sSubSup>
                  <m:ctrlPr>
                    <w:rPr>
                      <w:rFonts w:ascii="Cambria Math" w:hAnsi="Cambria Math"/>
                      <w:sz w:val="22"/>
                      <w:szCs w:val="22"/>
                    </w:rPr>
                  </m:ctrlPr>
                </m:e>
              </m:nary>
              <m:r>
                <m:rPr>
                  <m:nor/>
                  <m:sty m:val="p"/>
                </m:rPr>
                <w:rPr>
                  <w:sz w:val="22"/>
                  <w:szCs w:val="22"/>
                </w:rPr>
                <m:t>,b</m:t>
              </m:r>
              <m:r>
                <m:rPr>
                  <m:nor/>
                  <m:sty m:val="p"/>
                </m:rPr>
                <w:rPr>
                  <w:rFonts w:ascii="Cambria Math" w:hAnsi="Cambria Math" w:cs="Cambria Math"/>
                  <w:sz w:val="22"/>
                  <w:szCs w:val="22"/>
                </w:rPr>
                <m:t>∈</m:t>
              </m:r>
              <m:r>
                <m:rPr>
                  <m:nor/>
                  <m:sty m:val="p"/>
                </m:rPr>
                <w:rPr>
                  <w:sz w:val="22"/>
                  <w:szCs w:val="22"/>
                </w:rPr>
                <m:t>{L,U}.</m:t>
              </m:r>
              <m:ctrlPr>
                <w:rPr>
                  <w:rFonts w:ascii="Cambria Math" w:hAnsi="Cambria Math"/>
                  <w:sz w:val="22"/>
                  <w:szCs w:val="22"/>
                </w:rPr>
              </m:ctrlPr>
            </m:e>
            <m:e>
              <m:ctrlPr>
                <w:rPr>
                  <w:rFonts w:ascii="Cambria Math" w:hAnsi="Cambria Math"/>
                  <w:sz w:val="22"/>
                  <w:szCs w:val="22"/>
                </w:rPr>
              </m:ctrlPr>
            </m:e>
            <m:e>
              <m:ctrlPr>
                <w:rPr>
                  <w:rFonts w:ascii="Cambria Math" w:hAnsi="Cambria Math"/>
                  <w:sz w:val="22"/>
                  <w:szCs w:val="22"/>
                </w:rPr>
              </m:ctrlPr>
            </m:e>
          </m:mr>
        </m:m>
      </m:oMath>
      <w:r>
        <w:rPr>
          <w:sz w:val="22"/>
          <w:szCs w:val="22"/>
        </w:rPr>
        <w:t xml:space="preserve">                        (S31)</w:t>
      </w:r>
    </w:p>
    <w:p w14:paraId="2869D5A9">
      <w:pPr>
        <w:pStyle w:val="30"/>
        <w:ind w:firstLine="420"/>
        <w:rPr>
          <w:rFonts w:eastAsia="宋体"/>
          <w:sz w:val="22"/>
          <w:szCs w:val="22"/>
        </w:rPr>
      </w:pPr>
      <w:r>
        <w:rPr>
          <w:rFonts w:eastAsia="宋体"/>
          <w:sz w:val="22"/>
          <w:szCs w:val="22"/>
        </w:rPr>
        <w:t>Annual operational carbon emissions associated with the in situ renewal pathway were calculated as</w:t>
      </w:r>
    </w:p>
    <w:p w14:paraId="7F3683BD">
      <w:pPr>
        <w:pStyle w:val="31"/>
        <w:rPr>
          <w:sz w:val="22"/>
          <w:szCs w:val="22"/>
        </w:rPr>
      </w:pPr>
      <m:oMath>
        <m:m>
          <m:mPr>
            <m:mcs>
              <m:mc>
                <m:mcPr>
                  <m:count m:val="4"/>
                  <m:mcJc m:val="center"/>
                </m:mcPr>
              </m:mc>
            </m:mcs>
            <m:plcHide m:val="1"/>
            <m:ctrlPr>
              <w:rPr>
                <w:rFonts w:ascii="Cambria Math" w:hAnsi="Cambria Math"/>
                <w:sz w:val="22"/>
                <w:szCs w:val="22"/>
              </w:rPr>
            </m:ctrlPr>
          </m:mPr>
          <m:mr>
            <m:e>
              <m:ctrlPr>
                <w:rPr>
                  <w:rFonts w:ascii="Cambria Math" w:hAnsi="Cambria Math"/>
                  <w:sz w:val="22"/>
                  <w:szCs w:val="22"/>
                </w:rPr>
              </m:ctrlPr>
            </m:e>
            <m:e>
              <m:sSubSup>
                <m:sSubSupPr>
                  <m:ctrlPr>
                    <w:rPr>
                      <w:rFonts w:ascii="Cambria Math" w:hAnsi="Cambria Math"/>
                      <w:sz w:val="22"/>
                      <w:szCs w:val="22"/>
                    </w:rPr>
                  </m:ctrlPr>
                </m:sSubSupPr>
                <m:e>
                  <m:r>
                    <m:rPr>
                      <m:nor/>
                      <m:sty m:val="p"/>
                    </m:rPr>
                    <w:rPr>
                      <w:sz w:val="22"/>
                      <w:szCs w:val="22"/>
                    </w:rPr>
                    <m:t>OpCarbon</m:t>
                  </m:r>
                  <m:ctrlPr>
                    <w:rPr>
                      <w:rFonts w:ascii="Cambria Math" w:hAnsi="Cambria Math"/>
                      <w:sz w:val="22"/>
                      <w:szCs w:val="22"/>
                    </w:rPr>
                  </m:ctrlPr>
                </m:e>
                <m:sub>
                  <m:r>
                    <m:rPr>
                      <m:nor/>
                      <m:sty m:val="p"/>
                    </m:rPr>
                    <w:rPr>
                      <w:sz w:val="22"/>
                      <w:szCs w:val="22"/>
                    </w:rPr>
                    <m:t>s,t</m:t>
                  </m:r>
                  <m:ctrlPr>
                    <w:rPr>
                      <w:rFonts w:ascii="Cambria Math" w:hAnsi="Cambria Math"/>
                      <w:sz w:val="22"/>
                      <w:szCs w:val="22"/>
                    </w:rPr>
                  </m:ctrlPr>
                </m:sub>
                <m:sup>
                  <m:r>
                    <m:rPr>
                      <m:nor/>
                      <m:sty m:val="p"/>
                    </m:rPr>
                    <w:rPr>
                      <w:sz w:val="22"/>
                      <w:szCs w:val="22"/>
                    </w:rPr>
                    <m:t>v</m:t>
                  </m:r>
                  <m:ctrlPr>
                    <w:rPr>
                      <w:rFonts w:ascii="Cambria Math" w:hAnsi="Cambria Math"/>
                      <w:sz w:val="22"/>
                      <w:szCs w:val="22"/>
                    </w:rPr>
                  </m:ctrlPr>
                </m:sup>
              </m:sSubSup>
              <m:r>
                <m:rPr>
                  <m:nor/>
                  <m:sty m:val="p"/>
                </m:rPr>
                <w:rPr>
                  <w:sz w:val="22"/>
                  <w:szCs w:val="22"/>
                </w:rPr>
                <m:t>=</m:t>
              </m:r>
              <m:nary>
                <m:naryPr>
                  <m:chr m:val="∑"/>
                  <m:grow m:val="1"/>
                  <m:limLoc m:val="undOvr"/>
                  <m:supHide m:val="1"/>
                  <m:ctrlPr>
                    <w:rPr>
                      <w:rFonts w:ascii="Cambria Math" w:hAnsi="Cambria Math"/>
                      <w:sz w:val="22"/>
                      <w:szCs w:val="22"/>
                    </w:rPr>
                  </m:ctrlPr>
                </m:naryPr>
                <m:sub>
                  <m:r>
                    <m:rPr>
                      <m:nor/>
                      <m:sty m:val="p"/>
                    </m:rPr>
                    <w:rPr>
                      <w:sz w:val="22"/>
                      <w:szCs w:val="22"/>
                    </w:rPr>
                    <m:t>i</m:t>
                  </m:r>
                  <m:r>
                    <m:rPr>
                      <m:nor/>
                      <m:sty m:val="p"/>
                    </m:rPr>
                    <w:rPr>
                      <w:rFonts w:ascii="Cambria Math" w:hAnsi="Cambria Math" w:cs="Cambria Math"/>
                      <w:sz w:val="22"/>
                      <w:szCs w:val="22"/>
                    </w:rPr>
                    <m:t>∈</m:t>
                  </m:r>
                  <m:sSubSup>
                    <m:sSubSupPr>
                      <m:ctrlPr>
                        <w:rPr>
                          <w:rFonts w:ascii="Cambria Math" w:hAnsi="Cambria Math"/>
                          <w:sz w:val="22"/>
                          <w:szCs w:val="22"/>
                        </w:rPr>
                      </m:ctrlPr>
                    </m:sSubSupPr>
                    <m:e>
                      <m:r>
                        <m:rPr>
                          <m:nor/>
                          <m:sty m:val="p"/>
                        </m:rPr>
                        <w:rPr>
                          <w:rFonts w:hint="eastAsia"/>
                          <w:sz w:val="22"/>
                          <w:szCs w:val="22"/>
                        </w:rPr>
                        <m:t>Ω</m:t>
                      </m:r>
                      <m:ctrlPr>
                        <w:rPr>
                          <w:rFonts w:ascii="Cambria Math" w:hAnsi="Cambria Math"/>
                          <w:sz w:val="22"/>
                          <w:szCs w:val="22"/>
                        </w:rPr>
                      </m:ctrlPr>
                    </m:e>
                    <m:sub>
                      <m:r>
                        <m:rPr>
                          <m:nor/>
                          <m:sty m:val="p"/>
                        </m:rPr>
                        <w:rPr>
                          <w:sz w:val="22"/>
                          <w:szCs w:val="22"/>
                        </w:rPr>
                        <m:t>s,t</m:t>
                      </m:r>
                      <m:ctrlPr>
                        <w:rPr>
                          <w:rFonts w:ascii="Cambria Math" w:hAnsi="Cambria Math"/>
                          <w:sz w:val="22"/>
                          <w:szCs w:val="22"/>
                        </w:rPr>
                      </m:ctrlPr>
                    </m:sub>
                    <m:sup>
                      <m:r>
                        <m:rPr>
                          <m:nor/>
                          <m:sty m:val="p"/>
                        </m:rPr>
                        <w:rPr>
                          <w:sz w:val="22"/>
                          <w:szCs w:val="22"/>
                        </w:rPr>
                        <m:t>v</m:t>
                      </m:r>
                      <m:ctrlPr>
                        <w:rPr>
                          <w:rFonts w:ascii="Cambria Math" w:hAnsi="Cambria Math"/>
                          <w:sz w:val="22"/>
                          <w:szCs w:val="22"/>
                        </w:rPr>
                      </m:ctrlPr>
                    </m:sup>
                  </m:sSubSup>
                  <m:ctrlPr>
                    <w:rPr>
                      <w:rFonts w:ascii="Cambria Math" w:hAnsi="Cambria Math"/>
                      <w:sz w:val="22"/>
                      <w:szCs w:val="22"/>
                    </w:rPr>
                  </m:ctrlPr>
                </m:sub>
                <m:sup>
                  <m:ctrlPr>
                    <w:rPr>
                      <w:rFonts w:ascii="Cambria Math" w:hAnsi="Cambria Math"/>
                      <w:sz w:val="22"/>
                      <w:szCs w:val="22"/>
                    </w:rPr>
                  </m:ctrlPr>
                </m:sup>
                <m:e>
                  <m:sSubSup>
                    <m:sSubSupPr>
                      <m:ctrlPr>
                        <w:rPr>
                          <w:rFonts w:ascii="Cambria Math" w:hAnsi="Cambria Math"/>
                          <w:sz w:val="22"/>
                          <w:szCs w:val="22"/>
                        </w:rPr>
                      </m:ctrlPr>
                    </m:sSubSupPr>
                    <m:e>
                      <m:r>
                        <m:rPr>
                          <m:nor/>
                          <m:sty m:val="p"/>
                        </m:rPr>
                        <w:rPr>
                          <w:sz w:val="22"/>
                          <w:szCs w:val="22"/>
                        </w:rPr>
                        <m:t>E</m:t>
                      </m:r>
                      <m:ctrlPr>
                        <w:rPr>
                          <w:rFonts w:ascii="Cambria Math" w:hAnsi="Cambria Math"/>
                          <w:sz w:val="22"/>
                          <w:szCs w:val="22"/>
                        </w:rPr>
                      </m:ctrlPr>
                    </m:e>
                    <m:sub>
                      <m:r>
                        <m:rPr>
                          <m:nor/>
                          <m:sty m:val="p"/>
                        </m:rPr>
                        <w:rPr>
                          <w:sz w:val="22"/>
                          <w:szCs w:val="22"/>
                        </w:rPr>
                        <m:t>i,s,t</m:t>
                      </m:r>
                      <m:ctrlPr>
                        <w:rPr>
                          <w:rFonts w:ascii="Cambria Math" w:hAnsi="Cambria Math"/>
                          <w:sz w:val="22"/>
                          <w:szCs w:val="22"/>
                        </w:rPr>
                      </m:ctrlPr>
                    </m:sub>
                    <m:sup>
                      <m:r>
                        <m:rPr>
                          <m:nor/>
                          <m:sty m:val="p"/>
                        </m:rPr>
                        <w:rPr>
                          <w:sz w:val="22"/>
                          <w:szCs w:val="22"/>
                        </w:rPr>
                        <m:t>op</m:t>
                      </m:r>
                      <m:ctrlPr>
                        <w:rPr>
                          <w:rFonts w:ascii="Cambria Math" w:hAnsi="Cambria Math"/>
                          <w:sz w:val="22"/>
                          <w:szCs w:val="22"/>
                        </w:rPr>
                      </m:ctrlPr>
                    </m:sup>
                  </m:sSubSup>
                  <m:ctrlPr>
                    <w:rPr>
                      <w:rFonts w:ascii="Cambria Math" w:hAnsi="Cambria Math"/>
                      <w:sz w:val="22"/>
                      <w:szCs w:val="22"/>
                    </w:rPr>
                  </m:ctrlPr>
                </m:e>
              </m:nary>
              <m:r>
                <m:rPr>
                  <m:nor/>
                  <m:sty m:val="p"/>
                </m:rPr>
                <w:rPr>
                  <w:sz w:val="22"/>
                  <w:szCs w:val="22"/>
                </w:rPr>
                <m:t>.</m:t>
              </m:r>
              <m:ctrlPr>
                <w:rPr>
                  <w:rFonts w:ascii="Cambria Math" w:hAnsi="Cambria Math"/>
                  <w:sz w:val="22"/>
                  <w:szCs w:val="22"/>
                </w:rPr>
              </m:ctrlPr>
            </m:e>
            <m:e>
              <m:ctrlPr>
                <w:rPr>
                  <w:rFonts w:ascii="Cambria Math" w:hAnsi="Cambria Math"/>
                  <w:sz w:val="22"/>
                  <w:szCs w:val="22"/>
                </w:rPr>
              </m:ctrlPr>
            </m:e>
            <m:e>
              <m:ctrlPr>
                <w:rPr>
                  <w:rFonts w:ascii="Cambria Math" w:hAnsi="Cambria Math"/>
                  <w:sz w:val="22"/>
                  <w:szCs w:val="22"/>
                </w:rPr>
              </m:ctrlPr>
            </m:e>
          </m:mr>
        </m:m>
        <m:r>
          <m:rPr>
            <m:nor/>
            <m:sty m:val="p"/>
          </m:rPr>
          <w:rPr>
            <w:sz w:val="22"/>
            <w:szCs w:val="22"/>
          </w:rPr>
          <m:t xml:space="preserve"> </m:t>
        </m:r>
      </m:oMath>
      <w:r>
        <w:rPr>
          <w:sz w:val="22"/>
          <w:szCs w:val="22"/>
        </w:rPr>
        <w:t xml:space="preserve">                                (S32)</w:t>
      </w:r>
    </w:p>
    <w:p w14:paraId="6968F792">
      <w:pPr>
        <w:pStyle w:val="30"/>
        <w:ind w:firstLine="420"/>
        <w:rPr>
          <w:rFonts w:eastAsia="宋体"/>
          <w:sz w:val="22"/>
          <w:szCs w:val="22"/>
        </w:rPr>
      </w:pPr>
      <w:r>
        <w:rPr>
          <w:rFonts w:eastAsia="宋体"/>
          <w:sz w:val="22"/>
          <w:szCs w:val="22"/>
        </w:rPr>
        <w:t xml:space="preserve">Here, </w:t>
      </w:r>
      <m:oMath>
        <m:r>
          <m:rPr/>
          <w:rPr>
            <w:rFonts w:ascii="Cambria Math" w:hAnsi="Cambria Math" w:eastAsia="宋体"/>
            <w:sz w:val="22"/>
            <w:szCs w:val="22"/>
          </w:rPr>
          <m:t>i</m:t>
        </m:r>
      </m:oMath>
      <w:r>
        <w:rPr>
          <w:rFonts w:eastAsia="宋体"/>
          <w:sz w:val="22"/>
          <w:szCs w:val="22"/>
        </w:rPr>
        <w:t xml:space="preserve"> indexes individual residential buildings; </w:t>
      </w:r>
      <m:oMath>
        <m:r>
          <m:rPr/>
          <w:rPr>
            <w:rFonts w:ascii="Cambria Math" w:hAnsi="Cambria Math" w:eastAsia="宋体"/>
            <w:sz w:val="22"/>
            <w:szCs w:val="22"/>
          </w:rPr>
          <m:t>s</m:t>
        </m:r>
      </m:oMath>
      <w:r>
        <w:rPr>
          <w:rFonts w:eastAsia="宋体"/>
          <w:sz w:val="22"/>
          <w:szCs w:val="22"/>
        </w:rPr>
        <w:t xml:space="preserve"> denotes the demographic scenario; </w:t>
      </w:r>
      <m:oMath>
        <m:r>
          <m:rPr/>
          <w:rPr>
            <w:rFonts w:ascii="Cambria Math" w:hAnsi="Cambria Math" w:eastAsia="宋体"/>
            <w:sz w:val="22"/>
            <w:szCs w:val="22"/>
          </w:rPr>
          <m:t>t</m:t>
        </m:r>
      </m:oMath>
      <w:r>
        <w:rPr>
          <w:rFonts w:eastAsia="宋体"/>
          <w:sz w:val="22"/>
          <w:szCs w:val="22"/>
        </w:rPr>
        <w:t xml:space="preserve"> denotes the benchmark year; </w:t>
      </w:r>
      <m:oMath>
        <m:r>
          <m:rPr/>
          <w:rPr>
            <w:rFonts w:ascii="Cambria Math" w:hAnsi="Cambria Math" w:eastAsia="宋体"/>
            <w:sz w:val="22"/>
            <w:szCs w:val="22"/>
          </w:rPr>
          <m:t>b</m:t>
        </m:r>
        <m:r>
          <m:rPr>
            <m:sty m:val="p"/>
          </m:rPr>
          <w:rPr>
            <w:rFonts w:hint="eastAsia" w:ascii="Cambria Math" w:hAnsi="Cambria Math" w:eastAsia="宋体"/>
            <w:sz w:val="22"/>
            <w:szCs w:val="22"/>
          </w:rPr>
          <m:t>∈</m:t>
        </m:r>
        <m:d>
          <m:dPr>
            <m:begChr m:val="{"/>
            <m:endChr m:val="}"/>
            <m:ctrlPr>
              <w:rPr>
                <w:rFonts w:ascii="Cambria Math" w:hAnsi="Cambria Math" w:eastAsia="宋体"/>
                <w:sz w:val="22"/>
                <w:szCs w:val="22"/>
              </w:rPr>
            </m:ctrlPr>
          </m:dPr>
          <m:e>
            <m:r>
              <m:rPr/>
              <w:rPr>
                <w:rFonts w:ascii="Cambria Math" w:hAnsi="Cambria Math" w:eastAsia="宋体"/>
                <w:sz w:val="22"/>
                <w:szCs w:val="22"/>
              </w:rPr>
              <m:t>L</m:t>
            </m:r>
            <m:r>
              <m:rPr>
                <m:sty m:val="p"/>
              </m:rPr>
              <w:rPr>
                <w:rFonts w:ascii="Cambria Math" w:hAnsi="Cambria Math" w:eastAsia="宋体"/>
                <w:sz w:val="22"/>
                <w:szCs w:val="22"/>
              </w:rPr>
              <m:t>,</m:t>
            </m:r>
            <m:r>
              <m:rPr/>
              <w:rPr>
                <w:rFonts w:ascii="Cambria Math" w:hAnsi="Cambria Math" w:eastAsia="宋体"/>
                <w:sz w:val="22"/>
                <w:szCs w:val="22"/>
              </w:rPr>
              <m:t>U</m:t>
            </m:r>
            <m:ctrlPr>
              <w:rPr>
                <w:rFonts w:ascii="Cambria Math" w:hAnsi="Cambria Math" w:eastAsia="宋体"/>
                <w:sz w:val="22"/>
                <w:szCs w:val="22"/>
              </w:rPr>
            </m:ctrlPr>
          </m:e>
        </m:d>
      </m:oMath>
      <w:r>
        <w:rPr>
          <w:rFonts w:eastAsia="宋体"/>
          <w:sz w:val="22"/>
          <w:szCs w:val="22"/>
        </w:rPr>
        <w:t xml:space="preserve"> denotes the lower or upper cost bound; and </w:t>
      </w:r>
      <m:oMath>
        <m:r>
          <m:rPr/>
          <w:rPr>
            <w:rFonts w:ascii="Cambria Math" w:hAnsi="Cambria Math" w:eastAsia="宋体"/>
            <w:sz w:val="22"/>
            <w:szCs w:val="22"/>
          </w:rPr>
          <m:t>v</m:t>
        </m:r>
        <m:r>
          <m:rPr>
            <m:sty m:val="p"/>
          </m:rPr>
          <w:rPr>
            <w:rFonts w:hint="eastAsia" w:ascii="Cambria Math" w:hAnsi="Cambria Math" w:eastAsia="宋体"/>
            <w:sz w:val="22"/>
            <w:szCs w:val="22"/>
          </w:rPr>
          <m:t>∈</m:t>
        </m:r>
        <m:r>
          <m:rPr>
            <m:sty m:val="p"/>
          </m:rPr>
          <w:rPr>
            <w:rFonts w:ascii="Cambria Math" w:hAnsi="Cambria Math" w:eastAsia="宋体"/>
            <w:sz w:val="22"/>
            <w:szCs w:val="22"/>
          </w:rPr>
          <m:t>{all,new}</m:t>
        </m:r>
      </m:oMath>
      <w:r>
        <w:rPr>
          <w:rFonts w:eastAsia="宋体"/>
          <w:sz w:val="22"/>
          <w:szCs w:val="22"/>
        </w:rPr>
        <w:t xml:space="preserve"> denotes the temporal accounting view. </w:t>
      </w:r>
      <m:oMath>
        <m:sSubSup>
          <m:sSubSupPr>
            <m:ctrlPr>
              <w:rPr>
                <w:rFonts w:ascii="Cambria Math" w:hAnsi="Cambria Math" w:eastAsia="宋体"/>
                <w:sz w:val="22"/>
                <w:szCs w:val="22"/>
              </w:rPr>
            </m:ctrlPr>
          </m:sSubSupPr>
          <m:e>
            <m:r>
              <m:rPr>
                <m:sty m:val="p"/>
              </m:rPr>
              <w:rPr>
                <w:rFonts w:ascii="Cambria Math" w:hAnsi="Cambria Math" w:eastAsia="宋体"/>
                <w:sz w:val="22"/>
                <w:szCs w:val="22"/>
              </w:rPr>
              <m:t>Ω</m:t>
            </m:r>
            <m:ctrlPr>
              <w:rPr>
                <w:rFonts w:ascii="Cambria Math" w:hAnsi="Cambria Math" w:eastAsia="宋体"/>
                <w:sz w:val="22"/>
                <w:szCs w:val="22"/>
              </w:rPr>
            </m:ctrlPr>
          </m:e>
          <m:sub>
            <m:r>
              <m:rPr/>
              <w:rPr>
                <w:rFonts w:ascii="Cambria Math" w:hAnsi="Cambria Math" w:eastAsia="宋体"/>
                <w:sz w:val="22"/>
                <w:szCs w:val="22"/>
              </w:rPr>
              <m:t>s</m:t>
            </m:r>
            <m:r>
              <m:rPr>
                <m:sty m:val="p"/>
              </m:rPr>
              <w:rPr>
                <w:rFonts w:ascii="Cambria Math" w:hAnsi="Cambria Math" w:eastAsia="宋体"/>
                <w:sz w:val="22"/>
                <w:szCs w:val="22"/>
              </w:rPr>
              <m:t>,</m:t>
            </m:r>
            <m:r>
              <m:rPr/>
              <w:rPr>
                <w:rFonts w:ascii="Cambria Math" w:hAnsi="Cambria Math" w:eastAsia="宋体"/>
                <w:sz w:val="22"/>
                <w:szCs w:val="22"/>
              </w:rPr>
              <m:t>t</m:t>
            </m:r>
            <m:ctrlPr>
              <w:rPr>
                <w:rFonts w:ascii="Cambria Math" w:hAnsi="Cambria Math" w:eastAsia="宋体"/>
                <w:sz w:val="22"/>
                <w:szCs w:val="22"/>
              </w:rPr>
            </m:ctrlPr>
          </m:sub>
          <m:sup>
            <m:r>
              <m:rPr/>
              <w:rPr>
                <w:rFonts w:ascii="Cambria Math" w:hAnsi="Cambria Math" w:eastAsia="宋体"/>
                <w:sz w:val="22"/>
                <w:szCs w:val="22"/>
              </w:rPr>
              <m:t>v</m:t>
            </m:r>
            <m:ctrlPr>
              <w:rPr>
                <w:rFonts w:ascii="Cambria Math" w:hAnsi="Cambria Math" w:eastAsia="宋体"/>
                <w:sz w:val="22"/>
                <w:szCs w:val="22"/>
              </w:rPr>
            </m:ctrlPr>
          </m:sup>
        </m:sSubSup>
      </m:oMath>
      <w:r>
        <w:rPr>
          <w:rFonts w:eastAsia="宋体"/>
          <w:sz w:val="22"/>
          <w:szCs w:val="22"/>
        </w:rPr>
        <w:t xml:space="preserve"> is the corresponding set of buildings included in the calculation. When </w:t>
      </w:r>
      <m:oMath>
        <m:r>
          <m:rPr/>
          <w:rPr>
            <w:rFonts w:ascii="Cambria Math" w:hAnsi="Cambria Math" w:eastAsia="宋体"/>
            <w:sz w:val="22"/>
            <w:szCs w:val="22"/>
          </w:rPr>
          <m:t>v</m:t>
        </m:r>
        <m:r>
          <m:rPr>
            <m:sty m:val="p"/>
          </m:rPr>
          <w:rPr>
            <w:rFonts w:ascii="Cambria Math" w:hAnsi="Cambria Math" w:eastAsia="宋体"/>
            <w:sz w:val="22"/>
            <w:szCs w:val="22"/>
          </w:rPr>
          <m:t>=all</m:t>
        </m:r>
      </m:oMath>
      <w:r>
        <w:rPr>
          <w:rFonts w:eastAsia="宋体"/>
          <w:sz w:val="22"/>
          <w:szCs w:val="22"/>
        </w:rPr>
        <w:t xml:space="preserve">, the set contains all buildings within the renewal-pressure range under scenario </w:t>
      </w:r>
      <m:oMath>
        <m:r>
          <m:rPr/>
          <w:rPr>
            <w:rFonts w:ascii="Cambria Math" w:hAnsi="Cambria Math" w:eastAsia="宋体"/>
            <w:sz w:val="22"/>
            <w:szCs w:val="22"/>
          </w:rPr>
          <m:t>s</m:t>
        </m:r>
      </m:oMath>
      <w:r>
        <w:rPr>
          <w:rFonts w:eastAsia="宋体"/>
          <w:sz w:val="22"/>
          <w:szCs w:val="22"/>
        </w:rPr>
        <w:t xml:space="preserve">in year </w:t>
      </w:r>
      <m:oMath>
        <m:r>
          <m:rPr/>
          <w:rPr>
            <w:rFonts w:ascii="Cambria Math" w:hAnsi="Cambria Math" w:eastAsia="宋体"/>
            <w:sz w:val="22"/>
            <w:szCs w:val="22"/>
          </w:rPr>
          <m:t>t</m:t>
        </m:r>
      </m:oMath>
      <w:r>
        <w:rPr>
          <w:rFonts w:eastAsia="宋体"/>
          <w:sz w:val="22"/>
          <w:szCs w:val="22"/>
        </w:rPr>
        <w:t xml:space="preserve">; when </w:t>
      </w:r>
      <m:oMath>
        <m:r>
          <m:rPr/>
          <w:rPr>
            <w:rFonts w:ascii="Cambria Math" w:hAnsi="Cambria Math" w:eastAsia="宋体"/>
            <w:sz w:val="22"/>
            <w:szCs w:val="22"/>
          </w:rPr>
          <m:t>v</m:t>
        </m:r>
        <m:r>
          <m:rPr>
            <m:sty m:val="p"/>
          </m:rPr>
          <w:rPr>
            <w:rFonts w:ascii="Cambria Math" w:hAnsi="Cambria Math" w:eastAsia="宋体"/>
            <w:sz w:val="22"/>
            <w:szCs w:val="22"/>
          </w:rPr>
          <m:t>=new</m:t>
        </m:r>
      </m:oMath>
      <w:r>
        <w:rPr>
          <w:rFonts w:eastAsia="宋体"/>
          <w:sz w:val="22"/>
          <w:szCs w:val="22"/>
        </w:rPr>
        <w:t xml:space="preserve">, it contains only buildings newly entering the renewal-pressure range since the preceding benchmark year. </w:t>
      </w:r>
      <m:oMath>
        <m:sSubSup>
          <m:sSubSupPr>
            <m:ctrlPr>
              <w:rPr>
                <w:rFonts w:ascii="Cambria Math" w:hAnsi="Cambria Math" w:eastAsia="宋体"/>
                <w:sz w:val="22"/>
                <w:szCs w:val="22"/>
              </w:rPr>
            </m:ctrlPr>
          </m:sSubSupPr>
          <m:e>
            <m:r>
              <m:rPr/>
              <w:rPr>
                <w:rFonts w:ascii="Cambria Math" w:hAnsi="Cambria Math" w:eastAsia="宋体"/>
                <w:sz w:val="22"/>
                <w:szCs w:val="22"/>
              </w:rPr>
              <m:t>C</m:t>
            </m:r>
            <m:ctrlPr>
              <w:rPr>
                <w:rFonts w:ascii="Cambria Math" w:hAnsi="Cambria Math" w:eastAsia="宋体"/>
                <w:sz w:val="22"/>
                <w:szCs w:val="22"/>
              </w:rPr>
            </m:ctrlPr>
          </m:e>
          <m:sub>
            <m:r>
              <m:rPr/>
              <w:rPr>
                <w:rFonts w:ascii="Cambria Math" w:hAnsi="Cambria Math" w:eastAsia="宋体"/>
                <w:sz w:val="22"/>
                <w:szCs w:val="22"/>
              </w:rPr>
              <m:t>i</m:t>
            </m:r>
            <m:r>
              <m:rPr>
                <m:sty m:val="p"/>
              </m:rPr>
              <w:rPr>
                <w:rFonts w:ascii="Cambria Math" w:hAnsi="Cambria Math" w:eastAsia="宋体"/>
                <w:sz w:val="22"/>
                <w:szCs w:val="22"/>
              </w:rPr>
              <m:t>,</m:t>
            </m:r>
            <m:r>
              <m:rPr/>
              <w:rPr>
                <w:rFonts w:ascii="Cambria Math" w:hAnsi="Cambria Math" w:eastAsia="宋体"/>
                <w:sz w:val="22"/>
                <w:szCs w:val="22"/>
              </w:rPr>
              <m:t>b</m:t>
            </m:r>
            <m:ctrlPr>
              <w:rPr>
                <w:rFonts w:ascii="Cambria Math" w:hAnsi="Cambria Math" w:eastAsia="宋体"/>
                <w:sz w:val="22"/>
                <w:szCs w:val="22"/>
              </w:rPr>
            </m:ctrlPr>
          </m:sub>
          <m:sup>
            <m:r>
              <m:rPr>
                <m:sty m:val="p"/>
              </m:rPr>
              <w:rPr>
                <w:rFonts w:ascii="Cambria Math" w:hAnsi="Cambria Math" w:eastAsia="宋体"/>
                <w:sz w:val="22"/>
                <w:szCs w:val="22"/>
              </w:rPr>
              <m:t>dem</m:t>
            </m:r>
            <m:ctrlPr>
              <w:rPr>
                <w:rFonts w:ascii="Cambria Math" w:hAnsi="Cambria Math" w:eastAsia="宋体"/>
                <w:sz w:val="22"/>
                <w:szCs w:val="22"/>
              </w:rPr>
            </m:ctrlPr>
          </m:sup>
        </m:sSubSup>
      </m:oMath>
      <w:r>
        <w:rPr>
          <w:rFonts w:eastAsia="宋体"/>
          <w:sz w:val="22"/>
          <w:szCs w:val="22"/>
        </w:rPr>
        <w:t xml:space="preserve"> and </w:t>
      </w:r>
      <m:oMath>
        <m:sSubSup>
          <m:sSubSupPr>
            <m:ctrlPr>
              <w:rPr>
                <w:rFonts w:ascii="Cambria Math" w:hAnsi="Cambria Math" w:eastAsia="宋体"/>
                <w:sz w:val="22"/>
                <w:szCs w:val="22"/>
              </w:rPr>
            </m:ctrlPr>
          </m:sSubSupPr>
          <m:e>
            <m:r>
              <m:rPr/>
              <w:rPr>
                <w:rFonts w:ascii="Cambria Math" w:hAnsi="Cambria Math" w:eastAsia="宋体"/>
                <w:sz w:val="22"/>
                <w:szCs w:val="22"/>
              </w:rPr>
              <m:t>C</m:t>
            </m:r>
            <m:ctrlPr>
              <w:rPr>
                <w:rFonts w:ascii="Cambria Math" w:hAnsi="Cambria Math" w:eastAsia="宋体"/>
                <w:sz w:val="22"/>
                <w:szCs w:val="22"/>
              </w:rPr>
            </m:ctrlPr>
          </m:e>
          <m:sub>
            <m:r>
              <m:rPr/>
              <w:rPr>
                <w:rFonts w:ascii="Cambria Math" w:hAnsi="Cambria Math" w:eastAsia="宋体"/>
                <w:sz w:val="22"/>
                <w:szCs w:val="22"/>
              </w:rPr>
              <m:t>i</m:t>
            </m:r>
            <m:r>
              <m:rPr>
                <m:sty m:val="p"/>
              </m:rPr>
              <w:rPr>
                <w:rFonts w:ascii="Cambria Math" w:hAnsi="Cambria Math" w:eastAsia="宋体"/>
                <w:sz w:val="22"/>
                <w:szCs w:val="22"/>
              </w:rPr>
              <m:t>,</m:t>
            </m:r>
            <m:r>
              <m:rPr/>
              <w:rPr>
                <w:rFonts w:ascii="Cambria Math" w:hAnsi="Cambria Math" w:eastAsia="宋体"/>
                <w:sz w:val="22"/>
                <w:szCs w:val="22"/>
              </w:rPr>
              <m:t>b</m:t>
            </m:r>
            <m:ctrlPr>
              <w:rPr>
                <w:rFonts w:ascii="Cambria Math" w:hAnsi="Cambria Math" w:eastAsia="宋体"/>
                <w:sz w:val="22"/>
                <w:szCs w:val="22"/>
              </w:rPr>
            </m:ctrlPr>
          </m:sub>
          <m:sup>
            <m:r>
              <m:rPr>
                <m:sty m:val="p"/>
              </m:rPr>
              <w:rPr>
                <w:rFonts w:ascii="Cambria Math" w:hAnsi="Cambria Math" w:eastAsia="宋体"/>
                <w:sz w:val="22"/>
                <w:szCs w:val="22"/>
              </w:rPr>
              <m:t>in situ</m:t>
            </m:r>
            <m:ctrlPr>
              <w:rPr>
                <w:rFonts w:ascii="Cambria Math" w:hAnsi="Cambria Math" w:eastAsia="宋体"/>
                <w:sz w:val="22"/>
                <w:szCs w:val="22"/>
              </w:rPr>
            </m:ctrlPr>
          </m:sup>
        </m:sSubSup>
      </m:oMath>
      <w:r>
        <w:rPr>
          <w:rFonts w:eastAsia="宋体"/>
          <w:sz w:val="22"/>
          <w:szCs w:val="22"/>
        </w:rPr>
        <w:t xml:space="preserve"> denote the building-level demolition-compensation and in situ renewal costs, respectively; </w:t>
      </w:r>
      <m:oMath>
        <m:sSubSup>
          <m:sSubSupPr>
            <m:ctrlPr>
              <w:rPr>
                <w:rFonts w:ascii="Cambria Math" w:hAnsi="Cambria Math" w:eastAsia="宋体"/>
                <w:sz w:val="22"/>
                <w:szCs w:val="22"/>
              </w:rPr>
            </m:ctrlPr>
          </m:sSubSupPr>
          <m:e>
            <m:r>
              <m:rPr/>
              <w:rPr>
                <w:rFonts w:ascii="Cambria Math" w:hAnsi="Cambria Math" w:eastAsia="宋体"/>
                <w:sz w:val="22"/>
                <w:szCs w:val="22"/>
              </w:rPr>
              <m:t>E</m:t>
            </m:r>
            <m:ctrlPr>
              <w:rPr>
                <w:rFonts w:ascii="Cambria Math" w:hAnsi="Cambria Math" w:eastAsia="宋体"/>
                <w:sz w:val="22"/>
                <w:szCs w:val="22"/>
              </w:rPr>
            </m:ctrlPr>
          </m:e>
          <m:sub>
            <m:r>
              <m:rPr/>
              <w:rPr>
                <w:rFonts w:ascii="Cambria Math" w:hAnsi="Cambria Math" w:eastAsia="宋体"/>
                <w:sz w:val="22"/>
                <w:szCs w:val="22"/>
              </w:rPr>
              <m:t>i</m:t>
            </m:r>
            <m:ctrlPr>
              <w:rPr>
                <w:rFonts w:ascii="Cambria Math" w:hAnsi="Cambria Math" w:eastAsia="宋体"/>
                <w:sz w:val="22"/>
                <w:szCs w:val="22"/>
              </w:rPr>
            </m:ctrlPr>
          </m:sub>
          <m:sup>
            <m:r>
              <m:rPr>
                <m:sty m:val="p"/>
              </m:rPr>
              <w:rPr>
                <w:rFonts w:ascii="Cambria Math" w:hAnsi="Cambria Math" w:eastAsia="宋体"/>
                <w:sz w:val="22"/>
                <w:szCs w:val="22"/>
              </w:rPr>
              <m:t>dem</m:t>
            </m:r>
            <m:ctrlPr>
              <w:rPr>
                <w:rFonts w:ascii="Cambria Math" w:hAnsi="Cambria Math" w:eastAsia="宋体"/>
                <w:sz w:val="22"/>
                <w:szCs w:val="22"/>
              </w:rPr>
            </m:ctrlPr>
          </m:sup>
        </m:sSubSup>
      </m:oMath>
      <w:r>
        <w:rPr>
          <w:rFonts w:eastAsia="宋体"/>
          <w:sz w:val="22"/>
          <w:szCs w:val="22"/>
        </w:rPr>
        <w:t xml:space="preserve"> denotes the one-off demolition-stage carbon emission of building </w:t>
      </w:r>
      <m:oMath>
        <m:r>
          <m:rPr/>
          <w:rPr>
            <w:rFonts w:ascii="Cambria Math" w:hAnsi="Cambria Math" w:eastAsia="宋体"/>
            <w:sz w:val="22"/>
            <w:szCs w:val="22"/>
          </w:rPr>
          <m:t>i</m:t>
        </m:r>
      </m:oMath>
      <w:r>
        <w:rPr>
          <w:rFonts w:eastAsia="宋体"/>
          <w:sz w:val="22"/>
          <w:szCs w:val="22"/>
        </w:rPr>
        <w:t xml:space="preserve">; and </w:t>
      </w:r>
      <m:oMath>
        <m:sSubSup>
          <m:sSubSupPr>
            <m:ctrlPr>
              <w:rPr>
                <w:rFonts w:ascii="Cambria Math" w:hAnsi="Cambria Math" w:eastAsia="宋体"/>
                <w:sz w:val="22"/>
                <w:szCs w:val="22"/>
              </w:rPr>
            </m:ctrlPr>
          </m:sSubSupPr>
          <m:e>
            <m:r>
              <m:rPr/>
              <w:rPr>
                <w:rFonts w:ascii="Cambria Math" w:hAnsi="Cambria Math" w:eastAsia="宋体"/>
                <w:sz w:val="22"/>
                <w:szCs w:val="22"/>
              </w:rPr>
              <m:t>E</m:t>
            </m:r>
            <m:ctrlPr>
              <w:rPr>
                <w:rFonts w:ascii="Cambria Math" w:hAnsi="Cambria Math" w:eastAsia="宋体"/>
                <w:sz w:val="22"/>
                <w:szCs w:val="22"/>
              </w:rPr>
            </m:ctrlPr>
          </m:e>
          <m:sub>
            <m:r>
              <m:rPr/>
              <w:rPr>
                <w:rFonts w:ascii="Cambria Math" w:hAnsi="Cambria Math" w:eastAsia="宋体"/>
                <w:sz w:val="22"/>
                <w:szCs w:val="22"/>
              </w:rPr>
              <m:t>i</m:t>
            </m:r>
            <m:r>
              <m:rPr>
                <m:sty m:val="p"/>
              </m:rPr>
              <w:rPr>
                <w:rFonts w:ascii="Cambria Math" w:hAnsi="Cambria Math" w:eastAsia="宋体"/>
                <w:sz w:val="22"/>
                <w:szCs w:val="22"/>
              </w:rPr>
              <m:t>,</m:t>
            </m:r>
            <m:r>
              <m:rPr/>
              <w:rPr>
                <w:rFonts w:ascii="Cambria Math" w:hAnsi="Cambria Math" w:eastAsia="宋体"/>
                <w:sz w:val="22"/>
                <w:szCs w:val="22"/>
              </w:rPr>
              <m:t>s</m:t>
            </m:r>
            <m:r>
              <m:rPr>
                <m:sty m:val="p"/>
              </m:rPr>
              <w:rPr>
                <w:rFonts w:ascii="Cambria Math" w:hAnsi="Cambria Math" w:eastAsia="宋体"/>
                <w:sz w:val="22"/>
                <w:szCs w:val="22"/>
              </w:rPr>
              <m:t>,</m:t>
            </m:r>
            <m:r>
              <m:rPr/>
              <w:rPr>
                <w:rFonts w:ascii="Cambria Math" w:hAnsi="Cambria Math" w:eastAsia="宋体"/>
                <w:sz w:val="22"/>
                <w:szCs w:val="22"/>
              </w:rPr>
              <m:t>t</m:t>
            </m:r>
            <m:ctrlPr>
              <w:rPr>
                <w:rFonts w:ascii="Cambria Math" w:hAnsi="Cambria Math" w:eastAsia="宋体"/>
                <w:sz w:val="22"/>
                <w:szCs w:val="22"/>
              </w:rPr>
            </m:ctrlPr>
          </m:sub>
          <m:sup>
            <m:r>
              <m:rPr>
                <m:sty m:val="p"/>
              </m:rPr>
              <w:rPr>
                <w:rFonts w:ascii="Cambria Math" w:hAnsi="Cambria Math" w:eastAsia="宋体"/>
                <w:sz w:val="22"/>
                <w:szCs w:val="22"/>
              </w:rPr>
              <m:t>op</m:t>
            </m:r>
            <m:ctrlPr>
              <w:rPr>
                <w:rFonts w:ascii="Cambria Math" w:hAnsi="Cambria Math" w:eastAsia="宋体"/>
                <w:sz w:val="22"/>
                <w:szCs w:val="22"/>
              </w:rPr>
            </m:ctrlPr>
          </m:sup>
        </m:sSubSup>
      </m:oMath>
      <w:r>
        <w:rPr>
          <w:rFonts w:eastAsia="宋体"/>
          <w:sz w:val="22"/>
          <w:szCs w:val="22"/>
        </w:rPr>
        <w:t xml:space="preserve"> denotes its annual operational carbon emission under scenario </w:t>
      </w:r>
      <m:oMath>
        <m:r>
          <m:rPr/>
          <w:rPr>
            <w:rFonts w:ascii="Cambria Math" w:hAnsi="Cambria Math" w:eastAsia="宋体"/>
            <w:sz w:val="22"/>
            <w:szCs w:val="22"/>
          </w:rPr>
          <m:t>s</m:t>
        </m:r>
      </m:oMath>
      <w:r>
        <w:rPr>
          <w:rFonts w:eastAsia="宋体"/>
          <w:sz w:val="22"/>
          <w:szCs w:val="22"/>
        </w:rPr>
        <w:t xml:space="preserve">in year </w:t>
      </w:r>
      <m:oMath>
        <m:r>
          <m:rPr/>
          <w:rPr>
            <w:rFonts w:ascii="Cambria Math" w:hAnsi="Cambria Math" w:eastAsia="宋体"/>
            <w:sz w:val="22"/>
            <w:szCs w:val="22"/>
          </w:rPr>
          <m:t>t</m:t>
        </m:r>
      </m:oMath>
      <w:r>
        <w:rPr>
          <w:rFonts w:eastAsia="宋体"/>
          <w:sz w:val="22"/>
          <w:szCs w:val="22"/>
        </w:rPr>
        <w:t xml:space="preserve">. Accordingly, </w:t>
      </w:r>
      <m:oMath>
        <m:sSubSup>
          <m:sSubSupPr>
            <m:ctrlPr>
              <w:rPr>
                <w:rFonts w:ascii="Cambria Math" w:hAnsi="Cambria Math" w:eastAsia="宋体"/>
                <w:sz w:val="22"/>
                <w:szCs w:val="22"/>
              </w:rPr>
            </m:ctrlPr>
          </m:sSubSupPr>
          <m:e>
            <m:r>
              <m:rPr>
                <m:sty m:val="p"/>
              </m:rPr>
              <w:rPr>
                <w:rFonts w:ascii="Cambria Math" w:hAnsi="Cambria Math" w:eastAsia="宋体"/>
                <w:sz w:val="22"/>
                <w:szCs w:val="22"/>
              </w:rPr>
              <m:t>DemCost</m:t>
            </m:r>
            <m:ctrlPr>
              <w:rPr>
                <w:rFonts w:ascii="Cambria Math" w:hAnsi="Cambria Math" w:eastAsia="宋体"/>
                <w:sz w:val="22"/>
                <w:szCs w:val="22"/>
              </w:rPr>
            </m:ctrlPr>
          </m:e>
          <m:sub>
            <m:r>
              <m:rPr/>
              <w:rPr>
                <w:rFonts w:ascii="Cambria Math" w:hAnsi="Cambria Math" w:eastAsia="宋体"/>
                <w:sz w:val="22"/>
                <w:szCs w:val="22"/>
              </w:rPr>
              <m:t>s</m:t>
            </m:r>
            <m:r>
              <m:rPr>
                <m:sty m:val="p"/>
              </m:rPr>
              <w:rPr>
                <w:rFonts w:ascii="Cambria Math" w:hAnsi="Cambria Math" w:eastAsia="宋体"/>
                <w:sz w:val="22"/>
                <w:szCs w:val="22"/>
              </w:rPr>
              <m:t>,</m:t>
            </m:r>
            <m:r>
              <m:rPr/>
              <w:rPr>
                <w:rFonts w:ascii="Cambria Math" w:hAnsi="Cambria Math" w:eastAsia="宋体"/>
                <w:sz w:val="22"/>
                <w:szCs w:val="22"/>
              </w:rPr>
              <m:t>t</m:t>
            </m:r>
            <m:r>
              <m:rPr>
                <m:sty m:val="p"/>
              </m:rPr>
              <w:rPr>
                <w:rFonts w:ascii="Cambria Math" w:hAnsi="Cambria Math" w:eastAsia="宋体"/>
                <w:sz w:val="22"/>
                <w:szCs w:val="22"/>
              </w:rPr>
              <m:t>,</m:t>
            </m:r>
            <m:r>
              <m:rPr/>
              <w:rPr>
                <w:rFonts w:ascii="Cambria Math" w:hAnsi="Cambria Math" w:eastAsia="宋体"/>
                <w:sz w:val="22"/>
                <w:szCs w:val="22"/>
              </w:rPr>
              <m:t>b</m:t>
            </m:r>
            <m:ctrlPr>
              <w:rPr>
                <w:rFonts w:ascii="Cambria Math" w:hAnsi="Cambria Math" w:eastAsia="宋体"/>
                <w:sz w:val="22"/>
                <w:szCs w:val="22"/>
              </w:rPr>
            </m:ctrlPr>
          </m:sub>
          <m:sup>
            <m:r>
              <m:rPr/>
              <w:rPr>
                <w:rFonts w:ascii="Cambria Math" w:hAnsi="Cambria Math" w:eastAsia="宋体"/>
                <w:sz w:val="22"/>
                <w:szCs w:val="22"/>
              </w:rPr>
              <m:t>v</m:t>
            </m:r>
            <m:ctrlPr>
              <w:rPr>
                <w:rFonts w:ascii="Cambria Math" w:hAnsi="Cambria Math" w:eastAsia="宋体"/>
                <w:sz w:val="22"/>
                <w:szCs w:val="22"/>
              </w:rPr>
            </m:ctrlPr>
          </m:sup>
        </m:sSubSup>
      </m:oMath>
      <w:r>
        <w:rPr>
          <w:rFonts w:eastAsia="宋体"/>
          <w:sz w:val="22"/>
          <w:szCs w:val="22"/>
        </w:rPr>
        <w:t xml:space="preserve">, </w:t>
      </w:r>
      <m:oMath>
        <m:sSubSup>
          <m:sSubSupPr>
            <m:ctrlPr>
              <w:rPr>
                <w:rFonts w:ascii="Cambria Math" w:hAnsi="Cambria Math" w:eastAsia="宋体"/>
                <w:sz w:val="22"/>
                <w:szCs w:val="22"/>
              </w:rPr>
            </m:ctrlPr>
          </m:sSubSupPr>
          <m:e>
            <m:r>
              <m:rPr>
                <m:sty m:val="p"/>
              </m:rPr>
              <w:rPr>
                <w:rFonts w:ascii="Cambria Math" w:hAnsi="Cambria Math" w:eastAsia="宋体"/>
                <w:sz w:val="22"/>
                <w:szCs w:val="22"/>
              </w:rPr>
              <m:t>DemCarbon</m:t>
            </m:r>
            <m:ctrlPr>
              <w:rPr>
                <w:rFonts w:ascii="Cambria Math" w:hAnsi="Cambria Math" w:eastAsia="宋体"/>
                <w:sz w:val="22"/>
                <w:szCs w:val="22"/>
              </w:rPr>
            </m:ctrlPr>
          </m:e>
          <m:sub>
            <m:r>
              <m:rPr/>
              <w:rPr>
                <w:rFonts w:ascii="Cambria Math" w:hAnsi="Cambria Math" w:eastAsia="宋体"/>
                <w:sz w:val="22"/>
                <w:szCs w:val="22"/>
              </w:rPr>
              <m:t>s</m:t>
            </m:r>
            <m:r>
              <m:rPr>
                <m:sty m:val="p"/>
              </m:rPr>
              <w:rPr>
                <w:rFonts w:ascii="Cambria Math" w:hAnsi="Cambria Math" w:eastAsia="宋体"/>
                <w:sz w:val="22"/>
                <w:szCs w:val="22"/>
              </w:rPr>
              <m:t>,</m:t>
            </m:r>
            <m:r>
              <m:rPr/>
              <w:rPr>
                <w:rFonts w:ascii="Cambria Math" w:hAnsi="Cambria Math" w:eastAsia="宋体"/>
                <w:sz w:val="22"/>
                <w:szCs w:val="22"/>
              </w:rPr>
              <m:t>t</m:t>
            </m:r>
            <m:ctrlPr>
              <w:rPr>
                <w:rFonts w:ascii="Cambria Math" w:hAnsi="Cambria Math" w:eastAsia="宋体"/>
                <w:sz w:val="22"/>
                <w:szCs w:val="22"/>
              </w:rPr>
            </m:ctrlPr>
          </m:sub>
          <m:sup>
            <m:r>
              <m:rPr/>
              <w:rPr>
                <w:rFonts w:ascii="Cambria Math" w:hAnsi="Cambria Math" w:eastAsia="宋体"/>
                <w:sz w:val="22"/>
                <w:szCs w:val="22"/>
              </w:rPr>
              <m:t>v</m:t>
            </m:r>
            <m:ctrlPr>
              <w:rPr>
                <w:rFonts w:ascii="Cambria Math" w:hAnsi="Cambria Math" w:eastAsia="宋体"/>
                <w:sz w:val="22"/>
                <w:szCs w:val="22"/>
              </w:rPr>
            </m:ctrlPr>
          </m:sup>
        </m:sSubSup>
      </m:oMath>
      <w:r>
        <w:rPr>
          <w:rFonts w:eastAsia="宋体"/>
          <w:sz w:val="22"/>
          <w:szCs w:val="22"/>
        </w:rPr>
        <w:t xml:space="preserve">, </w:t>
      </w:r>
      <m:oMath>
        <m:sSubSup>
          <m:sSubSupPr>
            <m:ctrlPr>
              <w:rPr>
                <w:rFonts w:ascii="Cambria Math" w:hAnsi="Cambria Math" w:eastAsia="宋体"/>
                <w:sz w:val="22"/>
                <w:szCs w:val="22"/>
              </w:rPr>
            </m:ctrlPr>
          </m:sSubSupPr>
          <m:e>
            <m:r>
              <m:rPr>
                <m:sty m:val="p"/>
              </m:rPr>
              <w:rPr>
                <w:rFonts w:ascii="Cambria Math" w:hAnsi="Cambria Math" w:eastAsia="宋体"/>
                <w:sz w:val="22"/>
                <w:szCs w:val="22"/>
              </w:rPr>
              <m:t>InSituCost</m:t>
            </m:r>
            <m:ctrlPr>
              <w:rPr>
                <w:rFonts w:ascii="Cambria Math" w:hAnsi="Cambria Math" w:eastAsia="宋体"/>
                <w:sz w:val="22"/>
                <w:szCs w:val="22"/>
              </w:rPr>
            </m:ctrlPr>
          </m:e>
          <m:sub>
            <m:r>
              <m:rPr/>
              <w:rPr>
                <w:rFonts w:ascii="Cambria Math" w:hAnsi="Cambria Math" w:eastAsia="宋体"/>
                <w:sz w:val="22"/>
                <w:szCs w:val="22"/>
              </w:rPr>
              <m:t>s</m:t>
            </m:r>
            <m:r>
              <m:rPr>
                <m:sty m:val="p"/>
              </m:rPr>
              <w:rPr>
                <w:rFonts w:ascii="Cambria Math" w:hAnsi="Cambria Math" w:eastAsia="宋体"/>
                <w:sz w:val="22"/>
                <w:szCs w:val="22"/>
              </w:rPr>
              <m:t>,</m:t>
            </m:r>
            <m:r>
              <m:rPr/>
              <w:rPr>
                <w:rFonts w:ascii="Cambria Math" w:hAnsi="Cambria Math" w:eastAsia="宋体"/>
                <w:sz w:val="22"/>
                <w:szCs w:val="22"/>
              </w:rPr>
              <m:t>t</m:t>
            </m:r>
            <m:r>
              <m:rPr>
                <m:sty m:val="p"/>
              </m:rPr>
              <w:rPr>
                <w:rFonts w:ascii="Cambria Math" w:hAnsi="Cambria Math" w:eastAsia="宋体"/>
                <w:sz w:val="22"/>
                <w:szCs w:val="22"/>
              </w:rPr>
              <m:t>,</m:t>
            </m:r>
            <m:r>
              <m:rPr/>
              <w:rPr>
                <w:rFonts w:ascii="Cambria Math" w:hAnsi="Cambria Math" w:eastAsia="宋体"/>
                <w:sz w:val="22"/>
                <w:szCs w:val="22"/>
              </w:rPr>
              <m:t>b</m:t>
            </m:r>
            <m:ctrlPr>
              <w:rPr>
                <w:rFonts w:ascii="Cambria Math" w:hAnsi="Cambria Math" w:eastAsia="宋体"/>
                <w:sz w:val="22"/>
                <w:szCs w:val="22"/>
              </w:rPr>
            </m:ctrlPr>
          </m:sub>
          <m:sup>
            <m:r>
              <m:rPr/>
              <w:rPr>
                <w:rFonts w:ascii="Cambria Math" w:hAnsi="Cambria Math" w:eastAsia="宋体"/>
                <w:sz w:val="22"/>
                <w:szCs w:val="22"/>
              </w:rPr>
              <m:t>v</m:t>
            </m:r>
            <m:ctrlPr>
              <w:rPr>
                <w:rFonts w:ascii="Cambria Math" w:hAnsi="Cambria Math" w:eastAsia="宋体"/>
                <w:sz w:val="22"/>
                <w:szCs w:val="22"/>
              </w:rPr>
            </m:ctrlPr>
          </m:sup>
        </m:sSubSup>
      </m:oMath>
      <w:r>
        <w:rPr>
          <w:rFonts w:eastAsia="宋体"/>
          <w:sz w:val="22"/>
          <w:szCs w:val="22"/>
        </w:rPr>
        <w:t xml:space="preserve"> and </w:t>
      </w:r>
      <m:oMath>
        <m:sSubSup>
          <m:sSubSupPr>
            <m:ctrlPr>
              <w:rPr>
                <w:rFonts w:ascii="Cambria Math" w:hAnsi="Cambria Math" w:eastAsia="宋体"/>
                <w:sz w:val="22"/>
                <w:szCs w:val="22"/>
              </w:rPr>
            </m:ctrlPr>
          </m:sSubSupPr>
          <m:e>
            <m:r>
              <m:rPr>
                <m:sty m:val="p"/>
              </m:rPr>
              <w:rPr>
                <w:rFonts w:ascii="Cambria Math" w:hAnsi="Cambria Math" w:eastAsia="宋体"/>
                <w:sz w:val="22"/>
                <w:szCs w:val="22"/>
              </w:rPr>
              <m:t>OpCarbon</m:t>
            </m:r>
            <m:ctrlPr>
              <w:rPr>
                <w:rFonts w:ascii="Cambria Math" w:hAnsi="Cambria Math" w:eastAsia="宋体"/>
                <w:sz w:val="22"/>
                <w:szCs w:val="22"/>
              </w:rPr>
            </m:ctrlPr>
          </m:e>
          <m:sub>
            <m:r>
              <m:rPr/>
              <w:rPr>
                <w:rFonts w:ascii="Cambria Math" w:hAnsi="Cambria Math" w:eastAsia="宋体"/>
                <w:sz w:val="22"/>
                <w:szCs w:val="22"/>
              </w:rPr>
              <m:t>s</m:t>
            </m:r>
            <m:r>
              <m:rPr>
                <m:sty m:val="p"/>
              </m:rPr>
              <w:rPr>
                <w:rFonts w:ascii="Cambria Math" w:hAnsi="Cambria Math" w:eastAsia="宋体"/>
                <w:sz w:val="22"/>
                <w:szCs w:val="22"/>
              </w:rPr>
              <m:t>,</m:t>
            </m:r>
            <m:r>
              <m:rPr/>
              <w:rPr>
                <w:rFonts w:ascii="Cambria Math" w:hAnsi="Cambria Math" w:eastAsia="宋体"/>
                <w:sz w:val="22"/>
                <w:szCs w:val="22"/>
              </w:rPr>
              <m:t>t</m:t>
            </m:r>
            <m:ctrlPr>
              <w:rPr>
                <w:rFonts w:ascii="Cambria Math" w:hAnsi="Cambria Math" w:eastAsia="宋体"/>
                <w:sz w:val="22"/>
                <w:szCs w:val="22"/>
              </w:rPr>
            </m:ctrlPr>
          </m:sub>
          <m:sup>
            <m:r>
              <m:rPr/>
              <w:rPr>
                <w:rFonts w:ascii="Cambria Math" w:hAnsi="Cambria Math" w:eastAsia="宋体"/>
                <w:sz w:val="22"/>
                <w:szCs w:val="22"/>
              </w:rPr>
              <m:t>v</m:t>
            </m:r>
            <m:ctrlPr>
              <w:rPr>
                <w:rFonts w:ascii="Cambria Math" w:hAnsi="Cambria Math" w:eastAsia="宋体"/>
                <w:sz w:val="22"/>
                <w:szCs w:val="22"/>
              </w:rPr>
            </m:ctrlPr>
          </m:sup>
        </m:sSubSup>
      </m:oMath>
      <w:r>
        <w:rPr>
          <w:rFonts w:eastAsia="宋体"/>
          <w:sz w:val="22"/>
          <w:szCs w:val="22"/>
        </w:rPr>
        <w:t xml:space="preserve"> denote the corresponding aggregate pathway outputs.</w:t>
      </w:r>
    </w:p>
    <w:p w14:paraId="7AEE9D70">
      <w:pPr>
        <w:pStyle w:val="30"/>
        <w:ind w:firstLine="420"/>
        <w:rPr>
          <w:rFonts w:eastAsia="宋体"/>
          <w:sz w:val="22"/>
          <w:szCs w:val="22"/>
        </w:rPr>
      </w:pPr>
      <w:r>
        <w:rPr>
          <w:rFonts w:eastAsia="宋体"/>
          <w:sz w:val="22"/>
          <w:szCs w:val="22"/>
        </w:rPr>
        <w:t>Snapshot outputs were calculated from all buildings within the renewal-pressure range at each benchmark year, whereas new-cohort outputs were calculated only from buildings entering the range during the corresponding five-year interval. Cumulative costs and one-off demolition emissions were obtained by progressively summing the outputs of successive new cohorts from the initial simulation year to each benchmark year. Annual operational carbon emissions were treated as recurring annual flows and were therefore not directly accumulated across benchmark years. Citywide estimates were obtained by summing the corresponding urban and rural outp</w:t>
      </w:r>
      <w:r>
        <w:rPr>
          <w:rFonts w:eastAsia="宋体"/>
          <w:color w:val="000000" w:themeColor="text1"/>
          <w:sz w:val="22"/>
          <w:szCs w:val="22"/>
          <w14:textFill>
            <w14:solidFill>
              <w14:schemeClr w14:val="tx1"/>
            </w14:solidFill>
          </w14:textFill>
        </w:rPr>
        <w:t>uts (</w:t>
      </w:r>
      <w:r>
        <w:rPr>
          <w:rFonts w:eastAsia="宋体"/>
          <w:color w:val="0070A8"/>
          <w:sz w:val="22"/>
          <w:szCs w:val="22"/>
        </w:rPr>
        <w:t>Supplementary Tables 13 and 14</w:t>
      </w:r>
      <w:r>
        <w:rPr>
          <w:rFonts w:eastAsia="宋体"/>
          <w:color w:val="000000" w:themeColor="text1"/>
          <w:sz w:val="22"/>
          <w:szCs w:val="22"/>
          <w14:textFill>
            <w14:solidFill>
              <w14:schemeClr w14:val="tx1"/>
            </w14:solidFill>
          </w14:textFill>
        </w:rPr>
        <w:t>).</w:t>
      </w:r>
      <w:r>
        <w:rPr>
          <w:rFonts w:eastAsia="宋体"/>
          <w:sz w:val="22"/>
          <w:szCs w:val="22"/>
        </w:rPr>
        <w:t xml:space="preserve"> </w:t>
      </w:r>
    </w:p>
    <w:p w14:paraId="2F1AC621">
      <w:pPr>
        <w:keepNext/>
        <w:keepLines/>
      </w:pPr>
      <w:r>
        <mc:AlternateContent>
          <mc:Choice Requires="wps">
            <w:drawing>
              <wp:inline distT="0" distB="0" distL="0" distR="0">
                <wp:extent cx="7171055" cy="635"/>
                <wp:effectExtent l="0" t="0" r="17145" b="24765"/>
                <wp:docPr id="700565806" name="矩形 13"/>
                <wp:cNvGraphicFramePr/>
                <a:graphic xmlns:a="http://schemas.openxmlformats.org/drawingml/2006/main">
                  <a:graphicData uri="http://schemas.microsoft.com/office/word/2010/wordprocessingShape">
                    <wps:wsp>
                      <wps:cNvSpPr/>
                      <wps:spPr bwMode="auto">
                        <a:xfrm>
                          <a:off x="0" y="0"/>
                          <a:ext cx="7171055" cy="635"/>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inline>
            </w:drawing>
          </mc:Choice>
          <mc:Fallback>
            <w:pict>
              <v:rect id="矩形 13" o:spid="_x0000_s1026" o:spt="1" style="height:0.05pt;width:564.65pt;" filled="f" stroked="t" coordsize="21600,21600" o:gfxdata="UEsDBAoAAAAAAIdO4kAAAAAAAAAAAAAAAAAEAAAAZHJzL1BLAwQUAAAACACHTuJA092p5tIAAAAD&#10;AQAADwAAAGRycy9kb3ducmV2LnhtbE2PwU7DMBBE70j8g7VIvVEnrYogjVMVRK+VKEjQmxsvdtR4&#10;HcXbpv17HC5wGWk1o5m35eriW3HGPjaBFOTTDARSHUxDVsHH++b+EURkTUa3gVDBFSOsqtubUhcm&#10;DPSG5x1bkUooFlqBY+4KKWPt0Os4DR1S8r5D7zWns7fS9HpI5b6Vsyx7kF43lBac7vDFYX3cnbyC&#10;126/XS9slOtPdl/H8Dxs3NYqNbnLsyUIxgv/hWHET+hQJaZDOJGJolWQHuFfHb189jQHcRhTsirl&#10;f/bqB1BLAwQUAAAACACHTuJA4JUinRgCAAAcBAAADgAAAGRycy9lMm9Eb2MueG1srVNLbtswEN0X&#10;6B0I7mtJjmU7guWgiJGiQD8B0h6ApiiLAH8d0pbTyxTorofIcYpeo0NKcd10k0W1EGY4ozfzHp9W&#10;V0etyEGAl9bUtJjklAjDbSPNrqafP928WlLiAzMNU9aImt4LT6/WL1+seleJqe2sagQQBDG+6l1N&#10;uxBclWWed0IzP7FOGCy2FjQLmMIua4D1iK5VNs3zedZbaBxYLrzH081QpCMiPAfQtq3kYmP5XgsT&#10;BlQQigWk5DvpPF2nbdtW8PCxbb0IRNUUmYb0xiEYb+M7W69YtQPmOsnHFdhzVnjCSTNpcOgJasMC&#10;I3uQ/0BpycF624YJtzobiCRFkEWRP9HmrmNOJC4otXcn0f3/g+UfDrdAZFPTRZ6X83KZzykxTOPF&#10;//r24+fDd1JcRJF65yvsvXO3MGYeQ7Lt39sGe9k+2MT/2IKOOiAzckwy359kFsdAOB4uikWRlyUl&#10;HGvzizLiZ6x6/NSBD2+E1SQGNQW8wwTNDu98GFofW+IkY2+kUnjOKmVIX9PLclqmD7xVsonFWPOw&#10;214rIAcWnZCece5fbVoGdLeSuqbL8yZlcMcoQqQ9yLG1zT1KAHYwFf5SGHQWvlLSo6Fq6r/sGQhK&#10;1FuDN3ZZzGbRgSmZlYspJnBe2Z5XmOEIVdNAyRBeh8G1ewdy1+GkInE09jVK38okTNxv2GpcFk2T&#10;pB0NHl15nqeuPz/1+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T3anm0gAAAAMBAAAPAAAAAAAA&#10;AAEAIAAAACIAAABkcnMvZG93bnJldi54bWxQSwECFAAUAAAACACHTuJA4JUinRgCAAAcBAAADgAA&#10;AAAAAAABACAAAAAhAQAAZHJzL2Uyb0RvYy54bWxQSwUGAAAAAAYABgBZAQAAqwUAAAAA&#10;">
                <v:fill on="f" focussize="0,0"/>
                <v:stroke color="#000000" miterlimit="8" joinstyle="miter"/>
                <v:imagedata o:title=""/>
                <o:lock v:ext="edit" aspectratio="f"/>
                <w10:wrap type="none"/>
                <w10:anchorlock/>
              </v:rect>
            </w:pict>
          </mc:Fallback>
        </mc:AlternateContent>
      </w:r>
    </w:p>
    <w:p w14:paraId="312F9DF5">
      <w:pPr>
        <w:pStyle w:val="28"/>
      </w:pPr>
      <w:bookmarkStart w:id="33" w:name="_Toc227181499"/>
      <w:r>
        <w:t>S7. Model assumptions and scenario settings</w:t>
      </w:r>
      <w:bookmarkEnd w:id="33"/>
    </w:p>
    <w:p w14:paraId="0ACB7BCD">
      <w:pPr>
        <w:pStyle w:val="29"/>
      </w:pPr>
      <w:bookmarkStart w:id="34" w:name="_Toc227181500"/>
      <w:r>
        <w:t>S7.1 Baseline year and simulation horizon</w:t>
      </w:r>
      <w:bookmarkEnd w:id="34"/>
    </w:p>
    <w:p w14:paraId="3B591900">
      <w:pPr>
        <w:pStyle w:val="30"/>
        <w:spacing w:line="276" w:lineRule="auto"/>
        <w:ind w:firstLine="440"/>
        <w:rPr>
          <w:sz w:val="22"/>
          <w:szCs w:val="22"/>
        </w:rPr>
      </w:pPr>
      <w:r>
        <w:rPr>
          <w:sz w:val="22"/>
          <w:szCs w:val="22"/>
        </w:rPr>
        <w:t>The analytical framework uses 2020 as the baseline year because it is the most recent year for which high-resolution building stock data, village-level census information and harmonized land-use datasets can be jointly aligned. Using a common baseline year ensures internal consistency across the physical, spatial and demographic components of the model.</w:t>
      </w:r>
    </w:p>
    <w:p w14:paraId="6420F14F">
      <w:pPr>
        <w:pStyle w:val="30"/>
        <w:spacing w:line="276" w:lineRule="auto"/>
        <w:ind w:firstLine="440"/>
        <w:rPr>
          <w:sz w:val="22"/>
          <w:szCs w:val="22"/>
        </w:rPr>
      </w:pPr>
      <w:r>
        <w:rPr>
          <w:sz w:val="22"/>
          <w:szCs w:val="22"/>
        </w:rPr>
        <w:t>The projection horizon extends to 2050, providing a medium- to long-term time frame over which the consequences of housing cohort ageing can emerge clearly. This horizon is sufficiently long to capture the transition of major construction cohorts built during the rapid urbanization period into later lifecycle stages, while remaining close enough to current institutional and demographic conditions to support policy interpretation.</w:t>
      </w:r>
    </w:p>
    <w:p w14:paraId="5ED65B82">
      <w:pPr>
        <w:pStyle w:val="30"/>
        <w:spacing w:line="276" w:lineRule="auto"/>
        <w:ind w:firstLine="440"/>
        <w:rPr>
          <w:sz w:val="22"/>
          <w:szCs w:val="22"/>
        </w:rPr>
      </w:pPr>
      <w:r>
        <w:rPr>
          <w:sz w:val="22"/>
          <w:szCs w:val="22"/>
        </w:rPr>
        <w:t>Although demographic projections are generated at five-year benchmark intervals, the building-level simulation is implemented annually. Annual updating allows gradual changes in building age and social indicators to be represented continuously rather than as discrete jumps between benchmark years. This is particularly important for identifying the timing of renewal acceleration and the accumulation of governance and fiscal pressure. The baseline year and simulation horizon should therefore be understood as a pragmatic balance between data availability, analytical relevance and long-term policy usefulness.</w:t>
      </w:r>
    </w:p>
    <w:p w14:paraId="60817513">
      <w:pPr>
        <w:pStyle w:val="29"/>
      </w:pPr>
      <w:bookmarkStart w:id="35" w:name="_Toc227181501"/>
      <w:r>
        <w:t>S7.2 Demographic scenarios</w:t>
      </w:r>
      <w:bookmarkEnd w:id="35"/>
    </w:p>
    <w:p w14:paraId="6175347D">
      <w:pPr>
        <w:pStyle w:val="30"/>
        <w:spacing w:line="276" w:lineRule="auto"/>
        <w:ind w:firstLine="440"/>
        <w:rPr>
          <w:sz w:val="22"/>
          <w:szCs w:val="22"/>
        </w:rPr>
      </w:pPr>
      <w:r>
        <w:rPr>
          <w:sz w:val="22"/>
          <w:szCs w:val="22"/>
        </w:rPr>
        <w:t>Future population may alter renewal pressure through population size, ageing and housing-space demand. We therefore construct low-, medium- and high-fertility scenarios around a common age-specific fertility pattern. Mortality improves gradually across all scenarios, and recent net-migration rates converge towards zero by 2050</w:t>
      </w:r>
      <w:r>
        <w:rPr>
          <w:sz w:val="22"/>
          <w:szCs w:val="22"/>
          <w:vertAlign w:val="superscript"/>
        </w:rPr>
        <w:t>11,13,14</w:t>
      </w:r>
      <w:r>
        <w:rPr>
          <w:sz w:val="22"/>
          <w:szCs w:val="22"/>
        </w:rPr>
        <w:t>.</w:t>
      </w:r>
    </w:p>
    <w:p w14:paraId="686B9066">
      <w:pPr>
        <w:pStyle w:val="30"/>
        <w:spacing w:line="276" w:lineRule="auto"/>
        <w:ind w:firstLine="440"/>
        <w:rPr>
          <w:sz w:val="22"/>
          <w:szCs w:val="22"/>
        </w:rPr>
      </w:pPr>
      <w:r>
        <w:rPr>
          <w:sz w:val="22"/>
          <w:szCs w:val="22"/>
        </w:rPr>
        <w:t>The three demographic scenarios are structured uncertainty bounds rather than forecasts of Quanzhou’s future population. They test the stability of renewal trajectories and pathway contrasts under plausible fertility conditions; they do not constitute a complete sensitivity analysis of every model component.</w:t>
      </w:r>
    </w:p>
    <w:p w14:paraId="018F95F7">
      <w:pPr>
        <w:pStyle w:val="29"/>
      </w:pPr>
      <w:bookmarkStart w:id="36" w:name="_Toc227181502"/>
      <w:bookmarkStart w:id="37" w:name="OLE_LINK4"/>
      <w:r>
        <w:t>S7.3 Fixed and dynamic variables</w:t>
      </w:r>
      <w:bookmarkEnd w:id="36"/>
    </w:p>
    <w:p w14:paraId="7C78D056">
      <w:pPr>
        <w:pStyle w:val="30"/>
        <w:ind w:firstLine="420"/>
        <w:rPr>
          <w:rFonts w:eastAsia="宋体"/>
          <w:sz w:val="22"/>
          <w:szCs w:val="22"/>
        </w:rPr>
      </w:pPr>
      <w:r>
        <w:rPr>
          <w:rFonts w:eastAsia="宋体"/>
          <w:sz w:val="22"/>
          <w:szCs w:val="22"/>
        </w:rPr>
        <w:t>To isolate the drivers of future renewal demand, model inputs were divided into fixed and dynamic variables. Fixed variables include building footprint, floor area, structural type, number of storeys, baseline land occupation and locational accessibility indicators derived from the 2020 spatial structure. Cost and carbon-accounting parameters were also held constant, including urban and rural compensation parameters, unit-area in situ renewal-cost bounds, the demolition-emission coefficient, provincial per-capita residential energy consumption and the standard-coal CO</w:t>
      </w:r>
      <w:r>
        <w:rPr>
          <w:sz w:val="22"/>
          <w:szCs w:val="22"/>
          <w:vertAlign w:val="subscript"/>
        </w:rPr>
        <w:t>2</w:t>
      </w:r>
      <w:r>
        <w:rPr>
          <w:sz w:val="22"/>
          <w:szCs w:val="22"/>
        </w:rPr>
        <w:t xml:space="preserve"> </w:t>
      </w:r>
      <w:r>
        <w:rPr>
          <w:rFonts w:eastAsia="宋体"/>
          <w:sz w:val="22"/>
          <w:szCs w:val="22"/>
        </w:rPr>
        <w:t>emission factor. Costs were evaluated on a common constant-price basis without adjustment for future inflation or market-price changes.</w:t>
      </w:r>
    </w:p>
    <w:p w14:paraId="41DD6882">
      <w:pPr>
        <w:pStyle w:val="30"/>
        <w:ind w:firstLine="420"/>
        <w:rPr>
          <w:rFonts w:eastAsia="宋体"/>
          <w:sz w:val="22"/>
          <w:szCs w:val="22"/>
        </w:rPr>
      </w:pPr>
      <w:r>
        <w:rPr>
          <w:rFonts w:eastAsia="宋体"/>
          <w:sz w:val="22"/>
          <w:szCs w:val="22"/>
        </w:rPr>
        <w:t>Dynamic variables include building age, the age-dependent newness coefficient, building-level population, older-adult population and inverse per-capita residential floor area. These variables were updated annually or at benchmark intervals, allowing renewal priority and the set of buildings entering the renewal-pressure range to change over time.</w:t>
      </w:r>
    </w:p>
    <w:p w14:paraId="65FF0C94">
      <w:pPr>
        <w:pStyle w:val="30"/>
        <w:ind w:firstLine="420"/>
        <w:rPr>
          <w:rFonts w:eastAsia="宋体"/>
          <w:color w:val="000000"/>
          <w:sz w:val="22"/>
          <w:szCs w:val="22"/>
        </w:rPr>
      </w:pPr>
      <w:r>
        <w:rPr>
          <w:rFonts w:eastAsia="宋体"/>
          <w:sz w:val="22"/>
          <w:szCs w:val="22"/>
        </w:rPr>
        <w:t>Under this framework, aggregate costs and emissions change because the number and composition of buildings within the renewal-pressure range change, rather than because unit prices or emission coefficients vary. Operational emissions also respond to scenario-specific population change. The projections should therefore be interpreted as conditional estimates under a stable built form and consistent accounting assumptions, rather than as forecasts of future nominal prices, technological change or urban expansion.</w:t>
      </w:r>
    </w:p>
    <w:bookmarkEnd w:id="37"/>
    <w:p w14:paraId="0492834E">
      <w:pPr>
        <w:pStyle w:val="29"/>
      </w:pPr>
      <w:bookmarkStart w:id="38" w:name="_Toc227181504"/>
      <w:r>
        <w:t>S7.</w:t>
      </w:r>
      <w:r>
        <w:rPr>
          <w:rFonts w:hint="eastAsia"/>
        </w:rPr>
        <w:t>4</w:t>
      </w:r>
      <w:r>
        <w:t xml:space="preserve"> Scope and interpretive limits</w:t>
      </w:r>
      <w:bookmarkEnd w:id="38"/>
    </w:p>
    <w:p w14:paraId="03C3EC48">
      <w:pPr>
        <w:pStyle w:val="30"/>
        <w:spacing w:line="276" w:lineRule="auto"/>
        <w:ind w:firstLine="440"/>
        <w:rPr>
          <w:sz w:val="22"/>
          <w:szCs w:val="22"/>
        </w:rPr>
      </w:pPr>
      <w:r>
        <w:rPr>
          <w:sz w:val="22"/>
          <w:szCs w:val="22"/>
        </w:rPr>
        <w:t>The following assumptions define the analytical boundary and should be retained when interpreting the results.</w:t>
      </w:r>
    </w:p>
    <w:p w14:paraId="0E4C2854">
      <w:pPr>
        <w:pStyle w:val="30"/>
        <w:spacing w:line="276" w:lineRule="auto"/>
        <w:ind w:firstLine="440"/>
        <w:rPr>
          <w:sz w:val="22"/>
          <w:szCs w:val="22"/>
        </w:rPr>
      </w:pPr>
      <w:r>
        <w:rPr>
          <w:sz w:val="22"/>
          <w:szCs w:val="22"/>
        </w:rPr>
        <w:t>First, the model follows the observed 2020 residential stock and does not simulate future construction, adaptive reuse or tenure change. It therefore estimates ageing-related pressure within the current stock, not the full future housing system.</w:t>
      </w:r>
    </w:p>
    <w:p w14:paraId="1AB3CB66">
      <w:pPr>
        <w:pStyle w:val="30"/>
        <w:spacing w:line="276" w:lineRule="auto"/>
        <w:ind w:firstLine="440"/>
        <w:rPr>
          <w:sz w:val="22"/>
          <w:szCs w:val="22"/>
        </w:rPr>
      </w:pPr>
      <w:r>
        <w:rPr>
          <w:sz w:val="22"/>
          <w:szCs w:val="22"/>
        </w:rPr>
        <w:t>Second, CPI is a relative diagnostic, not an engineering-safety assessment or a prediction of implementation. Actual projects depend on ownership, resident preferences, legal procedure, developer participation and fiscal capacity.</w:t>
      </w:r>
    </w:p>
    <w:p w14:paraId="7E8EDA53">
      <w:pPr>
        <w:pStyle w:val="30"/>
        <w:spacing w:line="276" w:lineRule="auto"/>
        <w:ind w:firstLine="440"/>
        <w:rPr>
          <w:sz w:val="22"/>
          <w:szCs w:val="22"/>
        </w:rPr>
      </w:pPr>
      <w:r>
        <w:rPr>
          <w:sz w:val="22"/>
          <w:szCs w:val="22"/>
        </w:rPr>
        <w:t>Third, locational accessibility is held at its 2020 spatial configuration. Future infrastructure investment, rezoning or shifts in urban centrality could alter economic potential in ways not represented here.</w:t>
      </w:r>
    </w:p>
    <w:p w14:paraId="495A8CED">
      <w:pPr>
        <w:pStyle w:val="30"/>
        <w:spacing w:line="276" w:lineRule="auto"/>
        <w:ind w:firstLine="440"/>
        <w:rPr>
          <w:sz w:val="22"/>
          <w:szCs w:val="22"/>
        </w:rPr>
      </w:pPr>
      <w:r>
        <w:rPr>
          <w:sz w:val="22"/>
          <w:szCs w:val="22"/>
        </w:rPr>
        <w:t>Fourth, costs and emissions are benchmark exposures rather than realized outcomes. Negotiated settlements, material reuse, retrofit depth, financing, household behaviour and energy-system change could materially alter project-level results. Demolition-stage and annual operational emissions also have different temporal boundaries and are not a comparative life-cycle assessment.</w:t>
      </w:r>
    </w:p>
    <w:p w14:paraId="31DD33CB">
      <w:pPr>
        <w:pStyle w:val="30"/>
        <w:spacing w:line="276" w:lineRule="auto"/>
        <w:ind w:firstLine="440"/>
        <w:rPr>
          <w:sz w:val="22"/>
          <w:szCs w:val="22"/>
        </w:rPr>
      </w:pPr>
      <w:r>
        <w:rPr>
          <w:sz w:val="22"/>
          <w:szCs w:val="22"/>
        </w:rPr>
        <w:t>Finally, Quanzhou’s quantitative results are context specific. The transferable contribution is the mechanism and workflow: concentrated construction cohorts can produce synchronized ageing, spatially clustered renewal pressure and pathway-dependent fiscal and carbon accounts.</w:t>
      </w:r>
    </w:p>
    <w:p w14:paraId="0E18C878">
      <w:r>
        <w:pict>
          <v:rect id="矩形 7" o:spid="_x0000_s1027" o:spt="1" style="height:0.05pt;width:564.65pt;" filled="f" coordsize="21600,21600">
            <v:path/>
            <v:fill on="f" focussize="0,0"/>
            <v:stroke/>
            <v:imagedata o:title=""/>
            <o:lock v:ext="edit" aspectratio="t"/>
            <w10:wrap type="none"/>
            <w10:anchorlock/>
          </v:rect>
        </w:pict>
      </w:r>
    </w:p>
    <w:p w14:paraId="67CF4F46">
      <w:pPr>
        <w:pStyle w:val="28"/>
      </w:pPr>
      <w:bookmarkStart w:id="39" w:name="_Toc227181505"/>
      <w:r>
        <w:t>S8. Data availability for supplementary analyses</w:t>
      </w:r>
      <w:bookmarkEnd w:id="39"/>
    </w:p>
    <w:p w14:paraId="17212CAA">
      <w:pPr>
        <w:pStyle w:val="30"/>
        <w:spacing w:line="276" w:lineRule="auto"/>
        <w:ind w:firstLine="440"/>
        <w:rPr>
          <w:sz w:val="22"/>
          <w:szCs w:val="22"/>
        </w:rPr>
      </w:pPr>
      <w:r>
        <w:rPr>
          <w:sz w:val="22"/>
          <w:szCs w:val="22"/>
        </w:rPr>
        <w:t>The supplementary analyses reported in this file were derived from the harmonized building-level database and associated spatial and demographic datasets described in Section S1. These data include building attributes, administrative boundary layers, land-use and facility indicators, and village-level demographic inputs used for scenario simulation.</w:t>
      </w:r>
    </w:p>
    <w:p w14:paraId="6EBB2F60">
      <w:pPr>
        <w:pStyle w:val="30"/>
        <w:spacing w:line="276" w:lineRule="auto"/>
        <w:ind w:firstLine="440"/>
        <w:rPr>
          <w:sz w:val="22"/>
          <w:szCs w:val="22"/>
        </w:rPr>
      </w:pPr>
      <w:r>
        <w:rPr>
          <w:color w:val="000000"/>
          <w:sz w:val="22"/>
          <w:szCs w:val="22"/>
        </w:rPr>
        <w:t>Because several underlying datasets originate from government surveys or administrative statistical systems, redistribution of raw building-level records may be subject to data-use restrictions, privacy safeguards or institutional approval requirements. Aggregated outputs and derived indicators supporting the analyses, figures and tables reported in this study are organized in the accompanying data workbook and should be archived with the submitted materials where permitted.</w:t>
      </w:r>
    </w:p>
    <w:p w14:paraId="1E1569DE">
      <w:pPr>
        <w:pStyle w:val="30"/>
        <w:spacing w:line="276" w:lineRule="auto"/>
        <w:ind w:firstLine="440"/>
        <w:rPr>
          <w:sz w:val="22"/>
          <w:szCs w:val="22"/>
        </w:rPr>
      </w:pPr>
      <w:r>
        <w:rPr>
          <w:sz w:val="22"/>
          <w:szCs w:val="22"/>
        </w:rPr>
        <w:t xml:space="preserve">All procedures required to reproduce the supplementary results are described in Sections S2–S7. The accompanying source-data workbook contains the policy threshold, baseline and projected stock, new-cohort outputs, pathway costs, carbon accounts, parameter provenance and table-ready results for </w:t>
      </w:r>
      <w:r>
        <w:rPr>
          <w:color w:val="0070A8"/>
          <w:sz w:val="22"/>
          <w:szCs w:val="22"/>
        </w:rPr>
        <w:t>Supplementary Tables 1–15</w:t>
      </w:r>
      <w:r>
        <w:rPr>
          <w:sz w:val="22"/>
          <w:szCs w:val="22"/>
        </w:rPr>
        <w:t>.</w:t>
      </w:r>
    </w:p>
    <w:p w14:paraId="368B2405">
      <w:r>
        <w:pict>
          <v:rect id="矩形 5" o:spid="_x0000_s1026" o:spt="1" style="height:0.05pt;width:564.65pt;" filled="f" coordsize="21600,21600">
            <v:path/>
            <v:fill on="f" focussize="0,0"/>
            <v:stroke/>
            <v:imagedata o:title=""/>
            <o:lock v:ext="edit" aspectratio="t"/>
            <w10:wrap type="none"/>
            <w10:anchorlock/>
          </v:rect>
        </w:pict>
      </w:r>
    </w:p>
    <w:p w14:paraId="12F19A67">
      <w:pPr>
        <w:pStyle w:val="27"/>
      </w:pPr>
      <w:bookmarkStart w:id="40" w:name="_Toc227181506"/>
      <w:bookmarkStart w:id="41" w:name="OLE_LINK5"/>
      <w:r>
        <w:t>Supplementary Figures</w:t>
      </w:r>
      <w:bookmarkEnd w:id="40"/>
    </w:p>
    <w:bookmarkEnd w:id="41"/>
    <w:p w14:paraId="59BD18F0">
      <w:pPr>
        <w:pStyle w:val="36"/>
        <w:keepNext/>
        <w:keepLines/>
      </w:pPr>
      <w:r>
        <w:rPr>
          <w:rFonts w:hint="eastAsia"/>
        </w:rPr>
        <w:drawing>
          <wp:inline distT="0" distB="0" distL="114300" distR="114300">
            <wp:extent cx="7010400" cy="4981575"/>
            <wp:effectExtent l="0" t="0" r="0" b="9525"/>
            <wp:docPr id="2" name="图片 2" descr="2.1研究区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1研究区域"/>
                    <pic:cNvPicPr>
                      <a:picLocks noChangeAspect="1"/>
                    </pic:cNvPicPr>
                  </pic:nvPicPr>
                  <pic:blipFill>
                    <a:blip r:embed="rId10"/>
                    <a:srcRect b="5236"/>
                    <a:stretch>
                      <a:fillRect/>
                    </a:stretch>
                  </pic:blipFill>
                  <pic:spPr>
                    <a:xfrm>
                      <a:off x="0" y="0"/>
                      <a:ext cx="7124602" cy="5062760"/>
                    </a:xfrm>
                    <a:prstGeom prst="rect">
                      <a:avLst/>
                    </a:prstGeom>
                    <a:ln>
                      <a:noFill/>
                    </a:ln>
                  </pic:spPr>
                </pic:pic>
              </a:graphicData>
            </a:graphic>
          </wp:inline>
        </w:drawing>
      </w:r>
    </w:p>
    <w:p w14:paraId="46729FE1">
      <w:pPr>
        <w:pStyle w:val="32"/>
        <w:rPr>
          <w:rFonts w:ascii="宋体" w:hAnsi="宋体" w:eastAsia="宋体" w:cs="宋体"/>
        </w:rPr>
      </w:pPr>
      <w:r>
        <w:t>Supplementary Fig. 1 | Geographic context and administrative structure of the study area. a, Location of Fujian Province in China. b, Distribution of urban and rural residential buildings across Quanzhou. c, Administrative divisions of Quanzhou within Fujian Province.</w:t>
      </w:r>
    </w:p>
    <w:p w14:paraId="366C5BC5">
      <w:pPr>
        <w:pStyle w:val="36"/>
        <w:keepNext/>
        <w:keepLines/>
      </w:pPr>
      <w:r>
        <w:drawing>
          <wp:inline distT="0" distB="0" distL="0" distR="0">
            <wp:extent cx="4867275" cy="4841240"/>
            <wp:effectExtent l="0" t="0" r="0" b="3175"/>
            <wp:docPr id="153744750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47502" name="图片 3"/>
                    <pic:cNvPicPr>
                      <a:picLocks noChangeAspect="1"/>
                    </pic:cNvPicPr>
                  </pic:nvPicPr>
                  <pic:blipFill>
                    <a:blip r:embed="rId11"/>
                    <a:stretch>
                      <a:fillRect/>
                    </a:stretch>
                  </pic:blipFill>
                  <pic:spPr>
                    <a:xfrm>
                      <a:off x="0" y="0"/>
                      <a:ext cx="4867808" cy="4841557"/>
                    </a:xfrm>
                    <a:prstGeom prst="rect">
                      <a:avLst/>
                    </a:prstGeom>
                  </pic:spPr>
                </pic:pic>
              </a:graphicData>
            </a:graphic>
          </wp:inline>
        </w:drawing>
      </w:r>
    </w:p>
    <w:p w14:paraId="76097705">
      <w:pPr>
        <w:pStyle w:val="32"/>
      </w:pPr>
      <w:r>
        <w:t>Supplementary Fig. 2 | Conceptual structure of the Comprehensive Urban Renewal Priority Index. The CPI combines physical potential, economic potential and social need. The outer ring lists the nine building-level indicators; entropy weights are estimated within dimensions and the three dimension scores receive equal weights in the final index.</w:t>
      </w:r>
    </w:p>
    <w:p w14:paraId="6427EE94">
      <w:pPr>
        <w:jc w:val="left"/>
      </w:pPr>
      <w:r>
        <w:br w:type="page"/>
      </w:r>
    </w:p>
    <w:p w14:paraId="6AF89607">
      <w:pPr>
        <w:pStyle w:val="36"/>
        <w:keepNext/>
        <w:keepLines/>
      </w:pPr>
      <w:r>
        <w:drawing>
          <wp:inline distT="0" distB="0" distL="0" distR="0">
            <wp:extent cx="7087235" cy="4732020"/>
            <wp:effectExtent l="0" t="0" r="0" b="0"/>
            <wp:docPr id="10183443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44342" name="图片 2"/>
                    <pic:cNvPicPr>
                      <a:picLocks noChangeAspect="1"/>
                    </pic:cNvPicPr>
                  </pic:nvPicPr>
                  <pic:blipFill>
                    <a:blip r:embed="rId12"/>
                    <a:stretch>
                      <a:fillRect/>
                    </a:stretch>
                  </pic:blipFill>
                  <pic:spPr>
                    <a:xfrm>
                      <a:off x="0" y="0"/>
                      <a:ext cx="7112560" cy="4748847"/>
                    </a:xfrm>
                    <a:prstGeom prst="rect">
                      <a:avLst/>
                    </a:prstGeom>
                  </pic:spPr>
                </pic:pic>
              </a:graphicData>
            </a:graphic>
          </wp:inline>
        </w:drawing>
      </w:r>
    </w:p>
    <w:p w14:paraId="5DA08AD2">
      <w:pPr>
        <w:pStyle w:val="32"/>
      </w:pPr>
      <w:r>
        <w:t>Supplementary Fig. 3 | Baseline urban and rural residential building stock, 1980–2020. Panels compare construction-period distributions, building counts, land and floor area, mean height, mean storeys and structural composition for urban and rural housing.</w:t>
      </w:r>
    </w:p>
    <w:p w14:paraId="72FA72ED">
      <w:pPr>
        <w:pStyle w:val="36"/>
        <w:keepNext/>
        <w:keepLines/>
      </w:pPr>
      <w:r>
        <w:br w:type="page"/>
      </w:r>
      <w:r>
        <w:drawing>
          <wp:inline distT="0" distB="0" distL="0" distR="0">
            <wp:extent cx="5411470" cy="5685155"/>
            <wp:effectExtent l="0" t="0" r="0" b="4445"/>
            <wp:docPr id="9153792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79257" name="图片 1"/>
                    <pic:cNvPicPr>
                      <a:picLocks noChangeAspect="1"/>
                    </pic:cNvPicPr>
                  </pic:nvPicPr>
                  <pic:blipFill>
                    <a:blip r:embed="rId13"/>
                    <a:stretch>
                      <a:fillRect/>
                    </a:stretch>
                  </pic:blipFill>
                  <pic:spPr>
                    <a:xfrm>
                      <a:off x="0" y="0"/>
                      <a:ext cx="5441866" cy="5716837"/>
                    </a:xfrm>
                    <a:prstGeom prst="rect">
                      <a:avLst/>
                    </a:prstGeom>
                  </pic:spPr>
                </pic:pic>
              </a:graphicData>
            </a:graphic>
          </wp:inline>
        </w:drawing>
      </w:r>
    </w:p>
    <w:p w14:paraId="0D17E9BC">
      <w:pPr>
        <w:pStyle w:val="32"/>
      </w:pPr>
      <w:r>
        <w:t>Supplementary Fig. 4 | Structural transition in urban and rural residential stock, 1980–2020. Panels show changes in the area of steel, reinforced-concrete, masonry, timber and other structures by settlement type.</w:t>
      </w:r>
    </w:p>
    <w:p w14:paraId="696E79AE">
      <w:pPr>
        <w:jc w:val="left"/>
        <w:rPr>
          <w:rFonts w:cstheme="minorBidi"/>
          <w:kern w:val="2"/>
        </w:rPr>
      </w:pPr>
      <w:r>
        <w:br w:type="page"/>
      </w:r>
    </w:p>
    <w:p w14:paraId="4E3F04BE">
      <w:pPr>
        <w:pStyle w:val="36"/>
        <w:keepNext/>
        <w:keepLines/>
      </w:pPr>
      <w:r>
        <w:drawing>
          <wp:inline distT="0" distB="0" distL="0" distR="0">
            <wp:extent cx="5605145" cy="5231130"/>
            <wp:effectExtent l="0" t="0" r="0" b="1270"/>
            <wp:docPr id="11933458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45814" name="图片 4"/>
                    <pic:cNvPicPr>
                      <a:picLocks noChangeAspect="1"/>
                    </pic:cNvPicPr>
                  </pic:nvPicPr>
                  <pic:blipFill>
                    <a:blip r:embed="rId14"/>
                    <a:stretch>
                      <a:fillRect/>
                    </a:stretch>
                  </pic:blipFill>
                  <pic:spPr>
                    <a:xfrm>
                      <a:off x="0" y="0"/>
                      <a:ext cx="5631549" cy="5255985"/>
                    </a:xfrm>
                    <a:prstGeom prst="rect">
                      <a:avLst/>
                    </a:prstGeom>
                  </pic:spPr>
                </pic:pic>
              </a:graphicData>
            </a:graphic>
          </wp:inline>
        </w:drawing>
      </w:r>
    </w:p>
    <w:p w14:paraId="62A5C284">
      <w:pPr>
        <w:pStyle w:val="32"/>
      </w:pPr>
      <w:r>
        <w:t>Supplementary Fig. 5 | Structural composition of newly added residential buildings by construction period. The Sankey diagram links construction decades to structural types and distinguishes the changing composition of successive housing cohorts from 1980 to 2020.</w:t>
      </w:r>
    </w:p>
    <w:p w14:paraId="0C242576">
      <w:pPr>
        <w:jc w:val="left"/>
        <w:rPr>
          <w:rFonts w:cstheme="minorBidi"/>
          <w:kern w:val="2"/>
        </w:rPr>
      </w:pPr>
      <w:r>
        <w:br w:type="page"/>
      </w:r>
    </w:p>
    <w:p w14:paraId="61BDDBBC">
      <w:pPr>
        <w:pStyle w:val="36"/>
        <w:keepNext/>
        <w:keepLines/>
      </w:pPr>
      <w:r>
        <w:drawing>
          <wp:inline distT="0" distB="0" distL="0" distR="0">
            <wp:extent cx="7258050" cy="4432935"/>
            <wp:effectExtent l="0" t="0" r="0" b="0"/>
            <wp:docPr id="3109674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67426" name="图片 1"/>
                    <pic:cNvPicPr>
                      <a:picLocks noChangeAspect="1"/>
                    </pic:cNvPicPr>
                  </pic:nvPicPr>
                  <pic:blipFill>
                    <a:blip r:embed="rId15"/>
                    <a:stretch>
                      <a:fillRect/>
                    </a:stretch>
                  </pic:blipFill>
                  <pic:spPr>
                    <a:xfrm>
                      <a:off x="0" y="0"/>
                      <a:ext cx="7354395" cy="4491905"/>
                    </a:xfrm>
                    <a:prstGeom prst="rect">
                      <a:avLst/>
                    </a:prstGeom>
                  </pic:spPr>
                </pic:pic>
              </a:graphicData>
            </a:graphic>
          </wp:inline>
        </w:drawing>
      </w:r>
    </w:p>
    <w:p w14:paraId="4BA39A28">
      <w:pPr>
        <w:pStyle w:val="32"/>
      </w:pPr>
      <w:r>
        <w:t>Supplementary Fig. 6 | Structural composition of newly added urban residential buildings. Polar panels compare steel, reinforced-concrete, masonry, timber and other structures across the 1980s, 1990s, 2000s and 2010s; radial magnitude represents newly added building area.</w:t>
      </w:r>
    </w:p>
    <w:p w14:paraId="5E5DC8B8">
      <w:pPr>
        <w:jc w:val="left"/>
        <w:rPr>
          <w:rFonts w:cstheme="minorBidi"/>
          <w:kern w:val="2"/>
        </w:rPr>
      </w:pPr>
      <w:r>
        <w:br w:type="page"/>
      </w:r>
    </w:p>
    <w:p w14:paraId="4EEA3307">
      <w:pPr>
        <w:pStyle w:val="36"/>
        <w:keepNext/>
        <w:keepLines/>
      </w:pPr>
      <w:r>
        <w:drawing>
          <wp:inline distT="0" distB="0" distL="0" distR="0">
            <wp:extent cx="7430135" cy="4513580"/>
            <wp:effectExtent l="0" t="0" r="0" b="0"/>
            <wp:docPr id="129221120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11202" name="图片 5"/>
                    <pic:cNvPicPr>
                      <a:picLocks noChangeAspect="1"/>
                    </pic:cNvPicPr>
                  </pic:nvPicPr>
                  <pic:blipFill>
                    <a:blip r:embed="rId16"/>
                    <a:stretch>
                      <a:fillRect/>
                    </a:stretch>
                  </pic:blipFill>
                  <pic:spPr>
                    <a:xfrm>
                      <a:off x="0" y="0"/>
                      <a:ext cx="7454262" cy="4528619"/>
                    </a:xfrm>
                    <a:prstGeom prst="rect">
                      <a:avLst/>
                    </a:prstGeom>
                  </pic:spPr>
                </pic:pic>
              </a:graphicData>
            </a:graphic>
          </wp:inline>
        </w:drawing>
      </w:r>
    </w:p>
    <w:p w14:paraId="6BDA82FE">
      <w:pPr>
        <w:pStyle w:val="32"/>
      </w:pPr>
      <w:r>
        <w:t>Supplementary Fig. 7 | Structural composition of newly added rural residential buildings. Polar panels compare steel, reinforced-concrete, masonry, timber and other structures across the 1980s, 1990s, 2000s and 2010s; radial magnitude represents newly added building area.</w:t>
      </w:r>
    </w:p>
    <w:p w14:paraId="38E03D24">
      <w:pPr>
        <w:jc w:val="left"/>
        <w:rPr>
          <w:b/>
          <w:bCs/>
          <w:sz w:val="28"/>
          <w:szCs w:val="28"/>
        </w:rPr>
      </w:pPr>
      <w:r>
        <w:br w:type="page"/>
      </w:r>
    </w:p>
    <w:p w14:paraId="0D965317">
      <w:pPr>
        <w:pStyle w:val="27"/>
      </w:pPr>
      <w:r>
        <w:t xml:space="preserve">Supplementary </w:t>
      </w:r>
      <w:r>
        <w:rPr>
          <w:rFonts w:hint="eastAsia"/>
        </w:rPr>
        <w:t>Tables</w:t>
      </w:r>
    </w:p>
    <w:p w14:paraId="5AFE57FF">
      <w:pPr>
        <w:pStyle w:val="33"/>
      </w:pPr>
      <w:r>
        <w:t>Supplementary Table 1 | Indicator framework and final weights for residential renewal priority.</w:t>
      </w:r>
    </w:p>
    <w:tbl>
      <w:tblPr>
        <w:tblStyle w:val="6"/>
        <w:tblW w:w="11290" w:type="dxa"/>
        <w:tblInd w:w="0" w:type="dxa"/>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Layout w:type="fixed"/>
        <w:tblCellMar>
          <w:top w:w="40" w:type="dxa"/>
          <w:left w:w="55" w:type="dxa"/>
          <w:bottom w:w="40" w:type="dxa"/>
          <w:right w:w="55" w:type="dxa"/>
        </w:tblCellMar>
      </w:tblPr>
      <w:tblGrid>
        <w:gridCol w:w="993"/>
        <w:gridCol w:w="1707"/>
        <w:gridCol w:w="2500"/>
        <w:gridCol w:w="800"/>
        <w:gridCol w:w="1250"/>
        <w:gridCol w:w="1200"/>
        <w:gridCol w:w="2840"/>
      </w:tblGrid>
      <w:tr w14:paraId="67EB8E55">
        <w:trPr>
          <w:cantSplit/>
          <w:tblHeader/>
        </w:trPr>
        <w:tc>
          <w:tcPr>
            <w:tcW w:w="993" w:type="dxa"/>
            <w:tcBorders>
              <w:top w:val="single" w:color="auto" w:sz="4" w:space="0"/>
              <w:bottom w:val="single" w:color="auto" w:sz="4" w:space="0"/>
            </w:tcBorders>
            <w:vAlign w:val="center"/>
          </w:tcPr>
          <w:p w14:paraId="6A82A5C7">
            <w:pPr>
              <w:pStyle w:val="36"/>
              <w:spacing w:line="192" w:lineRule="auto"/>
            </w:pPr>
            <w:r>
              <w:t>Dimension</w:t>
            </w:r>
          </w:p>
        </w:tc>
        <w:tc>
          <w:tcPr>
            <w:tcW w:w="1707" w:type="dxa"/>
            <w:tcBorders>
              <w:top w:val="single" w:color="auto" w:sz="4" w:space="0"/>
              <w:bottom w:val="single" w:color="auto" w:sz="4" w:space="0"/>
            </w:tcBorders>
            <w:vAlign w:val="center"/>
          </w:tcPr>
          <w:p w14:paraId="311EC2D2">
            <w:pPr>
              <w:pStyle w:val="36"/>
              <w:spacing w:line="192" w:lineRule="auto"/>
            </w:pPr>
            <w:r>
              <w:t>Indicator</w:t>
            </w:r>
          </w:p>
        </w:tc>
        <w:tc>
          <w:tcPr>
            <w:tcW w:w="2500" w:type="dxa"/>
            <w:tcBorders>
              <w:top w:val="single" w:color="auto" w:sz="4" w:space="0"/>
              <w:bottom w:val="single" w:color="auto" w:sz="4" w:space="0"/>
            </w:tcBorders>
            <w:vAlign w:val="center"/>
          </w:tcPr>
          <w:p w14:paraId="0424D1FA">
            <w:pPr>
              <w:pStyle w:val="36"/>
              <w:spacing w:line="192" w:lineRule="auto"/>
            </w:pPr>
            <w:r>
              <w:t>Definition</w:t>
            </w:r>
          </w:p>
        </w:tc>
        <w:tc>
          <w:tcPr>
            <w:tcW w:w="800" w:type="dxa"/>
            <w:tcBorders>
              <w:top w:val="single" w:color="auto" w:sz="4" w:space="0"/>
              <w:bottom w:val="single" w:color="auto" w:sz="4" w:space="0"/>
            </w:tcBorders>
            <w:vAlign w:val="center"/>
          </w:tcPr>
          <w:p w14:paraId="13981593">
            <w:pPr>
              <w:pStyle w:val="36"/>
              <w:spacing w:line="192" w:lineRule="auto"/>
            </w:pPr>
            <w:r>
              <w:t>Unit</w:t>
            </w:r>
          </w:p>
        </w:tc>
        <w:tc>
          <w:tcPr>
            <w:tcW w:w="1250" w:type="dxa"/>
            <w:tcBorders>
              <w:top w:val="single" w:color="auto" w:sz="4" w:space="0"/>
              <w:bottom w:val="single" w:color="auto" w:sz="4" w:space="0"/>
            </w:tcBorders>
            <w:vAlign w:val="center"/>
          </w:tcPr>
          <w:p w14:paraId="4C807341">
            <w:pPr>
              <w:pStyle w:val="36"/>
              <w:spacing w:line="192" w:lineRule="auto"/>
            </w:pPr>
            <w:r>
              <w:rPr>
                <w:lang w:bidi="ar"/>
              </w:rPr>
              <w:t>Weight</w:t>
            </w:r>
          </w:p>
        </w:tc>
        <w:tc>
          <w:tcPr>
            <w:tcW w:w="1200" w:type="dxa"/>
            <w:tcBorders>
              <w:top w:val="single" w:color="auto" w:sz="4" w:space="0"/>
              <w:bottom w:val="single" w:color="auto" w:sz="4" w:space="0"/>
            </w:tcBorders>
            <w:vAlign w:val="center"/>
          </w:tcPr>
          <w:p w14:paraId="76D2700F">
            <w:pPr>
              <w:pStyle w:val="36"/>
              <w:spacing w:line="192" w:lineRule="auto"/>
            </w:pPr>
            <w:r>
              <w:t>Direction</w:t>
            </w:r>
          </w:p>
        </w:tc>
        <w:tc>
          <w:tcPr>
            <w:tcW w:w="2840" w:type="dxa"/>
            <w:tcBorders>
              <w:top w:val="single" w:color="auto" w:sz="4" w:space="0"/>
              <w:bottom w:val="single" w:color="auto" w:sz="4" w:space="0"/>
            </w:tcBorders>
            <w:vAlign w:val="center"/>
          </w:tcPr>
          <w:p w14:paraId="0221DB6D">
            <w:pPr>
              <w:pStyle w:val="36"/>
              <w:spacing w:line="192" w:lineRule="auto"/>
            </w:pPr>
            <w:r>
              <w:t>Rationale</w:t>
            </w:r>
          </w:p>
        </w:tc>
      </w:tr>
      <w:tr w14:paraId="661F77D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93" w:type="dxa"/>
            <w:vMerge w:val="restart"/>
            <w:tcBorders>
              <w:top w:val="single" w:color="auto" w:sz="4" w:space="0"/>
            </w:tcBorders>
            <w:vAlign w:val="center"/>
          </w:tcPr>
          <w:p w14:paraId="52C03363">
            <w:pPr>
              <w:pStyle w:val="37"/>
              <w:spacing w:line="192" w:lineRule="auto"/>
              <w:rPr>
                <w:rFonts w:eastAsia="宋体"/>
                <w:szCs w:val="22"/>
              </w:rPr>
            </w:pPr>
            <w:r>
              <w:rPr>
                <w:szCs w:val="22"/>
                <w:lang w:bidi="ar"/>
              </w:rPr>
              <w:t>Physical potential</w:t>
            </w:r>
          </w:p>
        </w:tc>
        <w:tc>
          <w:tcPr>
            <w:tcW w:w="1707" w:type="dxa"/>
            <w:tcBorders>
              <w:top w:val="single" w:color="auto" w:sz="4" w:space="0"/>
            </w:tcBorders>
            <w:vAlign w:val="center"/>
          </w:tcPr>
          <w:p w14:paraId="32804C02">
            <w:pPr>
              <w:pStyle w:val="37"/>
              <w:spacing w:line="192" w:lineRule="auto"/>
              <w:rPr>
                <w:rFonts w:eastAsia="宋体"/>
                <w:szCs w:val="22"/>
              </w:rPr>
            </w:pPr>
            <w:r>
              <w:rPr>
                <w:szCs w:val="22"/>
                <w:lang w:bidi="ar"/>
              </w:rPr>
              <w:t>Building age</w:t>
            </w:r>
          </w:p>
        </w:tc>
        <w:tc>
          <w:tcPr>
            <w:tcW w:w="2500" w:type="dxa"/>
            <w:tcBorders>
              <w:top w:val="single" w:color="auto" w:sz="4" w:space="0"/>
            </w:tcBorders>
            <w:vAlign w:val="center"/>
          </w:tcPr>
          <w:p w14:paraId="7EF0C9E8">
            <w:pPr>
              <w:pStyle w:val="37"/>
              <w:spacing w:line="192" w:lineRule="auto"/>
              <w:rPr>
                <w:rFonts w:eastAsia="宋体"/>
                <w:szCs w:val="22"/>
              </w:rPr>
            </w:pPr>
            <w:r>
              <w:rPr>
                <w:szCs w:val="22"/>
                <w:lang w:bidi="ar"/>
              </w:rPr>
              <w:t>Construction year converted to building age</w:t>
            </w:r>
          </w:p>
        </w:tc>
        <w:tc>
          <w:tcPr>
            <w:tcW w:w="800" w:type="dxa"/>
            <w:tcBorders>
              <w:top w:val="single" w:color="auto" w:sz="4" w:space="0"/>
            </w:tcBorders>
            <w:vAlign w:val="center"/>
          </w:tcPr>
          <w:p w14:paraId="767EB9AC">
            <w:pPr>
              <w:pStyle w:val="37"/>
              <w:spacing w:line="192" w:lineRule="auto"/>
              <w:rPr>
                <w:rFonts w:eastAsia="宋体"/>
                <w:szCs w:val="22"/>
              </w:rPr>
            </w:pPr>
            <w:r>
              <w:rPr>
                <w:szCs w:val="22"/>
                <w:lang w:bidi="ar"/>
              </w:rPr>
              <w:t>years</w:t>
            </w:r>
          </w:p>
        </w:tc>
        <w:tc>
          <w:tcPr>
            <w:tcW w:w="1250" w:type="dxa"/>
            <w:tcBorders>
              <w:top w:val="single" w:color="auto" w:sz="4" w:space="0"/>
            </w:tcBorders>
            <w:vAlign w:val="center"/>
          </w:tcPr>
          <w:p w14:paraId="76A5E701">
            <w:pPr>
              <w:pStyle w:val="37"/>
              <w:spacing w:line="192" w:lineRule="auto"/>
              <w:rPr>
                <w:rFonts w:eastAsia="宋体"/>
                <w:szCs w:val="22"/>
              </w:rPr>
            </w:pPr>
            <w:r>
              <w:rPr>
                <w:szCs w:val="22"/>
                <w:lang w:bidi="ar"/>
              </w:rPr>
              <w:t>5.53%</w:t>
            </w:r>
          </w:p>
        </w:tc>
        <w:tc>
          <w:tcPr>
            <w:tcW w:w="1200" w:type="dxa"/>
            <w:tcBorders>
              <w:top w:val="single" w:color="auto" w:sz="4" w:space="0"/>
            </w:tcBorders>
            <w:vAlign w:val="center"/>
          </w:tcPr>
          <w:p w14:paraId="559C0461">
            <w:pPr>
              <w:pStyle w:val="37"/>
              <w:spacing w:line="192" w:lineRule="auto"/>
              <w:rPr>
                <w:rFonts w:eastAsia="宋体"/>
                <w:szCs w:val="22"/>
              </w:rPr>
            </w:pPr>
            <w:r>
              <w:rPr>
                <w:szCs w:val="22"/>
                <w:lang w:bidi="ar"/>
              </w:rPr>
              <w:t>+</w:t>
            </w:r>
          </w:p>
        </w:tc>
        <w:tc>
          <w:tcPr>
            <w:tcW w:w="2840" w:type="dxa"/>
            <w:tcBorders>
              <w:top w:val="single" w:color="auto" w:sz="4" w:space="0"/>
            </w:tcBorders>
            <w:vAlign w:val="center"/>
          </w:tcPr>
          <w:p w14:paraId="5D60D02F">
            <w:pPr>
              <w:pStyle w:val="37"/>
              <w:spacing w:line="192" w:lineRule="auto"/>
              <w:rPr>
                <w:rFonts w:eastAsia="宋体"/>
                <w:szCs w:val="22"/>
              </w:rPr>
            </w:pPr>
            <w:r>
              <w:rPr>
                <w:szCs w:val="22"/>
                <w:lang w:bidi="ar"/>
              </w:rPr>
              <w:t>Older buildings are more likely to require renewal</w:t>
            </w:r>
          </w:p>
        </w:tc>
      </w:tr>
      <w:tr w14:paraId="63F9BDB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93" w:type="dxa"/>
            <w:vMerge w:val="continue"/>
            <w:vAlign w:val="center"/>
          </w:tcPr>
          <w:p w14:paraId="604521A2">
            <w:pPr>
              <w:pStyle w:val="37"/>
              <w:rPr>
                <w:rFonts w:eastAsia="宋体"/>
                <w:szCs w:val="22"/>
              </w:rPr>
            </w:pPr>
          </w:p>
        </w:tc>
        <w:tc>
          <w:tcPr>
            <w:tcW w:w="1707" w:type="dxa"/>
            <w:vAlign w:val="center"/>
          </w:tcPr>
          <w:p w14:paraId="57283C56">
            <w:pPr>
              <w:pStyle w:val="37"/>
              <w:spacing w:line="192" w:lineRule="auto"/>
              <w:rPr>
                <w:rFonts w:eastAsia="宋体"/>
                <w:szCs w:val="22"/>
              </w:rPr>
            </w:pPr>
            <w:r>
              <w:rPr>
                <w:szCs w:val="22"/>
                <w:lang w:bidi="ar"/>
              </w:rPr>
              <w:t>Structural vulnerability</w:t>
            </w:r>
          </w:p>
        </w:tc>
        <w:tc>
          <w:tcPr>
            <w:tcW w:w="2500" w:type="dxa"/>
            <w:vAlign w:val="center"/>
          </w:tcPr>
          <w:p w14:paraId="3D9F8C14">
            <w:pPr>
              <w:pStyle w:val="37"/>
              <w:spacing w:line="192" w:lineRule="auto"/>
              <w:rPr>
                <w:rFonts w:eastAsia="宋体"/>
                <w:szCs w:val="22"/>
              </w:rPr>
            </w:pPr>
            <w:r>
              <w:rPr>
                <w:szCs w:val="22"/>
                <w:lang w:bidi="ar"/>
              </w:rPr>
              <w:t>Vulnerability coefficient by structural type</w:t>
            </w:r>
          </w:p>
        </w:tc>
        <w:tc>
          <w:tcPr>
            <w:tcW w:w="800" w:type="dxa"/>
            <w:vAlign w:val="center"/>
          </w:tcPr>
          <w:p w14:paraId="2CCDB721">
            <w:pPr>
              <w:pStyle w:val="37"/>
              <w:spacing w:line="192" w:lineRule="auto"/>
              <w:rPr>
                <w:rFonts w:eastAsia="宋体"/>
                <w:szCs w:val="22"/>
              </w:rPr>
            </w:pPr>
            <w:r>
              <w:rPr>
                <w:szCs w:val="22"/>
                <w:lang w:bidi="ar"/>
              </w:rPr>
              <w:t>unitless</w:t>
            </w:r>
          </w:p>
        </w:tc>
        <w:tc>
          <w:tcPr>
            <w:tcW w:w="1250" w:type="dxa"/>
            <w:vAlign w:val="center"/>
          </w:tcPr>
          <w:p w14:paraId="6AF73AFD">
            <w:pPr>
              <w:pStyle w:val="37"/>
              <w:spacing w:line="192" w:lineRule="auto"/>
              <w:rPr>
                <w:rFonts w:eastAsia="宋体"/>
                <w:szCs w:val="22"/>
              </w:rPr>
            </w:pPr>
            <w:r>
              <w:rPr>
                <w:szCs w:val="22"/>
                <w:lang w:bidi="ar"/>
              </w:rPr>
              <w:t>11.72%</w:t>
            </w:r>
          </w:p>
        </w:tc>
        <w:tc>
          <w:tcPr>
            <w:tcW w:w="1200" w:type="dxa"/>
            <w:vAlign w:val="center"/>
          </w:tcPr>
          <w:p w14:paraId="299ED91F">
            <w:pPr>
              <w:pStyle w:val="37"/>
              <w:spacing w:line="192" w:lineRule="auto"/>
              <w:rPr>
                <w:rFonts w:eastAsia="宋体"/>
                <w:szCs w:val="22"/>
              </w:rPr>
            </w:pPr>
            <w:r>
              <w:rPr>
                <w:szCs w:val="22"/>
                <w:lang w:bidi="ar"/>
              </w:rPr>
              <w:t>+</w:t>
            </w:r>
          </w:p>
        </w:tc>
        <w:tc>
          <w:tcPr>
            <w:tcW w:w="2840" w:type="dxa"/>
            <w:vAlign w:val="center"/>
          </w:tcPr>
          <w:p w14:paraId="4DFC529A">
            <w:pPr>
              <w:pStyle w:val="37"/>
              <w:spacing w:line="192" w:lineRule="auto"/>
              <w:rPr>
                <w:rFonts w:eastAsia="宋体"/>
                <w:szCs w:val="22"/>
              </w:rPr>
            </w:pPr>
            <w:r>
              <w:rPr>
                <w:szCs w:val="22"/>
                <w:lang w:bidi="ar"/>
              </w:rPr>
              <w:t>Greater vulnerability increases renewal urgency</w:t>
            </w:r>
          </w:p>
        </w:tc>
      </w:tr>
      <w:tr w14:paraId="2FFB45C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93" w:type="dxa"/>
            <w:vMerge w:val="continue"/>
            <w:vAlign w:val="center"/>
          </w:tcPr>
          <w:p w14:paraId="7EEF8179">
            <w:pPr>
              <w:pStyle w:val="37"/>
              <w:rPr>
                <w:rFonts w:eastAsia="宋体"/>
                <w:szCs w:val="22"/>
              </w:rPr>
            </w:pPr>
          </w:p>
        </w:tc>
        <w:tc>
          <w:tcPr>
            <w:tcW w:w="1707" w:type="dxa"/>
            <w:vAlign w:val="center"/>
          </w:tcPr>
          <w:p w14:paraId="4546EC0D">
            <w:pPr>
              <w:pStyle w:val="37"/>
              <w:spacing w:line="192" w:lineRule="auto"/>
              <w:rPr>
                <w:rFonts w:eastAsia="宋体"/>
                <w:szCs w:val="22"/>
              </w:rPr>
            </w:pPr>
            <w:r>
              <w:rPr>
                <w:szCs w:val="22"/>
                <w:lang w:bidi="ar"/>
              </w:rPr>
              <w:t>Number of storeys</w:t>
            </w:r>
          </w:p>
        </w:tc>
        <w:tc>
          <w:tcPr>
            <w:tcW w:w="2500" w:type="dxa"/>
            <w:vAlign w:val="center"/>
          </w:tcPr>
          <w:p w14:paraId="4CDA9A8B">
            <w:pPr>
              <w:pStyle w:val="37"/>
              <w:spacing w:line="192" w:lineRule="auto"/>
              <w:rPr>
                <w:rFonts w:eastAsia="宋体"/>
                <w:szCs w:val="22"/>
              </w:rPr>
            </w:pPr>
            <w:r>
              <w:rPr>
                <w:szCs w:val="22"/>
                <w:lang w:bidi="ar"/>
              </w:rPr>
              <w:t>Building height intensity measured by storeys</w:t>
            </w:r>
          </w:p>
        </w:tc>
        <w:tc>
          <w:tcPr>
            <w:tcW w:w="800" w:type="dxa"/>
            <w:vAlign w:val="center"/>
          </w:tcPr>
          <w:p w14:paraId="7967AEF1">
            <w:pPr>
              <w:pStyle w:val="37"/>
              <w:spacing w:line="192" w:lineRule="auto"/>
              <w:rPr>
                <w:rFonts w:eastAsia="宋体"/>
                <w:szCs w:val="22"/>
              </w:rPr>
            </w:pPr>
            <w:r>
              <w:rPr>
                <w:szCs w:val="22"/>
                <w:lang w:bidi="ar"/>
              </w:rPr>
              <w:t>storeys</w:t>
            </w:r>
          </w:p>
        </w:tc>
        <w:tc>
          <w:tcPr>
            <w:tcW w:w="1250" w:type="dxa"/>
            <w:vAlign w:val="center"/>
          </w:tcPr>
          <w:p w14:paraId="19AF5BB3">
            <w:pPr>
              <w:pStyle w:val="37"/>
              <w:spacing w:line="192" w:lineRule="auto"/>
              <w:rPr>
                <w:rFonts w:eastAsia="宋体"/>
                <w:szCs w:val="22"/>
              </w:rPr>
            </w:pPr>
            <w:r>
              <w:rPr>
                <w:szCs w:val="22"/>
                <w:lang w:bidi="ar"/>
              </w:rPr>
              <w:t>16.08%</w:t>
            </w:r>
          </w:p>
        </w:tc>
        <w:tc>
          <w:tcPr>
            <w:tcW w:w="1200" w:type="dxa"/>
            <w:vAlign w:val="center"/>
          </w:tcPr>
          <w:p w14:paraId="775D9726">
            <w:pPr>
              <w:pStyle w:val="37"/>
              <w:spacing w:line="192" w:lineRule="auto"/>
              <w:rPr>
                <w:rFonts w:eastAsia="宋体"/>
                <w:szCs w:val="22"/>
              </w:rPr>
            </w:pPr>
            <w:r>
              <w:rPr>
                <w:szCs w:val="22"/>
                <w:lang w:bidi="ar"/>
              </w:rPr>
              <w:t>+</w:t>
            </w:r>
          </w:p>
        </w:tc>
        <w:tc>
          <w:tcPr>
            <w:tcW w:w="2840" w:type="dxa"/>
            <w:vAlign w:val="center"/>
          </w:tcPr>
          <w:p w14:paraId="5C7C84B0">
            <w:pPr>
              <w:pStyle w:val="37"/>
              <w:spacing w:line="192" w:lineRule="auto"/>
              <w:rPr>
                <w:rFonts w:eastAsia="宋体"/>
                <w:szCs w:val="22"/>
              </w:rPr>
            </w:pPr>
            <w:r>
              <w:rPr>
                <w:szCs w:val="22"/>
                <w:lang w:bidi="ar"/>
              </w:rPr>
              <w:t>Higher intensity may increase redevelopment value</w:t>
            </w:r>
          </w:p>
        </w:tc>
      </w:tr>
      <w:tr w14:paraId="00F0B5E3">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93" w:type="dxa"/>
            <w:vMerge w:val="restart"/>
            <w:vAlign w:val="center"/>
          </w:tcPr>
          <w:p w14:paraId="55AFD394">
            <w:pPr>
              <w:pStyle w:val="37"/>
              <w:spacing w:line="192" w:lineRule="auto"/>
              <w:rPr>
                <w:rFonts w:eastAsia="宋体"/>
                <w:szCs w:val="22"/>
              </w:rPr>
            </w:pPr>
            <w:r>
              <w:rPr>
                <w:szCs w:val="22"/>
                <w:lang w:bidi="ar"/>
              </w:rPr>
              <w:t>Economic potential</w:t>
            </w:r>
          </w:p>
        </w:tc>
        <w:tc>
          <w:tcPr>
            <w:tcW w:w="1707" w:type="dxa"/>
            <w:vAlign w:val="center"/>
          </w:tcPr>
          <w:p w14:paraId="5554C622">
            <w:pPr>
              <w:pStyle w:val="37"/>
              <w:spacing w:line="192" w:lineRule="auto"/>
              <w:rPr>
                <w:rFonts w:eastAsia="宋体"/>
                <w:szCs w:val="22"/>
              </w:rPr>
            </w:pPr>
            <w:r>
              <w:rPr>
                <w:szCs w:val="22"/>
                <w:lang w:bidi="ar"/>
              </w:rPr>
              <w:t>Distance to commercial land</w:t>
            </w:r>
          </w:p>
        </w:tc>
        <w:tc>
          <w:tcPr>
            <w:tcW w:w="2500" w:type="dxa"/>
            <w:vAlign w:val="center"/>
          </w:tcPr>
          <w:p w14:paraId="3041D960">
            <w:pPr>
              <w:pStyle w:val="37"/>
              <w:spacing w:line="192" w:lineRule="auto"/>
              <w:rPr>
                <w:rFonts w:eastAsia="宋体"/>
                <w:szCs w:val="22"/>
              </w:rPr>
            </w:pPr>
            <w:r>
              <w:rPr>
                <w:szCs w:val="22"/>
                <w:lang w:bidi="ar"/>
              </w:rPr>
              <w:t>Distance to nearest commercial land parcel</w:t>
            </w:r>
          </w:p>
        </w:tc>
        <w:tc>
          <w:tcPr>
            <w:tcW w:w="800" w:type="dxa"/>
            <w:vAlign w:val="center"/>
          </w:tcPr>
          <w:p w14:paraId="693CF53D">
            <w:pPr>
              <w:pStyle w:val="37"/>
              <w:spacing w:line="192" w:lineRule="auto"/>
              <w:rPr>
                <w:rFonts w:eastAsia="宋体"/>
                <w:szCs w:val="22"/>
              </w:rPr>
            </w:pPr>
            <w:r>
              <w:rPr>
                <w:szCs w:val="22"/>
                <w:lang w:bidi="ar"/>
              </w:rPr>
              <w:t>m</w:t>
            </w:r>
          </w:p>
        </w:tc>
        <w:tc>
          <w:tcPr>
            <w:tcW w:w="1250" w:type="dxa"/>
            <w:vAlign w:val="center"/>
          </w:tcPr>
          <w:p w14:paraId="62991C4B">
            <w:pPr>
              <w:pStyle w:val="37"/>
              <w:spacing w:line="192" w:lineRule="auto"/>
              <w:rPr>
                <w:rFonts w:eastAsia="宋体"/>
                <w:szCs w:val="22"/>
              </w:rPr>
            </w:pPr>
            <w:r>
              <w:rPr>
                <w:szCs w:val="22"/>
                <w:lang w:bidi="ar"/>
              </w:rPr>
              <w:t>24.89%</w:t>
            </w:r>
          </w:p>
        </w:tc>
        <w:tc>
          <w:tcPr>
            <w:tcW w:w="1200" w:type="dxa"/>
            <w:vAlign w:val="center"/>
          </w:tcPr>
          <w:p w14:paraId="26DF621B">
            <w:pPr>
              <w:pStyle w:val="37"/>
              <w:spacing w:line="192" w:lineRule="auto"/>
              <w:rPr>
                <w:rFonts w:eastAsia="宋体"/>
                <w:szCs w:val="22"/>
              </w:rPr>
            </w:pPr>
            <w:r>
              <w:rPr>
                <w:rFonts w:hint="eastAsia"/>
                <w:szCs w:val="22"/>
                <w:lang w:bidi="ar"/>
              </w:rPr>
              <w:t>–</w:t>
            </w:r>
          </w:p>
        </w:tc>
        <w:tc>
          <w:tcPr>
            <w:tcW w:w="2840" w:type="dxa"/>
            <w:vAlign w:val="center"/>
          </w:tcPr>
          <w:p w14:paraId="62C37F1F">
            <w:pPr>
              <w:pStyle w:val="37"/>
              <w:spacing w:line="192" w:lineRule="auto"/>
              <w:rPr>
                <w:rFonts w:eastAsia="宋体"/>
                <w:szCs w:val="22"/>
              </w:rPr>
            </w:pPr>
            <w:r>
              <w:rPr>
                <w:szCs w:val="22"/>
                <w:lang w:bidi="ar"/>
              </w:rPr>
              <w:t>Greater accessibility increases redevelopment feasibility</w:t>
            </w:r>
          </w:p>
        </w:tc>
      </w:tr>
      <w:tr w14:paraId="14FE53D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93" w:type="dxa"/>
            <w:vMerge w:val="continue"/>
            <w:vAlign w:val="center"/>
          </w:tcPr>
          <w:p w14:paraId="2D7E6EFA">
            <w:pPr>
              <w:pStyle w:val="37"/>
              <w:rPr>
                <w:rFonts w:eastAsia="宋体"/>
                <w:szCs w:val="22"/>
              </w:rPr>
            </w:pPr>
          </w:p>
        </w:tc>
        <w:tc>
          <w:tcPr>
            <w:tcW w:w="1707" w:type="dxa"/>
            <w:vAlign w:val="center"/>
          </w:tcPr>
          <w:p w14:paraId="6674386C">
            <w:pPr>
              <w:pStyle w:val="37"/>
              <w:spacing w:line="192" w:lineRule="auto"/>
              <w:rPr>
                <w:rFonts w:eastAsia="宋体"/>
                <w:szCs w:val="22"/>
              </w:rPr>
            </w:pPr>
            <w:r>
              <w:rPr>
                <w:szCs w:val="22"/>
                <w:lang w:bidi="ar"/>
              </w:rPr>
              <w:t>Distance to public facilities</w:t>
            </w:r>
          </w:p>
        </w:tc>
        <w:tc>
          <w:tcPr>
            <w:tcW w:w="2500" w:type="dxa"/>
            <w:vAlign w:val="center"/>
          </w:tcPr>
          <w:p w14:paraId="13A57725">
            <w:pPr>
              <w:pStyle w:val="37"/>
              <w:spacing w:line="192" w:lineRule="auto"/>
              <w:rPr>
                <w:rFonts w:eastAsia="宋体"/>
                <w:szCs w:val="22"/>
              </w:rPr>
            </w:pPr>
            <w:r>
              <w:rPr>
                <w:szCs w:val="22"/>
                <w:lang w:bidi="ar"/>
              </w:rPr>
              <w:t>Distance to nearest public service facility</w:t>
            </w:r>
          </w:p>
        </w:tc>
        <w:tc>
          <w:tcPr>
            <w:tcW w:w="800" w:type="dxa"/>
            <w:vAlign w:val="center"/>
          </w:tcPr>
          <w:p w14:paraId="4DD87173">
            <w:pPr>
              <w:pStyle w:val="37"/>
              <w:spacing w:line="192" w:lineRule="auto"/>
              <w:rPr>
                <w:rFonts w:eastAsia="宋体"/>
                <w:szCs w:val="22"/>
              </w:rPr>
            </w:pPr>
            <w:r>
              <w:rPr>
                <w:szCs w:val="22"/>
                <w:lang w:bidi="ar"/>
              </w:rPr>
              <w:t>m</w:t>
            </w:r>
          </w:p>
        </w:tc>
        <w:tc>
          <w:tcPr>
            <w:tcW w:w="1250" w:type="dxa"/>
            <w:vAlign w:val="center"/>
          </w:tcPr>
          <w:p w14:paraId="03852CA9">
            <w:pPr>
              <w:pStyle w:val="37"/>
              <w:spacing w:line="192" w:lineRule="auto"/>
              <w:rPr>
                <w:rFonts w:eastAsia="宋体"/>
                <w:szCs w:val="22"/>
              </w:rPr>
            </w:pPr>
            <w:r>
              <w:rPr>
                <w:szCs w:val="22"/>
                <w:lang w:bidi="ar"/>
              </w:rPr>
              <w:t>5.89%</w:t>
            </w:r>
          </w:p>
        </w:tc>
        <w:tc>
          <w:tcPr>
            <w:tcW w:w="1200" w:type="dxa"/>
            <w:vAlign w:val="center"/>
          </w:tcPr>
          <w:p w14:paraId="270F07BE">
            <w:pPr>
              <w:pStyle w:val="37"/>
              <w:spacing w:line="192" w:lineRule="auto"/>
              <w:rPr>
                <w:rFonts w:eastAsia="宋体"/>
                <w:szCs w:val="22"/>
              </w:rPr>
            </w:pPr>
            <w:r>
              <w:rPr>
                <w:rFonts w:hint="eastAsia"/>
                <w:szCs w:val="22"/>
                <w:lang w:bidi="ar"/>
              </w:rPr>
              <w:t>–</w:t>
            </w:r>
          </w:p>
        </w:tc>
        <w:tc>
          <w:tcPr>
            <w:tcW w:w="2840" w:type="dxa"/>
            <w:vAlign w:val="center"/>
          </w:tcPr>
          <w:p w14:paraId="06A8CE48">
            <w:pPr>
              <w:pStyle w:val="37"/>
              <w:spacing w:line="192" w:lineRule="auto"/>
              <w:rPr>
                <w:rFonts w:eastAsia="宋体"/>
                <w:szCs w:val="22"/>
              </w:rPr>
            </w:pPr>
            <w:r>
              <w:rPr>
                <w:szCs w:val="22"/>
                <w:lang w:bidi="ar"/>
              </w:rPr>
              <w:t>Greater accessibility increases locational advantage</w:t>
            </w:r>
          </w:p>
        </w:tc>
      </w:tr>
      <w:tr w14:paraId="58D1843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93" w:type="dxa"/>
            <w:vMerge w:val="continue"/>
            <w:tcBorders>
              <w:bottom w:val="nil"/>
            </w:tcBorders>
            <w:vAlign w:val="center"/>
          </w:tcPr>
          <w:p w14:paraId="7BE3DF22">
            <w:pPr>
              <w:pStyle w:val="37"/>
              <w:rPr>
                <w:rFonts w:eastAsia="宋体"/>
                <w:szCs w:val="22"/>
              </w:rPr>
            </w:pPr>
          </w:p>
        </w:tc>
        <w:tc>
          <w:tcPr>
            <w:tcW w:w="1707" w:type="dxa"/>
            <w:tcBorders>
              <w:bottom w:val="nil"/>
            </w:tcBorders>
            <w:vAlign w:val="center"/>
          </w:tcPr>
          <w:p w14:paraId="6FF40EBD">
            <w:pPr>
              <w:pStyle w:val="37"/>
              <w:spacing w:line="192" w:lineRule="auto"/>
              <w:rPr>
                <w:rFonts w:eastAsia="宋体"/>
                <w:szCs w:val="22"/>
              </w:rPr>
            </w:pPr>
            <w:r>
              <w:rPr>
                <w:szCs w:val="22"/>
                <w:lang w:bidi="ar"/>
              </w:rPr>
              <w:t>Distance to road network</w:t>
            </w:r>
          </w:p>
        </w:tc>
        <w:tc>
          <w:tcPr>
            <w:tcW w:w="2500" w:type="dxa"/>
            <w:tcBorders>
              <w:bottom w:val="nil"/>
            </w:tcBorders>
            <w:vAlign w:val="center"/>
          </w:tcPr>
          <w:p w14:paraId="00E65E60">
            <w:pPr>
              <w:pStyle w:val="37"/>
              <w:spacing w:line="192" w:lineRule="auto"/>
              <w:rPr>
                <w:rFonts w:eastAsia="宋体"/>
                <w:szCs w:val="22"/>
              </w:rPr>
            </w:pPr>
            <w:r>
              <w:rPr>
                <w:szCs w:val="22"/>
                <w:lang w:bidi="ar"/>
              </w:rPr>
              <w:t>Distance to nearest road</w:t>
            </w:r>
          </w:p>
        </w:tc>
        <w:tc>
          <w:tcPr>
            <w:tcW w:w="800" w:type="dxa"/>
            <w:tcBorders>
              <w:bottom w:val="nil"/>
            </w:tcBorders>
            <w:vAlign w:val="center"/>
          </w:tcPr>
          <w:p w14:paraId="20BF4A24">
            <w:pPr>
              <w:pStyle w:val="37"/>
              <w:spacing w:line="192" w:lineRule="auto"/>
              <w:rPr>
                <w:rFonts w:eastAsia="宋体"/>
                <w:szCs w:val="22"/>
              </w:rPr>
            </w:pPr>
            <w:r>
              <w:rPr>
                <w:szCs w:val="22"/>
                <w:lang w:bidi="ar"/>
              </w:rPr>
              <w:t>m</w:t>
            </w:r>
          </w:p>
        </w:tc>
        <w:tc>
          <w:tcPr>
            <w:tcW w:w="1250" w:type="dxa"/>
            <w:tcBorders>
              <w:bottom w:val="nil"/>
            </w:tcBorders>
            <w:vAlign w:val="center"/>
          </w:tcPr>
          <w:p w14:paraId="658C0292">
            <w:pPr>
              <w:pStyle w:val="37"/>
              <w:spacing w:line="192" w:lineRule="auto"/>
              <w:rPr>
                <w:rFonts w:eastAsia="宋体"/>
                <w:szCs w:val="22"/>
              </w:rPr>
            </w:pPr>
            <w:r>
              <w:rPr>
                <w:szCs w:val="22"/>
                <w:lang w:bidi="ar"/>
              </w:rPr>
              <w:t>2.55%</w:t>
            </w:r>
          </w:p>
        </w:tc>
        <w:tc>
          <w:tcPr>
            <w:tcW w:w="1200" w:type="dxa"/>
            <w:tcBorders>
              <w:bottom w:val="nil"/>
            </w:tcBorders>
            <w:vAlign w:val="center"/>
          </w:tcPr>
          <w:p w14:paraId="474B88EC">
            <w:pPr>
              <w:pStyle w:val="37"/>
              <w:spacing w:line="192" w:lineRule="auto"/>
              <w:rPr>
                <w:rFonts w:eastAsia="宋体"/>
                <w:szCs w:val="22"/>
              </w:rPr>
            </w:pPr>
            <w:r>
              <w:rPr>
                <w:rFonts w:hint="eastAsia"/>
                <w:szCs w:val="22"/>
                <w:lang w:bidi="ar"/>
              </w:rPr>
              <w:t>–</w:t>
            </w:r>
          </w:p>
        </w:tc>
        <w:tc>
          <w:tcPr>
            <w:tcW w:w="2840" w:type="dxa"/>
            <w:tcBorders>
              <w:bottom w:val="nil"/>
            </w:tcBorders>
            <w:vAlign w:val="center"/>
          </w:tcPr>
          <w:p w14:paraId="37D09ADB">
            <w:pPr>
              <w:pStyle w:val="37"/>
              <w:spacing w:line="192" w:lineRule="auto"/>
              <w:rPr>
                <w:rFonts w:eastAsia="宋体"/>
                <w:szCs w:val="22"/>
              </w:rPr>
            </w:pPr>
            <w:r>
              <w:rPr>
                <w:szCs w:val="22"/>
                <w:lang w:bidi="ar"/>
              </w:rPr>
              <w:t>Better transport access increases redevelopment feasibility</w:t>
            </w:r>
          </w:p>
        </w:tc>
      </w:tr>
      <w:tr w14:paraId="079B786A">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93" w:type="dxa"/>
            <w:vMerge w:val="restart"/>
            <w:tcBorders>
              <w:top w:val="nil"/>
              <w:bottom w:val="nil"/>
            </w:tcBorders>
            <w:vAlign w:val="center"/>
          </w:tcPr>
          <w:p w14:paraId="78CA4F2D">
            <w:pPr>
              <w:pStyle w:val="37"/>
              <w:spacing w:line="192" w:lineRule="auto"/>
              <w:rPr>
                <w:rFonts w:eastAsia="宋体"/>
                <w:szCs w:val="22"/>
              </w:rPr>
            </w:pPr>
            <w:r>
              <w:rPr>
                <w:szCs w:val="22"/>
                <w:lang w:bidi="ar"/>
              </w:rPr>
              <w:t>Social need</w:t>
            </w:r>
          </w:p>
        </w:tc>
        <w:tc>
          <w:tcPr>
            <w:tcW w:w="1707" w:type="dxa"/>
            <w:tcBorders>
              <w:top w:val="nil"/>
              <w:bottom w:val="nil"/>
            </w:tcBorders>
            <w:vAlign w:val="center"/>
          </w:tcPr>
          <w:p w14:paraId="044C74B3">
            <w:pPr>
              <w:pStyle w:val="37"/>
              <w:spacing w:line="192" w:lineRule="auto"/>
              <w:rPr>
                <w:rFonts w:eastAsia="宋体"/>
                <w:szCs w:val="22"/>
              </w:rPr>
            </w:pPr>
            <w:r>
              <w:rPr>
                <w:szCs w:val="22"/>
                <w:lang w:bidi="ar"/>
              </w:rPr>
              <w:t>Building-scale population size</w:t>
            </w:r>
          </w:p>
        </w:tc>
        <w:tc>
          <w:tcPr>
            <w:tcW w:w="2500" w:type="dxa"/>
            <w:tcBorders>
              <w:top w:val="nil"/>
              <w:bottom w:val="nil"/>
            </w:tcBorders>
            <w:vAlign w:val="center"/>
          </w:tcPr>
          <w:p w14:paraId="0425BA8B">
            <w:pPr>
              <w:pStyle w:val="37"/>
              <w:spacing w:line="192" w:lineRule="auto"/>
              <w:rPr>
                <w:rFonts w:eastAsia="宋体"/>
                <w:szCs w:val="22"/>
              </w:rPr>
            </w:pPr>
            <w:r>
              <w:rPr>
                <w:szCs w:val="22"/>
                <w:lang w:bidi="ar"/>
              </w:rPr>
              <w:t>Village-level population allocated to buildings in proportion to building floor area</w:t>
            </w:r>
          </w:p>
        </w:tc>
        <w:tc>
          <w:tcPr>
            <w:tcW w:w="800" w:type="dxa"/>
            <w:tcBorders>
              <w:top w:val="nil"/>
              <w:bottom w:val="nil"/>
            </w:tcBorders>
            <w:vAlign w:val="center"/>
          </w:tcPr>
          <w:p w14:paraId="36720CDC">
            <w:pPr>
              <w:pStyle w:val="37"/>
              <w:spacing w:line="192" w:lineRule="auto"/>
              <w:rPr>
                <w:rFonts w:eastAsia="宋体"/>
                <w:szCs w:val="22"/>
              </w:rPr>
            </w:pPr>
            <w:r>
              <w:rPr>
                <w:szCs w:val="22"/>
                <w:lang w:bidi="ar"/>
              </w:rPr>
              <w:t>persons</w:t>
            </w:r>
          </w:p>
        </w:tc>
        <w:tc>
          <w:tcPr>
            <w:tcW w:w="1250" w:type="dxa"/>
            <w:tcBorders>
              <w:top w:val="nil"/>
              <w:bottom w:val="nil"/>
            </w:tcBorders>
            <w:vAlign w:val="center"/>
          </w:tcPr>
          <w:p w14:paraId="50642DC3">
            <w:pPr>
              <w:pStyle w:val="37"/>
              <w:spacing w:line="192" w:lineRule="auto"/>
              <w:rPr>
                <w:rFonts w:eastAsia="宋体"/>
                <w:szCs w:val="22"/>
              </w:rPr>
            </w:pPr>
            <w:r>
              <w:rPr>
                <w:szCs w:val="22"/>
                <w:lang w:bidi="ar"/>
              </w:rPr>
              <w:t>15.16%</w:t>
            </w:r>
          </w:p>
        </w:tc>
        <w:tc>
          <w:tcPr>
            <w:tcW w:w="1200" w:type="dxa"/>
            <w:tcBorders>
              <w:top w:val="nil"/>
              <w:bottom w:val="nil"/>
            </w:tcBorders>
            <w:vAlign w:val="center"/>
          </w:tcPr>
          <w:p w14:paraId="2E3C6383">
            <w:pPr>
              <w:pStyle w:val="37"/>
              <w:spacing w:line="192" w:lineRule="auto"/>
              <w:rPr>
                <w:rFonts w:eastAsia="宋体"/>
                <w:szCs w:val="22"/>
              </w:rPr>
            </w:pPr>
            <w:r>
              <w:rPr>
                <w:szCs w:val="22"/>
                <w:lang w:bidi="ar"/>
              </w:rPr>
              <w:t>+</w:t>
            </w:r>
          </w:p>
        </w:tc>
        <w:tc>
          <w:tcPr>
            <w:tcW w:w="2840" w:type="dxa"/>
            <w:tcBorders>
              <w:top w:val="nil"/>
              <w:bottom w:val="nil"/>
            </w:tcBorders>
            <w:vAlign w:val="center"/>
          </w:tcPr>
          <w:p w14:paraId="5DC271FA">
            <w:pPr>
              <w:pStyle w:val="37"/>
              <w:spacing w:line="192" w:lineRule="auto"/>
              <w:rPr>
                <w:rFonts w:eastAsia="宋体"/>
                <w:szCs w:val="22"/>
              </w:rPr>
            </w:pPr>
            <w:r>
              <w:rPr>
                <w:szCs w:val="22"/>
                <w:lang w:bidi="ar"/>
              </w:rPr>
              <w:t>Greater allocated population indicates larger local housing demand</w:t>
            </w:r>
          </w:p>
        </w:tc>
      </w:tr>
      <w:tr w14:paraId="420EEA7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93" w:type="dxa"/>
            <w:vMerge w:val="continue"/>
            <w:tcBorders>
              <w:top w:val="nil"/>
              <w:bottom w:val="nil"/>
            </w:tcBorders>
            <w:vAlign w:val="center"/>
          </w:tcPr>
          <w:p w14:paraId="72671FE5">
            <w:pPr>
              <w:pStyle w:val="37"/>
              <w:rPr>
                <w:rFonts w:eastAsia="宋体"/>
                <w:szCs w:val="22"/>
              </w:rPr>
            </w:pPr>
          </w:p>
        </w:tc>
        <w:tc>
          <w:tcPr>
            <w:tcW w:w="1707" w:type="dxa"/>
            <w:tcBorders>
              <w:top w:val="nil"/>
              <w:bottom w:val="nil"/>
            </w:tcBorders>
            <w:vAlign w:val="center"/>
          </w:tcPr>
          <w:p w14:paraId="793F8687">
            <w:pPr>
              <w:pStyle w:val="37"/>
              <w:spacing w:line="192" w:lineRule="auto"/>
              <w:rPr>
                <w:rFonts w:eastAsia="宋体"/>
                <w:szCs w:val="22"/>
              </w:rPr>
            </w:pPr>
            <w:r>
              <w:rPr>
                <w:szCs w:val="22"/>
                <w:lang w:bidi="ar"/>
              </w:rPr>
              <w:t>Building-scale older-adult population</w:t>
            </w:r>
          </w:p>
        </w:tc>
        <w:tc>
          <w:tcPr>
            <w:tcW w:w="2500" w:type="dxa"/>
            <w:tcBorders>
              <w:top w:val="nil"/>
              <w:bottom w:val="nil"/>
            </w:tcBorders>
            <w:vAlign w:val="center"/>
          </w:tcPr>
          <w:p w14:paraId="1518F071">
            <w:pPr>
              <w:pStyle w:val="37"/>
              <w:spacing w:line="192" w:lineRule="auto"/>
              <w:rPr>
                <w:rFonts w:eastAsia="宋体"/>
                <w:szCs w:val="22"/>
              </w:rPr>
            </w:pPr>
            <w:r>
              <w:rPr>
                <w:szCs w:val="22"/>
                <w:lang w:bidi="ar"/>
              </w:rPr>
              <w:t>Village-level population aged 65+ allocated to buildings in proportion to building floor area</w:t>
            </w:r>
          </w:p>
        </w:tc>
        <w:tc>
          <w:tcPr>
            <w:tcW w:w="800" w:type="dxa"/>
            <w:tcBorders>
              <w:top w:val="nil"/>
              <w:bottom w:val="nil"/>
            </w:tcBorders>
            <w:vAlign w:val="center"/>
          </w:tcPr>
          <w:p w14:paraId="78CCDB37">
            <w:pPr>
              <w:pStyle w:val="37"/>
              <w:spacing w:line="192" w:lineRule="auto"/>
              <w:rPr>
                <w:rFonts w:eastAsia="宋体"/>
                <w:szCs w:val="22"/>
              </w:rPr>
            </w:pPr>
            <w:r>
              <w:rPr>
                <w:szCs w:val="22"/>
                <w:lang w:bidi="ar"/>
              </w:rPr>
              <w:t>persons</w:t>
            </w:r>
          </w:p>
        </w:tc>
        <w:tc>
          <w:tcPr>
            <w:tcW w:w="1250" w:type="dxa"/>
            <w:tcBorders>
              <w:top w:val="nil"/>
              <w:bottom w:val="nil"/>
            </w:tcBorders>
            <w:vAlign w:val="center"/>
          </w:tcPr>
          <w:p w14:paraId="6602C7B6">
            <w:pPr>
              <w:pStyle w:val="37"/>
              <w:spacing w:line="192" w:lineRule="auto"/>
              <w:rPr>
                <w:rFonts w:eastAsia="宋体"/>
                <w:szCs w:val="22"/>
              </w:rPr>
            </w:pPr>
            <w:r>
              <w:rPr>
                <w:szCs w:val="22"/>
                <w:lang w:bidi="ar"/>
              </w:rPr>
              <w:t>10.72%</w:t>
            </w:r>
          </w:p>
        </w:tc>
        <w:tc>
          <w:tcPr>
            <w:tcW w:w="1200" w:type="dxa"/>
            <w:tcBorders>
              <w:top w:val="nil"/>
              <w:bottom w:val="nil"/>
            </w:tcBorders>
            <w:vAlign w:val="center"/>
          </w:tcPr>
          <w:p w14:paraId="13B47F57">
            <w:pPr>
              <w:pStyle w:val="37"/>
              <w:spacing w:line="192" w:lineRule="auto"/>
              <w:rPr>
                <w:rFonts w:eastAsia="宋体"/>
                <w:szCs w:val="22"/>
              </w:rPr>
            </w:pPr>
            <w:r>
              <w:rPr>
                <w:szCs w:val="22"/>
                <w:lang w:bidi="ar"/>
              </w:rPr>
              <w:t>+</w:t>
            </w:r>
          </w:p>
        </w:tc>
        <w:tc>
          <w:tcPr>
            <w:tcW w:w="2840" w:type="dxa"/>
            <w:tcBorders>
              <w:top w:val="nil"/>
              <w:bottom w:val="nil"/>
            </w:tcBorders>
            <w:vAlign w:val="center"/>
          </w:tcPr>
          <w:p w14:paraId="0E85E781">
            <w:pPr>
              <w:pStyle w:val="37"/>
              <w:spacing w:line="192" w:lineRule="auto"/>
              <w:rPr>
                <w:rFonts w:eastAsia="宋体"/>
                <w:szCs w:val="22"/>
              </w:rPr>
            </w:pPr>
            <w:r>
              <w:rPr>
                <w:szCs w:val="22"/>
                <w:lang w:bidi="ar"/>
              </w:rPr>
              <w:t>Older residents may face higher housing vulnerability and accessibility needs</w:t>
            </w:r>
          </w:p>
        </w:tc>
      </w:tr>
      <w:tr w14:paraId="017C9A3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93" w:type="dxa"/>
            <w:vMerge w:val="continue"/>
            <w:tcBorders>
              <w:top w:val="nil"/>
              <w:bottom w:val="single" w:color="auto" w:sz="4" w:space="0"/>
            </w:tcBorders>
            <w:vAlign w:val="center"/>
          </w:tcPr>
          <w:p w14:paraId="5146F189">
            <w:pPr>
              <w:pStyle w:val="37"/>
              <w:rPr>
                <w:rFonts w:eastAsia="宋体"/>
                <w:szCs w:val="22"/>
              </w:rPr>
            </w:pPr>
          </w:p>
        </w:tc>
        <w:tc>
          <w:tcPr>
            <w:tcW w:w="1707" w:type="dxa"/>
            <w:tcBorders>
              <w:top w:val="nil"/>
              <w:bottom w:val="single" w:color="auto" w:sz="4" w:space="0"/>
            </w:tcBorders>
            <w:vAlign w:val="center"/>
          </w:tcPr>
          <w:p w14:paraId="29AD0816">
            <w:pPr>
              <w:pStyle w:val="37"/>
              <w:spacing w:line="192" w:lineRule="auto"/>
              <w:rPr>
                <w:rFonts w:eastAsia="宋体"/>
                <w:szCs w:val="22"/>
              </w:rPr>
            </w:pPr>
            <w:r>
              <w:rPr>
                <w:szCs w:val="22"/>
                <w:lang w:bidi="ar"/>
              </w:rPr>
              <w:t>Inverse per-capita residential floor area</w:t>
            </w:r>
          </w:p>
        </w:tc>
        <w:tc>
          <w:tcPr>
            <w:tcW w:w="2500" w:type="dxa"/>
            <w:tcBorders>
              <w:top w:val="nil"/>
              <w:bottom w:val="single" w:color="auto" w:sz="4" w:space="0"/>
            </w:tcBorders>
            <w:vAlign w:val="center"/>
          </w:tcPr>
          <w:p w14:paraId="6E1BFC5F">
            <w:pPr>
              <w:pStyle w:val="37"/>
              <w:spacing w:line="192" w:lineRule="auto"/>
              <w:rPr>
                <w:rFonts w:eastAsia="宋体"/>
                <w:szCs w:val="22"/>
              </w:rPr>
            </w:pPr>
            <w:r>
              <w:rPr>
                <w:szCs w:val="22"/>
                <w:lang w:bidi="ar"/>
              </w:rPr>
              <w:t>Reciprocal of building-scale per-capita residential floor area after population allocation</w:t>
            </w:r>
          </w:p>
        </w:tc>
        <w:tc>
          <w:tcPr>
            <w:tcW w:w="800" w:type="dxa"/>
            <w:tcBorders>
              <w:top w:val="nil"/>
              <w:bottom w:val="single" w:color="auto" w:sz="4" w:space="0"/>
            </w:tcBorders>
            <w:vAlign w:val="center"/>
          </w:tcPr>
          <w:p w14:paraId="42ADB42F">
            <w:pPr>
              <w:pStyle w:val="37"/>
              <w:spacing w:line="192" w:lineRule="auto"/>
              <w:rPr>
                <w:rFonts w:eastAsia="宋体"/>
                <w:szCs w:val="22"/>
              </w:rPr>
            </w:pPr>
            <w:r>
              <w:rPr>
                <w:szCs w:val="22"/>
                <w:lang w:bidi="ar"/>
              </w:rPr>
              <w:t>1/(m</w:t>
            </w:r>
            <w:r>
              <w:rPr>
                <w:szCs w:val="22"/>
              </w:rPr>
              <w:t>²</w:t>
            </w:r>
            <w:r>
              <w:rPr>
                <w:szCs w:val="22"/>
                <w:lang w:bidi="ar"/>
              </w:rPr>
              <w:t>/person)</w:t>
            </w:r>
          </w:p>
        </w:tc>
        <w:tc>
          <w:tcPr>
            <w:tcW w:w="1250" w:type="dxa"/>
            <w:tcBorders>
              <w:top w:val="nil"/>
              <w:bottom w:val="single" w:color="auto" w:sz="4" w:space="0"/>
            </w:tcBorders>
            <w:vAlign w:val="center"/>
          </w:tcPr>
          <w:p w14:paraId="1CE649AA">
            <w:pPr>
              <w:pStyle w:val="37"/>
              <w:spacing w:line="192" w:lineRule="auto"/>
              <w:rPr>
                <w:rFonts w:eastAsia="宋体"/>
                <w:szCs w:val="22"/>
              </w:rPr>
            </w:pPr>
            <w:r>
              <w:rPr>
                <w:szCs w:val="22"/>
                <w:lang w:bidi="ar"/>
              </w:rPr>
              <w:t>7.46%</w:t>
            </w:r>
          </w:p>
        </w:tc>
        <w:tc>
          <w:tcPr>
            <w:tcW w:w="1200" w:type="dxa"/>
            <w:tcBorders>
              <w:top w:val="nil"/>
              <w:bottom w:val="single" w:color="auto" w:sz="4" w:space="0"/>
            </w:tcBorders>
            <w:vAlign w:val="center"/>
          </w:tcPr>
          <w:p w14:paraId="49A4C963">
            <w:pPr>
              <w:pStyle w:val="37"/>
              <w:spacing w:line="192" w:lineRule="auto"/>
              <w:rPr>
                <w:rFonts w:eastAsia="宋体"/>
                <w:szCs w:val="22"/>
              </w:rPr>
            </w:pPr>
            <w:r>
              <w:rPr>
                <w:szCs w:val="22"/>
                <w:lang w:bidi="ar"/>
              </w:rPr>
              <w:t>+</w:t>
            </w:r>
          </w:p>
        </w:tc>
        <w:tc>
          <w:tcPr>
            <w:tcW w:w="2840" w:type="dxa"/>
            <w:tcBorders>
              <w:top w:val="nil"/>
              <w:bottom w:val="single" w:color="auto" w:sz="4" w:space="0"/>
            </w:tcBorders>
            <w:vAlign w:val="center"/>
          </w:tcPr>
          <w:p w14:paraId="51CEB182">
            <w:pPr>
              <w:pStyle w:val="37"/>
              <w:spacing w:line="192" w:lineRule="auto"/>
              <w:rPr>
                <w:rFonts w:eastAsia="宋体"/>
                <w:szCs w:val="22"/>
              </w:rPr>
            </w:pPr>
            <w:r>
              <w:rPr>
                <w:szCs w:val="22"/>
                <w:lang w:bidi="ar"/>
              </w:rPr>
              <w:t>Higher values indicate tighter housing-space conditions</w:t>
            </w:r>
          </w:p>
        </w:tc>
      </w:tr>
    </w:tbl>
    <w:p w14:paraId="2434656E">
      <w:pPr>
        <w:pStyle w:val="35"/>
        <w:keepLines/>
        <w:spacing w:before="40" w:line="216" w:lineRule="auto"/>
        <w:rPr>
          <w:szCs w:val="22"/>
        </w:rPr>
      </w:pPr>
      <w:r>
        <w:rPr>
          <w:szCs w:val="22"/>
        </w:rPr>
        <w:t>Note: Final weights sum to one. Within each dimension, entropy-derived relative weights are scaled so that physical potential, economic potential and social need each contribute one-third to the CPI.</w:t>
      </w:r>
    </w:p>
    <w:p w14:paraId="0923EAB5">
      <w:pPr>
        <w:jc w:val="left"/>
        <w:rPr>
          <w:sz w:val="16"/>
          <w:szCs w:val="19"/>
        </w:rPr>
      </w:pPr>
      <w:r>
        <w:rPr>
          <w:sz w:val="16"/>
        </w:rPr>
        <w:br w:type="page"/>
      </w:r>
    </w:p>
    <w:p w14:paraId="41EFD425">
      <w:pPr>
        <w:pStyle w:val="33"/>
        <w:keepLines/>
      </w:pPr>
      <w:r>
        <w:t>Supplementary Table 2 | Baseline vulnerability coefficients assigned to residential structural types.</w:t>
      </w:r>
    </w:p>
    <w:tbl>
      <w:tblPr>
        <w:tblStyle w:val="6"/>
        <w:tblW w:w="5000" w:type="pct"/>
        <w:tblInd w:w="0" w:type="dxa"/>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Layout w:type="autofit"/>
        <w:tblCellMar>
          <w:top w:w="40" w:type="dxa"/>
          <w:left w:w="55" w:type="dxa"/>
          <w:bottom w:w="40" w:type="dxa"/>
          <w:right w:w="55" w:type="dxa"/>
        </w:tblCellMar>
      </w:tblPr>
      <w:tblGrid>
        <w:gridCol w:w="2141"/>
        <w:gridCol w:w="3779"/>
        <w:gridCol w:w="2080"/>
        <w:gridCol w:w="3403"/>
      </w:tblGrid>
      <w:tr w14:paraId="16A4BE62">
        <w:trPr>
          <w:cantSplit/>
          <w:tblHeader/>
        </w:trPr>
        <w:tc>
          <w:tcPr>
            <w:tcW w:w="939" w:type="pct"/>
            <w:tcBorders>
              <w:top w:val="single" w:color="auto" w:sz="4" w:space="0"/>
              <w:bottom w:val="single" w:color="auto" w:sz="4" w:space="0"/>
            </w:tcBorders>
            <w:vAlign w:val="center"/>
          </w:tcPr>
          <w:p w14:paraId="28AA5BFB">
            <w:pPr>
              <w:pStyle w:val="36"/>
            </w:pPr>
            <w:r>
              <w:t>Structural category</w:t>
            </w:r>
          </w:p>
        </w:tc>
        <w:tc>
          <w:tcPr>
            <w:tcW w:w="1657" w:type="pct"/>
            <w:tcBorders>
              <w:top w:val="single" w:color="auto" w:sz="4" w:space="0"/>
              <w:bottom w:val="single" w:color="auto" w:sz="4" w:space="0"/>
            </w:tcBorders>
            <w:vAlign w:val="center"/>
          </w:tcPr>
          <w:p w14:paraId="2A9787BF">
            <w:pPr>
              <w:pStyle w:val="36"/>
            </w:pPr>
            <w:r>
              <w:t>Structural description</w:t>
            </w:r>
          </w:p>
        </w:tc>
        <w:tc>
          <w:tcPr>
            <w:tcW w:w="912" w:type="pct"/>
            <w:tcBorders>
              <w:top w:val="single" w:color="auto" w:sz="4" w:space="0"/>
              <w:bottom w:val="single" w:color="auto" w:sz="4" w:space="0"/>
            </w:tcBorders>
            <w:vAlign w:val="center"/>
          </w:tcPr>
          <w:p w14:paraId="123F82E1">
            <w:pPr>
              <w:pStyle w:val="36"/>
            </w:pPr>
            <w:r>
              <w:t>Vulnerability coefficient</w:t>
            </w:r>
          </w:p>
        </w:tc>
        <w:tc>
          <w:tcPr>
            <w:tcW w:w="1492" w:type="pct"/>
            <w:tcBorders>
              <w:top w:val="single" w:color="auto" w:sz="4" w:space="0"/>
              <w:bottom w:val="single" w:color="auto" w:sz="4" w:space="0"/>
            </w:tcBorders>
            <w:vAlign w:val="center"/>
          </w:tcPr>
          <w:p w14:paraId="298CB912">
            <w:pPr>
              <w:pStyle w:val="36"/>
            </w:pPr>
            <w:r>
              <w:t>Relative risk interpretation</w:t>
            </w:r>
          </w:p>
        </w:tc>
      </w:tr>
      <w:tr w14:paraId="12D9C38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39" w:type="pct"/>
            <w:tcBorders>
              <w:top w:val="single" w:color="auto" w:sz="4" w:space="0"/>
            </w:tcBorders>
            <w:vAlign w:val="center"/>
          </w:tcPr>
          <w:p w14:paraId="49287D15">
            <w:pPr>
              <w:pStyle w:val="37"/>
            </w:pPr>
            <w:r>
              <w:t>Steel</w:t>
            </w:r>
          </w:p>
        </w:tc>
        <w:tc>
          <w:tcPr>
            <w:tcW w:w="1657" w:type="pct"/>
            <w:tcBorders>
              <w:top w:val="single" w:color="auto" w:sz="4" w:space="0"/>
            </w:tcBorders>
            <w:vAlign w:val="center"/>
          </w:tcPr>
          <w:p w14:paraId="31537369">
            <w:pPr>
              <w:pStyle w:val="37"/>
            </w:pPr>
            <w:r>
              <w:t>Steel-framed residential buildings</w:t>
            </w:r>
          </w:p>
        </w:tc>
        <w:tc>
          <w:tcPr>
            <w:tcW w:w="912" w:type="pct"/>
            <w:tcBorders>
              <w:top w:val="single" w:color="auto" w:sz="4" w:space="0"/>
            </w:tcBorders>
            <w:vAlign w:val="center"/>
          </w:tcPr>
          <w:p w14:paraId="697F4262">
            <w:pPr>
              <w:pStyle w:val="37"/>
            </w:pPr>
            <w:r>
              <w:t>0</w:t>
            </w:r>
          </w:p>
        </w:tc>
        <w:tc>
          <w:tcPr>
            <w:tcW w:w="1492" w:type="pct"/>
            <w:tcBorders>
              <w:top w:val="single" w:color="auto" w:sz="4" w:space="0"/>
            </w:tcBorders>
            <w:vAlign w:val="center"/>
          </w:tcPr>
          <w:p w14:paraId="52228F21">
            <w:pPr>
              <w:pStyle w:val="37"/>
            </w:pPr>
            <w:r>
              <w:t>Lower structural vulnerability</w:t>
            </w:r>
          </w:p>
        </w:tc>
      </w:tr>
      <w:tr w14:paraId="1257C66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39" w:type="pct"/>
            <w:vAlign w:val="center"/>
          </w:tcPr>
          <w:p w14:paraId="472FB48A">
            <w:pPr>
              <w:pStyle w:val="37"/>
            </w:pPr>
            <w:r>
              <w:t>Reinforced concrete</w:t>
            </w:r>
          </w:p>
        </w:tc>
        <w:tc>
          <w:tcPr>
            <w:tcW w:w="1657" w:type="pct"/>
            <w:vAlign w:val="center"/>
          </w:tcPr>
          <w:p w14:paraId="0C2DF471">
            <w:pPr>
              <w:pStyle w:val="37"/>
            </w:pPr>
            <w:r>
              <w:t>Reinforced concrete residential buildings</w:t>
            </w:r>
          </w:p>
        </w:tc>
        <w:tc>
          <w:tcPr>
            <w:tcW w:w="912" w:type="pct"/>
            <w:vAlign w:val="center"/>
          </w:tcPr>
          <w:p w14:paraId="5A075284">
            <w:pPr>
              <w:pStyle w:val="37"/>
            </w:pPr>
            <w:r>
              <w:t>0.0641</w:t>
            </w:r>
          </w:p>
        </w:tc>
        <w:tc>
          <w:tcPr>
            <w:tcW w:w="1492" w:type="pct"/>
            <w:vAlign w:val="center"/>
          </w:tcPr>
          <w:p w14:paraId="65F56605">
            <w:pPr>
              <w:pStyle w:val="37"/>
            </w:pPr>
            <w:r>
              <w:t>Moderate baseline vulnerability</w:t>
            </w:r>
          </w:p>
        </w:tc>
      </w:tr>
      <w:tr w14:paraId="479E72E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39" w:type="pct"/>
            <w:vAlign w:val="center"/>
          </w:tcPr>
          <w:p w14:paraId="4C6234AE">
            <w:pPr>
              <w:pStyle w:val="37"/>
            </w:pPr>
            <w:r>
              <w:t>Masonry</w:t>
            </w:r>
          </w:p>
        </w:tc>
        <w:tc>
          <w:tcPr>
            <w:tcW w:w="1657" w:type="pct"/>
            <w:vAlign w:val="center"/>
          </w:tcPr>
          <w:p w14:paraId="6E8BCEF3">
            <w:pPr>
              <w:pStyle w:val="37"/>
            </w:pPr>
            <w:r>
              <w:t>Masonry residential buildings</w:t>
            </w:r>
          </w:p>
        </w:tc>
        <w:tc>
          <w:tcPr>
            <w:tcW w:w="912" w:type="pct"/>
            <w:vAlign w:val="center"/>
          </w:tcPr>
          <w:p w14:paraId="048F3505">
            <w:pPr>
              <w:pStyle w:val="37"/>
            </w:pPr>
            <w:r>
              <w:t>0.2391</w:t>
            </w:r>
          </w:p>
        </w:tc>
        <w:tc>
          <w:tcPr>
            <w:tcW w:w="1492" w:type="pct"/>
            <w:vAlign w:val="center"/>
          </w:tcPr>
          <w:p w14:paraId="04F1B44C">
            <w:pPr>
              <w:pStyle w:val="37"/>
            </w:pPr>
            <w:r>
              <w:t>Higher baseline vulnerability</w:t>
            </w:r>
          </w:p>
        </w:tc>
      </w:tr>
      <w:tr w14:paraId="78E1939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39" w:type="pct"/>
            <w:vAlign w:val="center"/>
          </w:tcPr>
          <w:p w14:paraId="24AB7AC3">
            <w:pPr>
              <w:pStyle w:val="37"/>
            </w:pPr>
            <w:r>
              <w:t>Timber</w:t>
            </w:r>
          </w:p>
        </w:tc>
        <w:tc>
          <w:tcPr>
            <w:tcW w:w="1657" w:type="pct"/>
            <w:vAlign w:val="center"/>
          </w:tcPr>
          <w:p w14:paraId="61915910">
            <w:pPr>
              <w:pStyle w:val="37"/>
            </w:pPr>
            <w:r>
              <w:t>Timber residential buildings</w:t>
            </w:r>
          </w:p>
        </w:tc>
        <w:tc>
          <w:tcPr>
            <w:tcW w:w="912" w:type="pct"/>
            <w:vAlign w:val="center"/>
          </w:tcPr>
          <w:p w14:paraId="2012ACEE">
            <w:pPr>
              <w:pStyle w:val="37"/>
            </w:pPr>
            <w:r>
              <w:t>0.9534</w:t>
            </w:r>
          </w:p>
        </w:tc>
        <w:tc>
          <w:tcPr>
            <w:tcW w:w="1492" w:type="pct"/>
            <w:vAlign w:val="center"/>
          </w:tcPr>
          <w:p w14:paraId="0780F271">
            <w:pPr>
              <w:pStyle w:val="37"/>
            </w:pPr>
            <w:r>
              <w:t>Highest structural vulnerability among common types</w:t>
            </w:r>
          </w:p>
        </w:tc>
      </w:tr>
      <w:tr w14:paraId="4B648F6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939" w:type="pct"/>
            <w:tcBorders>
              <w:bottom w:val="single" w:color="auto" w:sz="4" w:space="0"/>
            </w:tcBorders>
            <w:vAlign w:val="center"/>
          </w:tcPr>
          <w:p w14:paraId="00E71C90">
            <w:pPr>
              <w:pStyle w:val="37"/>
            </w:pPr>
            <w:r>
              <w:t>Other</w:t>
            </w:r>
          </w:p>
        </w:tc>
        <w:tc>
          <w:tcPr>
            <w:tcW w:w="1657" w:type="pct"/>
            <w:tcBorders>
              <w:bottom w:val="single" w:color="auto" w:sz="4" w:space="0"/>
            </w:tcBorders>
            <w:vAlign w:val="center"/>
          </w:tcPr>
          <w:p w14:paraId="3D3F6F98">
            <w:pPr>
              <w:pStyle w:val="37"/>
            </w:pPr>
            <w:r>
              <w:t>Other or mixed structural types</w:t>
            </w:r>
          </w:p>
        </w:tc>
        <w:tc>
          <w:tcPr>
            <w:tcW w:w="912" w:type="pct"/>
            <w:tcBorders>
              <w:bottom w:val="single" w:color="auto" w:sz="4" w:space="0"/>
            </w:tcBorders>
            <w:vAlign w:val="center"/>
          </w:tcPr>
          <w:p w14:paraId="45A8E54C">
            <w:pPr>
              <w:pStyle w:val="37"/>
            </w:pPr>
            <w:r>
              <w:t>1</w:t>
            </w:r>
          </w:p>
        </w:tc>
        <w:tc>
          <w:tcPr>
            <w:tcW w:w="1492" w:type="pct"/>
            <w:tcBorders>
              <w:bottom w:val="single" w:color="auto" w:sz="4" w:space="0"/>
            </w:tcBorders>
            <w:vAlign w:val="center"/>
          </w:tcPr>
          <w:p w14:paraId="7B717A0F">
            <w:pPr>
              <w:pStyle w:val="37"/>
            </w:pPr>
            <w:r>
              <w:t>Assigned according to baseline category definition</w:t>
            </w:r>
          </w:p>
        </w:tc>
      </w:tr>
    </w:tbl>
    <w:p w14:paraId="6BDE494B">
      <w:pPr>
        <w:pStyle w:val="35"/>
        <w:keepLines/>
      </w:pPr>
      <w:r>
        <w:t>Note: Higher coefficients indicate greater baseline structural vulnerability. Values are held constant over the projection period and parameterize the structural-vulnerability indicator.</w:t>
      </w:r>
    </w:p>
    <w:p w14:paraId="49AEAB25">
      <w:pPr>
        <w:jc w:val="left"/>
        <w:rPr>
          <w:szCs w:val="19"/>
        </w:rPr>
      </w:pPr>
      <w:r>
        <w:br w:type="page"/>
      </w:r>
    </w:p>
    <w:p w14:paraId="4CE88FAB">
      <w:pPr>
        <w:pStyle w:val="33"/>
        <w:keepLines/>
      </w:pPr>
      <w:r>
        <w:t>Supplementary Table 3 | Cohort-component population-projection parameters and demographic inputs to the Social Need Index.</w:t>
      </w:r>
    </w:p>
    <w:tbl>
      <w:tblPr>
        <w:tblStyle w:val="6"/>
        <w:tblW w:w="0" w:type="auto"/>
        <w:tblCellSpacing w:w="15" w:type="dxa"/>
        <w:tblInd w:w="0" w:type="dxa"/>
        <w:tblLayout w:type="autofit"/>
        <w:tblCellMar>
          <w:top w:w="15" w:type="dxa"/>
          <w:left w:w="15" w:type="dxa"/>
          <w:bottom w:w="15" w:type="dxa"/>
          <w:right w:w="15" w:type="dxa"/>
        </w:tblCellMar>
      </w:tblPr>
      <w:tblGrid>
        <w:gridCol w:w="1369"/>
        <w:gridCol w:w="1835"/>
        <w:gridCol w:w="4966"/>
        <w:gridCol w:w="825"/>
        <w:gridCol w:w="2388"/>
      </w:tblGrid>
      <w:tr w14:paraId="47BC8AC1">
        <w:trPr>
          <w:cantSplit/>
          <w:trHeight w:val="532" w:hRule="atLeast"/>
          <w:tblHeader/>
          <w:tblCellSpacing w:w="15" w:type="dxa"/>
        </w:trPr>
        <w:tc>
          <w:tcPr>
            <w:tcW w:w="0" w:type="auto"/>
            <w:tcBorders>
              <w:top w:val="single" w:color="000000" w:sz="6" w:space="0"/>
              <w:bottom w:val="single" w:color="000000" w:sz="6" w:space="0"/>
            </w:tcBorders>
            <w:vAlign w:val="center"/>
          </w:tcPr>
          <w:p w14:paraId="10DC7C2C">
            <w:pPr>
              <w:pStyle w:val="36"/>
            </w:pPr>
            <w:r>
              <w:t>Module</w:t>
            </w:r>
          </w:p>
        </w:tc>
        <w:tc>
          <w:tcPr>
            <w:tcW w:w="0" w:type="auto"/>
            <w:tcBorders>
              <w:top w:val="single" w:color="000000" w:sz="6" w:space="0"/>
              <w:bottom w:val="single" w:color="000000" w:sz="6" w:space="0"/>
            </w:tcBorders>
            <w:vAlign w:val="center"/>
          </w:tcPr>
          <w:p w14:paraId="759470C8">
            <w:pPr>
              <w:pStyle w:val="36"/>
            </w:pPr>
            <w:r>
              <w:t>Parameter</w:t>
            </w:r>
          </w:p>
        </w:tc>
        <w:tc>
          <w:tcPr>
            <w:tcW w:w="0" w:type="auto"/>
            <w:tcBorders>
              <w:top w:val="single" w:color="000000" w:sz="6" w:space="0"/>
              <w:bottom w:val="single" w:color="000000" w:sz="6" w:space="0"/>
            </w:tcBorders>
            <w:vAlign w:val="center"/>
          </w:tcPr>
          <w:p w14:paraId="5AB7AFD3">
            <w:pPr>
              <w:pStyle w:val="36"/>
            </w:pPr>
            <w:r>
              <w:t>Parameter setting</w:t>
            </w:r>
          </w:p>
        </w:tc>
        <w:tc>
          <w:tcPr>
            <w:tcW w:w="0" w:type="auto"/>
            <w:tcBorders>
              <w:top w:val="single" w:color="000000" w:sz="6" w:space="0"/>
              <w:bottom w:val="single" w:color="000000" w:sz="6" w:space="0"/>
            </w:tcBorders>
            <w:vAlign w:val="center"/>
          </w:tcPr>
          <w:p w14:paraId="53E12591">
            <w:pPr>
              <w:pStyle w:val="36"/>
            </w:pPr>
            <w:r>
              <w:t>Spatial scale</w:t>
            </w:r>
          </w:p>
        </w:tc>
        <w:tc>
          <w:tcPr>
            <w:tcW w:w="0" w:type="auto"/>
            <w:tcBorders>
              <w:top w:val="single" w:color="000000" w:sz="6" w:space="0"/>
              <w:bottom w:val="single" w:color="000000" w:sz="6" w:space="0"/>
            </w:tcBorders>
            <w:vAlign w:val="center"/>
          </w:tcPr>
          <w:p w14:paraId="7F6B0570">
            <w:pPr>
              <w:pStyle w:val="36"/>
            </w:pPr>
            <w:r>
              <w:t>Notes</w:t>
            </w:r>
          </w:p>
        </w:tc>
      </w:tr>
      <w:tr w14:paraId="37C7B2F6">
        <w:trPr>
          <w:cantSplit/>
          <w:tblCellSpacing w:w="15" w:type="dxa"/>
        </w:trPr>
        <w:tc>
          <w:tcPr>
            <w:tcW w:w="0" w:type="auto"/>
            <w:vAlign w:val="center"/>
          </w:tcPr>
          <w:p w14:paraId="2723EBB3">
            <w:pPr>
              <w:pStyle w:val="37"/>
            </w:pPr>
            <w:r>
              <w:t>Baseline population</w:t>
            </w:r>
          </w:p>
        </w:tc>
        <w:tc>
          <w:tcPr>
            <w:tcW w:w="0" w:type="auto"/>
            <w:vAlign w:val="center"/>
          </w:tcPr>
          <w:p w14:paraId="281606D9">
            <w:pPr>
              <w:pStyle w:val="37"/>
            </w:pPr>
            <w:r>
              <w:t>Baseline population matrix (sex × five-year age group)</w:t>
            </w:r>
          </w:p>
        </w:tc>
        <w:tc>
          <w:tcPr>
            <w:tcW w:w="0" w:type="auto"/>
            <w:vAlign w:val="center"/>
          </w:tcPr>
          <w:p w14:paraId="70117DFC">
            <w:pPr>
              <w:pStyle w:val="37"/>
            </w:pPr>
            <w:r>
              <w:t>Constructed from the resident population of administrative villages in the Seventh National Population Census (2020). Population was organized by sex and five-year age groups (0–4, 5–9, …, 100+).</w:t>
            </w:r>
          </w:p>
        </w:tc>
        <w:tc>
          <w:tcPr>
            <w:tcW w:w="0" w:type="auto"/>
            <w:vAlign w:val="center"/>
          </w:tcPr>
          <w:p w14:paraId="6A1B0D80">
            <w:pPr>
              <w:pStyle w:val="37"/>
            </w:pPr>
            <w:r>
              <w:t>Village</w:t>
            </w:r>
          </w:p>
        </w:tc>
        <w:tc>
          <w:tcPr>
            <w:tcW w:w="0" w:type="auto"/>
            <w:vAlign w:val="center"/>
          </w:tcPr>
          <w:p w14:paraId="2AE1E981">
            <w:pPr>
              <w:pStyle w:val="37"/>
            </w:pPr>
            <w:r>
              <w:t>Provides the baseline demographic structure for cohort advancement and demographic scenario simulation.</w:t>
            </w:r>
          </w:p>
        </w:tc>
      </w:tr>
      <w:tr w14:paraId="0AE1EDC3">
        <w:trPr>
          <w:cantSplit/>
          <w:tblCellSpacing w:w="15" w:type="dxa"/>
        </w:trPr>
        <w:tc>
          <w:tcPr>
            <w:tcW w:w="0" w:type="auto"/>
            <w:vAlign w:val="center"/>
          </w:tcPr>
          <w:p w14:paraId="03294A95">
            <w:pPr>
              <w:pStyle w:val="37"/>
            </w:pPr>
            <w:r>
              <w:t>Fertility</w:t>
            </w:r>
          </w:p>
        </w:tc>
        <w:tc>
          <w:tcPr>
            <w:tcW w:w="0" w:type="auto"/>
            <w:vAlign w:val="center"/>
          </w:tcPr>
          <w:p w14:paraId="621EE6FB">
            <w:pPr>
              <w:pStyle w:val="37"/>
            </w:pPr>
            <w:r>
              <w:t>Age-specific fertility rates (ASFR; ages 15–49)</w:t>
            </w:r>
          </w:p>
        </w:tc>
        <w:tc>
          <w:tcPr>
            <w:tcW w:w="0" w:type="auto"/>
            <w:vAlign w:val="center"/>
          </w:tcPr>
          <w:p w14:paraId="56901582">
            <w:pPr>
              <w:pStyle w:val="37"/>
            </w:pPr>
            <w:r>
              <w:t>Baseline fertility schedules were derived from district- and county-level age-specific fertility rates observed in the 2020 census. Where district- or county-level estimates were unavailable, city-level schedules were used as fallback values.</w:t>
            </w:r>
          </w:p>
        </w:tc>
        <w:tc>
          <w:tcPr>
            <w:tcW w:w="0" w:type="auto"/>
            <w:vAlign w:val="center"/>
          </w:tcPr>
          <w:p w14:paraId="70960366">
            <w:pPr>
              <w:pStyle w:val="37"/>
            </w:pPr>
            <w:r>
              <w:t>District / county</w:t>
            </w:r>
          </w:p>
        </w:tc>
        <w:tc>
          <w:tcPr>
            <w:tcW w:w="0" w:type="auto"/>
            <w:vAlign w:val="center"/>
          </w:tcPr>
          <w:p w14:paraId="460D64D4">
            <w:pPr>
              <w:pStyle w:val="37"/>
            </w:pPr>
            <w:r>
              <w:t>Used to preserve the age pattern of fertility across scenarios.</w:t>
            </w:r>
          </w:p>
        </w:tc>
      </w:tr>
      <w:tr w14:paraId="4F79A547">
        <w:trPr>
          <w:cantSplit/>
          <w:tblCellSpacing w:w="15" w:type="dxa"/>
        </w:trPr>
        <w:tc>
          <w:tcPr>
            <w:tcW w:w="0" w:type="auto"/>
            <w:vAlign w:val="center"/>
          </w:tcPr>
          <w:p w14:paraId="186B1607">
            <w:pPr>
              <w:pStyle w:val="37"/>
            </w:pPr>
            <w:r>
              <w:t>Fertility scenario</w:t>
            </w:r>
          </w:p>
        </w:tc>
        <w:tc>
          <w:tcPr>
            <w:tcW w:w="0" w:type="auto"/>
            <w:vAlign w:val="center"/>
          </w:tcPr>
          <w:p w14:paraId="5F38C942">
            <w:pPr>
              <w:pStyle w:val="37"/>
            </w:pPr>
            <w:r>
              <w:t>Low-, medium- and high-fertility assumptions</w:t>
            </w:r>
          </w:p>
        </w:tc>
        <w:tc>
          <w:tcPr>
            <w:tcW w:w="0" w:type="auto"/>
            <w:vAlign w:val="center"/>
          </w:tcPr>
          <w:p w14:paraId="208DC417">
            <w:pPr>
              <w:pStyle w:val="37"/>
            </w:pPr>
            <w:r>
              <w:t>The medium scenario retained baseline fertility levels. The low scenario applied downward adjustments of −0.25, −0.40 and −0.50 to the baseline total fertility rate for 2020–2025, 2025–2030 and 2030 onwards, respectively. The high scenario applied corresponding upward adjustments of +0.25, +0.40 and +0.50.</w:t>
            </w:r>
          </w:p>
        </w:tc>
        <w:tc>
          <w:tcPr>
            <w:tcW w:w="0" w:type="auto"/>
            <w:vAlign w:val="center"/>
          </w:tcPr>
          <w:p w14:paraId="79A87B65">
            <w:pPr>
              <w:pStyle w:val="37"/>
            </w:pPr>
            <w:r>
              <w:t>District / county</w:t>
            </w:r>
          </w:p>
        </w:tc>
        <w:tc>
          <w:tcPr>
            <w:tcW w:w="0" w:type="auto"/>
            <w:vAlign w:val="center"/>
          </w:tcPr>
          <w:p w14:paraId="4F92D81D">
            <w:pPr>
              <w:pStyle w:val="37"/>
            </w:pPr>
            <w:r>
              <w:t>Defines demographic uncertainty in future population trajectories.</w:t>
            </w:r>
          </w:p>
        </w:tc>
      </w:tr>
      <w:tr w14:paraId="1B8280FE">
        <w:trPr>
          <w:cantSplit/>
          <w:tblCellSpacing w:w="15" w:type="dxa"/>
        </w:trPr>
        <w:tc>
          <w:tcPr>
            <w:tcW w:w="0" w:type="auto"/>
            <w:vAlign w:val="center"/>
          </w:tcPr>
          <w:p w14:paraId="08C67F58">
            <w:pPr>
              <w:pStyle w:val="37"/>
            </w:pPr>
            <w:r>
              <w:t>Births</w:t>
            </w:r>
          </w:p>
        </w:tc>
        <w:tc>
          <w:tcPr>
            <w:tcW w:w="0" w:type="auto"/>
            <w:vAlign w:val="center"/>
          </w:tcPr>
          <w:p w14:paraId="421011AF">
            <w:pPr>
              <w:pStyle w:val="37"/>
            </w:pPr>
            <w:r>
              <w:t>Sex ratio at birth (SRB)</w:t>
            </w:r>
          </w:p>
        </w:tc>
        <w:tc>
          <w:tcPr>
            <w:tcW w:w="0" w:type="auto"/>
            <w:vAlign w:val="center"/>
          </w:tcPr>
          <w:p w14:paraId="7D8341AF">
            <w:pPr>
              <w:pStyle w:val="37"/>
            </w:pPr>
            <w:r>
              <w:t>Fixed at 120.1 male births per 100 female births, consistent with the city-level baseline.</w:t>
            </w:r>
          </w:p>
        </w:tc>
        <w:tc>
          <w:tcPr>
            <w:tcW w:w="0" w:type="auto"/>
            <w:vAlign w:val="center"/>
          </w:tcPr>
          <w:p w14:paraId="2F7BD1FC">
            <w:pPr>
              <w:pStyle w:val="37"/>
            </w:pPr>
            <w:r>
              <w:t>City</w:t>
            </w:r>
          </w:p>
        </w:tc>
        <w:tc>
          <w:tcPr>
            <w:tcW w:w="0" w:type="auto"/>
            <w:vAlign w:val="center"/>
          </w:tcPr>
          <w:p w14:paraId="3C336A51">
            <w:pPr>
              <w:pStyle w:val="37"/>
            </w:pPr>
            <w:r>
              <w:t>Ensures internally consistent sex-specific population projection.</w:t>
            </w:r>
          </w:p>
        </w:tc>
      </w:tr>
      <w:tr w14:paraId="2E706355">
        <w:trPr>
          <w:cantSplit/>
          <w:tblCellSpacing w:w="15" w:type="dxa"/>
        </w:trPr>
        <w:tc>
          <w:tcPr>
            <w:tcW w:w="0" w:type="auto"/>
            <w:vAlign w:val="center"/>
          </w:tcPr>
          <w:p w14:paraId="789B4266">
            <w:pPr>
              <w:pStyle w:val="37"/>
            </w:pPr>
            <w:r>
              <w:t>Mortality</w:t>
            </w:r>
          </w:p>
        </w:tc>
        <w:tc>
          <w:tcPr>
            <w:tcW w:w="0" w:type="auto"/>
            <w:vAlign w:val="center"/>
          </w:tcPr>
          <w:p w14:paraId="774F30BF">
            <w:pPr>
              <w:pStyle w:val="37"/>
            </w:pPr>
            <w:r>
              <w:t>Baseline life table</w:t>
            </w:r>
          </w:p>
        </w:tc>
        <w:tc>
          <w:tcPr>
            <w:tcW w:w="0" w:type="auto"/>
            <w:vAlign w:val="center"/>
          </w:tcPr>
          <w:p w14:paraId="340E0C98">
            <w:pPr>
              <w:pStyle w:val="37"/>
            </w:pPr>
            <w:r>
              <w:t xml:space="preserve">Derived from the </w:t>
            </w:r>
            <w:r>
              <w:rPr>
                <w:i/>
                <w:iCs/>
              </w:rPr>
              <w:t>China Life Insurance Industry Experience Life Table</w:t>
            </w:r>
            <w:r>
              <w:t xml:space="preserve"> (4th edition), released in 2025. Age- and sex-specific survival probabilities were converted into five-year cohort survival ratios.</w:t>
            </w:r>
          </w:p>
        </w:tc>
        <w:tc>
          <w:tcPr>
            <w:tcW w:w="0" w:type="auto"/>
            <w:vAlign w:val="center"/>
          </w:tcPr>
          <w:p w14:paraId="1A05EAC7">
            <w:pPr>
              <w:pStyle w:val="37"/>
            </w:pPr>
            <w:r>
              <w:t>City</w:t>
            </w:r>
          </w:p>
        </w:tc>
        <w:tc>
          <w:tcPr>
            <w:tcW w:w="0" w:type="auto"/>
            <w:vAlign w:val="center"/>
          </w:tcPr>
          <w:p w14:paraId="700C99AD">
            <w:pPr>
              <w:pStyle w:val="37"/>
            </w:pPr>
            <w:r>
              <w:t>Provides baseline survival assumptions for cohort transition.</w:t>
            </w:r>
          </w:p>
        </w:tc>
      </w:tr>
      <w:tr w14:paraId="3465CF18">
        <w:trPr>
          <w:cantSplit/>
          <w:tblCellSpacing w:w="15" w:type="dxa"/>
        </w:trPr>
        <w:tc>
          <w:tcPr>
            <w:tcW w:w="0" w:type="auto"/>
            <w:vAlign w:val="center"/>
          </w:tcPr>
          <w:p w14:paraId="289F737F">
            <w:pPr>
              <w:pStyle w:val="37"/>
            </w:pPr>
            <w:r>
              <w:t>Mortality improvement</w:t>
            </w:r>
          </w:p>
        </w:tc>
        <w:tc>
          <w:tcPr>
            <w:tcW w:w="0" w:type="auto"/>
            <w:vAlign w:val="center"/>
          </w:tcPr>
          <w:p w14:paraId="081E8AC9">
            <w:pPr>
              <w:pStyle w:val="37"/>
            </w:pPr>
            <w:r>
              <w:t>Annual mortality improvement rate</w:t>
            </w:r>
          </w:p>
        </w:tc>
        <w:tc>
          <w:tcPr>
            <w:tcW w:w="0" w:type="auto"/>
            <w:vAlign w:val="center"/>
          </w:tcPr>
          <w:p w14:paraId="16BEE49D">
            <w:pPr>
              <w:pStyle w:val="37"/>
            </w:pPr>
            <w:r>
              <w:t>Following the ONS-style medium assumption: approximately 1.1% per year for ages 0–90, declining progressively at older ages and approaching zero at very advanced ages.</w:t>
            </w:r>
          </w:p>
        </w:tc>
        <w:tc>
          <w:tcPr>
            <w:tcW w:w="0" w:type="auto"/>
            <w:vAlign w:val="center"/>
          </w:tcPr>
          <w:p w14:paraId="3455193A">
            <w:pPr>
              <w:pStyle w:val="37"/>
            </w:pPr>
            <w:r>
              <w:t>City</w:t>
            </w:r>
          </w:p>
        </w:tc>
        <w:tc>
          <w:tcPr>
            <w:tcW w:w="0" w:type="auto"/>
            <w:vAlign w:val="center"/>
          </w:tcPr>
          <w:p w14:paraId="3FB596C5">
            <w:pPr>
              <w:pStyle w:val="37"/>
            </w:pPr>
            <w:r>
              <w:t>Introduces long-term survival improvement over the projection horizon.</w:t>
            </w:r>
          </w:p>
        </w:tc>
      </w:tr>
      <w:tr w14:paraId="2036C9E7">
        <w:trPr>
          <w:cantSplit/>
          <w:tblCellSpacing w:w="15" w:type="dxa"/>
        </w:trPr>
        <w:tc>
          <w:tcPr>
            <w:tcW w:w="0" w:type="auto"/>
            <w:vAlign w:val="center"/>
          </w:tcPr>
          <w:p w14:paraId="40C6A928">
            <w:pPr>
              <w:pStyle w:val="37"/>
            </w:pPr>
            <w:r>
              <w:t>Migration level</w:t>
            </w:r>
          </w:p>
        </w:tc>
        <w:tc>
          <w:tcPr>
            <w:tcW w:w="0" w:type="auto"/>
            <w:vAlign w:val="center"/>
          </w:tcPr>
          <w:p w14:paraId="20542A6A">
            <w:pPr>
              <w:pStyle w:val="37"/>
            </w:pPr>
            <w:r>
              <w:t>District- and county-level net migration pathway</w:t>
            </w:r>
          </w:p>
        </w:tc>
        <w:tc>
          <w:tcPr>
            <w:tcW w:w="0" w:type="auto"/>
            <w:vAlign w:val="center"/>
          </w:tcPr>
          <w:p w14:paraId="57EBF7E7">
            <w:pPr>
              <w:pStyle w:val="37"/>
            </w:pPr>
            <w:r>
              <w:t xml:space="preserve">Net migration rates were estimated from recent population change reported in the </w:t>
            </w:r>
            <w:r>
              <w:rPr>
                <w:i/>
                <w:iCs/>
              </w:rPr>
              <w:t>Quanzhou Statistical Yearbook</w:t>
            </w:r>
            <w:r>
              <w:t xml:space="preserve"> after accounting for natural increase. Net migration was assumed to converge progressively towards zero by 2050.</w:t>
            </w:r>
          </w:p>
        </w:tc>
        <w:tc>
          <w:tcPr>
            <w:tcW w:w="0" w:type="auto"/>
            <w:vAlign w:val="center"/>
          </w:tcPr>
          <w:p w14:paraId="12923921">
            <w:pPr>
              <w:pStyle w:val="37"/>
            </w:pPr>
            <w:r>
              <w:t>District / county</w:t>
            </w:r>
          </w:p>
        </w:tc>
        <w:tc>
          <w:tcPr>
            <w:tcW w:w="0" w:type="auto"/>
            <w:vAlign w:val="center"/>
          </w:tcPr>
          <w:p w14:paraId="0EA66329">
            <w:pPr>
              <w:pStyle w:val="37"/>
            </w:pPr>
            <w:r>
              <w:t>Represents medium-term redistribution without implausible long-run divergence.</w:t>
            </w:r>
          </w:p>
        </w:tc>
      </w:tr>
      <w:tr w14:paraId="311AAD40">
        <w:trPr>
          <w:cantSplit/>
          <w:tblCellSpacing w:w="15" w:type="dxa"/>
        </w:trPr>
        <w:tc>
          <w:tcPr>
            <w:tcW w:w="0" w:type="auto"/>
            <w:vAlign w:val="center"/>
          </w:tcPr>
          <w:p w14:paraId="70EC6A9F">
            <w:pPr>
              <w:pStyle w:val="37"/>
            </w:pPr>
            <w:r>
              <w:t>Migration allocation</w:t>
            </w:r>
          </w:p>
        </w:tc>
        <w:tc>
          <w:tcPr>
            <w:tcW w:w="0" w:type="auto"/>
            <w:vAlign w:val="center"/>
          </w:tcPr>
          <w:p w14:paraId="38C34F72">
            <w:pPr>
              <w:pStyle w:val="37"/>
            </w:pPr>
            <w:r>
              <w:t>Village allocation weight</w:t>
            </w:r>
          </w:p>
        </w:tc>
        <w:tc>
          <w:tcPr>
            <w:tcW w:w="0" w:type="auto"/>
            <w:vAlign w:val="center"/>
          </w:tcPr>
          <w:p w14:paraId="37CBA1A8">
            <w:pPr>
              <w:pStyle w:val="37"/>
            </w:pPr>
            <w:r>
              <w:t>Total district- or county-level net migration was distributed to villages in proportion to each village’s period-start population share within its parent administrative unit.</w:t>
            </w:r>
          </w:p>
        </w:tc>
        <w:tc>
          <w:tcPr>
            <w:tcW w:w="0" w:type="auto"/>
            <w:vAlign w:val="center"/>
          </w:tcPr>
          <w:p w14:paraId="1A056A53">
            <w:pPr>
              <w:pStyle w:val="37"/>
            </w:pPr>
            <w:r>
              <w:t>Village</w:t>
            </w:r>
          </w:p>
        </w:tc>
        <w:tc>
          <w:tcPr>
            <w:tcW w:w="0" w:type="auto"/>
            <w:vAlign w:val="center"/>
          </w:tcPr>
          <w:p w14:paraId="5CCC9FC8">
            <w:pPr>
              <w:pStyle w:val="37"/>
            </w:pPr>
            <w:r>
              <w:t>Links higher-level migration assumptions to village-level projection.</w:t>
            </w:r>
          </w:p>
        </w:tc>
      </w:tr>
      <w:tr w14:paraId="588FC2AF">
        <w:trPr>
          <w:cantSplit/>
          <w:tblCellSpacing w:w="15" w:type="dxa"/>
        </w:trPr>
        <w:tc>
          <w:tcPr>
            <w:tcW w:w="0" w:type="auto"/>
            <w:vAlign w:val="center"/>
          </w:tcPr>
          <w:p w14:paraId="677531CF">
            <w:pPr>
              <w:pStyle w:val="37"/>
            </w:pPr>
            <w:r>
              <w:t>Migration structure</w:t>
            </w:r>
          </w:p>
        </w:tc>
        <w:tc>
          <w:tcPr>
            <w:tcW w:w="0" w:type="auto"/>
            <w:vAlign w:val="center"/>
          </w:tcPr>
          <w:p w14:paraId="1604CFEF">
            <w:pPr>
              <w:pStyle w:val="37"/>
            </w:pPr>
            <w:r>
              <w:t>Age and sex decomposition</w:t>
            </w:r>
          </w:p>
        </w:tc>
        <w:tc>
          <w:tcPr>
            <w:tcW w:w="0" w:type="auto"/>
            <w:vAlign w:val="center"/>
          </w:tcPr>
          <w:p w14:paraId="51A9AF5B">
            <w:pPr>
              <w:pStyle w:val="37"/>
            </w:pPr>
            <w:r>
              <w:t>Net in-migration followed a common age schedule, with the share aged 60 years and above fixed at</w:t>
            </w:r>
            <w:r>
              <w:rPr>
                <w:rFonts w:hint="eastAsia"/>
              </w:rPr>
              <w:t xml:space="preserve"> </w:t>
            </w:r>
            <w:r>
              <w:t>0.05. Net out-migration was deducted in proportion to the projected end-of-period population structure. Sex composition followed the village-specific age–sex structure subject to non-negativity constraints.</w:t>
            </w:r>
          </w:p>
        </w:tc>
        <w:tc>
          <w:tcPr>
            <w:tcW w:w="0" w:type="auto"/>
            <w:vAlign w:val="center"/>
          </w:tcPr>
          <w:p w14:paraId="75B9245A">
            <w:pPr>
              <w:pStyle w:val="37"/>
            </w:pPr>
            <w:r>
              <w:t>Village</w:t>
            </w:r>
          </w:p>
        </w:tc>
        <w:tc>
          <w:tcPr>
            <w:tcW w:w="0" w:type="auto"/>
            <w:vAlign w:val="center"/>
          </w:tcPr>
          <w:p w14:paraId="5AB478EB">
            <w:pPr>
              <w:pStyle w:val="37"/>
            </w:pPr>
            <w:r>
              <w:t>Allows migration to affect both population size and age structure.</w:t>
            </w:r>
          </w:p>
        </w:tc>
      </w:tr>
      <w:tr w14:paraId="73F3A308">
        <w:trPr>
          <w:cantSplit/>
          <w:tblCellSpacing w:w="15" w:type="dxa"/>
        </w:trPr>
        <w:tc>
          <w:tcPr>
            <w:tcW w:w="0" w:type="auto"/>
            <w:tcBorders>
              <w:bottom w:val="single" w:color="000000" w:sz="6" w:space="0"/>
            </w:tcBorders>
            <w:vAlign w:val="center"/>
          </w:tcPr>
          <w:p w14:paraId="1E2CA252">
            <w:pPr>
              <w:pStyle w:val="37"/>
            </w:pPr>
            <w:r>
              <w:t>Output indicators</w:t>
            </w:r>
          </w:p>
        </w:tc>
        <w:tc>
          <w:tcPr>
            <w:tcW w:w="0" w:type="auto"/>
            <w:tcBorders>
              <w:bottom w:val="single" w:color="000000" w:sz="6" w:space="0"/>
            </w:tcBorders>
            <w:vAlign w:val="center"/>
          </w:tcPr>
          <w:p w14:paraId="315BE919">
            <w:pPr>
              <w:pStyle w:val="37"/>
            </w:pPr>
            <w:r>
              <w:t>Demographic outputs for the Social Need Index (SNI)</w:t>
            </w:r>
          </w:p>
        </w:tc>
        <w:tc>
          <w:tcPr>
            <w:tcW w:w="0" w:type="auto"/>
            <w:tcBorders>
              <w:bottom w:val="single" w:color="000000" w:sz="6" w:space="0"/>
            </w:tcBorders>
            <w:vAlign w:val="center"/>
          </w:tcPr>
          <w:p w14:paraId="2E0A3E99">
            <w:pPr>
              <w:pStyle w:val="37"/>
            </w:pPr>
            <w:r>
              <w:t>Annual village-level total population</w:t>
            </w:r>
            <w:bookmarkStart w:id="42" w:name="OLE_LINK17"/>
            <w:r>
              <w:t>,</w:t>
            </w:r>
            <w:bookmarkEnd w:id="42"/>
            <w:r>
              <w:t xml:space="preserve"> population aged 65 years and above, ageing rate and per-capita residential floor area. Five-year projection outputs were linearly interpolated to annual values before assignment to buildings.</w:t>
            </w:r>
          </w:p>
        </w:tc>
        <w:tc>
          <w:tcPr>
            <w:tcW w:w="0" w:type="auto"/>
            <w:tcBorders>
              <w:bottom w:val="single" w:color="000000" w:sz="6" w:space="0"/>
            </w:tcBorders>
            <w:vAlign w:val="center"/>
          </w:tcPr>
          <w:p w14:paraId="5A10373E">
            <w:pPr>
              <w:pStyle w:val="37"/>
            </w:pPr>
            <w:r>
              <w:t>Village</w:t>
            </w:r>
          </w:p>
        </w:tc>
        <w:tc>
          <w:tcPr>
            <w:tcW w:w="0" w:type="auto"/>
            <w:tcBorders>
              <w:bottom w:val="single" w:color="000000" w:sz="6" w:space="0"/>
            </w:tcBorders>
            <w:vAlign w:val="center"/>
          </w:tcPr>
          <w:p w14:paraId="3B242030">
            <w:pPr>
              <w:pStyle w:val="37"/>
            </w:pPr>
            <w:r>
              <w:t>These outputs were linked to buildings and used to update SNI.</w:t>
            </w:r>
          </w:p>
        </w:tc>
      </w:tr>
    </w:tbl>
    <w:p w14:paraId="64C262B0">
      <w:pPr>
        <w:pStyle w:val="35"/>
        <w:keepLines/>
      </w:pPr>
      <w:r>
        <w:t>Note: Population is projected from the 2020 census baseline. Five-year outputs are interpolated annually before allocation to buildings and incorporation into the Social Need Index.</w:t>
      </w:r>
    </w:p>
    <w:p w14:paraId="1050F2A6">
      <w:pPr>
        <w:keepLines/>
      </w:pPr>
      <w:r>
        <w:br w:type="page"/>
      </w:r>
    </w:p>
    <w:p w14:paraId="0C7995B0">
      <w:pPr>
        <w:pStyle w:val="33"/>
        <w:keepLines/>
      </w:pPr>
      <w:r>
        <w:t>Supplementary Table 4 | Baseline characteristics of urban and rural residential stock by construction period, 1980–2020.</w:t>
      </w:r>
    </w:p>
    <w:tbl>
      <w:tblPr>
        <w:tblStyle w:val="6"/>
        <w:tblW w:w="5000"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6"/>
        <w:gridCol w:w="1238"/>
        <w:gridCol w:w="1174"/>
        <w:gridCol w:w="1187"/>
        <w:gridCol w:w="971"/>
        <w:gridCol w:w="748"/>
        <w:gridCol w:w="768"/>
        <w:gridCol w:w="1300"/>
        <w:gridCol w:w="1158"/>
        <w:gridCol w:w="1045"/>
        <w:gridCol w:w="1073"/>
      </w:tblGrid>
      <w:tr w14:paraId="25018DE5">
        <w:trPr>
          <w:cantSplit/>
          <w:trHeight w:val="478" w:hRule="atLeast"/>
          <w:tblHeader/>
        </w:trPr>
        <w:tc>
          <w:tcPr>
            <w:tcW w:w="367" w:type="pct"/>
            <w:vMerge w:val="restart"/>
            <w:tcBorders>
              <w:top w:val="single" w:color="000000" w:sz="6" w:space="0"/>
              <w:bottom w:val="single" w:color="auto" w:sz="4" w:space="0"/>
            </w:tcBorders>
            <w:vAlign w:val="center"/>
          </w:tcPr>
          <w:p w14:paraId="2F702A13">
            <w:pPr>
              <w:pStyle w:val="36"/>
            </w:pPr>
            <w:r>
              <w:t>Region</w:t>
            </w:r>
          </w:p>
        </w:tc>
        <w:tc>
          <w:tcPr>
            <w:tcW w:w="538" w:type="pct"/>
            <w:vMerge w:val="restart"/>
            <w:tcBorders>
              <w:top w:val="single" w:color="000000" w:sz="6" w:space="0"/>
              <w:bottom w:val="single" w:color="auto" w:sz="4" w:space="0"/>
            </w:tcBorders>
            <w:vAlign w:val="center"/>
          </w:tcPr>
          <w:p w14:paraId="7D0AEA06">
            <w:pPr>
              <w:pStyle w:val="36"/>
            </w:pPr>
            <w:r>
              <w:t>Construction period</w:t>
            </w:r>
          </w:p>
        </w:tc>
        <w:tc>
          <w:tcPr>
            <w:tcW w:w="510" w:type="pct"/>
            <w:vMerge w:val="restart"/>
            <w:tcBorders>
              <w:top w:val="single" w:color="000000" w:sz="6" w:space="0"/>
              <w:bottom w:val="nil"/>
            </w:tcBorders>
            <w:vAlign w:val="center"/>
          </w:tcPr>
          <w:p w14:paraId="26C0E131">
            <w:pPr>
              <w:pStyle w:val="36"/>
            </w:pPr>
            <w:r>
              <w:t>Building count</w:t>
            </w:r>
          </w:p>
        </w:tc>
        <w:tc>
          <w:tcPr>
            <w:tcW w:w="516" w:type="pct"/>
            <w:vMerge w:val="restart"/>
            <w:tcBorders>
              <w:top w:val="single" w:color="000000" w:sz="6" w:space="0"/>
              <w:bottom w:val="nil"/>
            </w:tcBorders>
            <w:vAlign w:val="center"/>
          </w:tcPr>
          <w:p w14:paraId="508BD5C3">
            <w:pPr>
              <w:pStyle w:val="36"/>
            </w:pPr>
            <w:r>
              <w:rPr>
                <w:rFonts w:hint="eastAsia"/>
              </w:rPr>
              <w:t>Land</w:t>
            </w:r>
            <w:r>
              <w:t xml:space="preserve"> area </w:t>
            </w:r>
          </w:p>
          <w:p w14:paraId="1F948630">
            <w:pPr>
              <w:pStyle w:val="36"/>
            </w:pPr>
            <w:r>
              <w:t>(ha)</w:t>
            </w:r>
          </w:p>
        </w:tc>
        <w:tc>
          <w:tcPr>
            <w:tcW w:w="422" w:type="pct"/>
            <w:vMerge w:val="restart"/>
            <w:tcBorders>
              <w:top w:val="single" w:color="000000" w:sz="6" w:space="0"/>
              <w:bottom w:val="nil"/>
            </w:tcBorders>
            <w:vAlign w:val="center"/>
          </w:tcPr>
          <w:p w14:paraId="1FECABF1">
            <w:pPr>
              <w:pStyle w:val="36"/>
            </w:pPr>
            <w:r>
              <w:t>Mean height (m)</w:t>
            </w:r>
          </w:p>
        </w:tc>
        <w:tc>
          <w:tcPr>
            <w:tcW w:w="325" w:type="pct"/>
            <w:vMerge w:val="restart"/>
            <w:tcBorders>
              <w:top w:val="single" w:color="000000" w:sz="6" w:space="0"/>
              <w:bottom w:val="nil"/>
            </w:tcBorders>
            <w:vAlign w:val="center"/>
          </w:tcPr>
          <w:p w14:paraId="558D017C">
            <w:pPr>
              <w:pStyle w:val="36"/>
            </w:pPr>
            <w:r>
              <w:t>Mean storeys</w:t>
            </w:r>
          </w:p>
        </w:tc>
        <w:tc>
          <w:tcPr>
            <w:tcW w:w="2322" w:type="pct"/>
            <w:gridSpan w:val="5"/>
            <w:tcBorders>
              <w:top w:val="single" w:color="000000" w:sz="6" w:space="0"/>
              <w:bottom w:val="single" w:color="000000" w:sz="6" w:space="0"/>
            </w:tcBorders>
            <w:vAlign w:val="center"/>
          </w:tcPr>
          <w:p w14:paraId="1D7ED016">
            <w:pPr>
              <w:pStyle w:val="36"/>
              <w:rPr>
                <w:lang w:bidi="ar"/>
              </w:rPr>
            </w:pPr>
            <w:r>
              <w:rPr>
                <w:rFonts w:hint="eastAsia"/>
              </w:rPr>
              <w:t>Land</w:t>
            </w:r>
            <w:r>
              <w:t xml:space="preserve"> area</w:t>
            </w:r>
            <w:r>
              <w:rPr>
                <w:rFonts w:hint="eastAsia"/>
              </w:rPr>
              <w:t xml:space="preserve"> of d</w:t>
            </w:r>
            <w:r>
              <w:rPr>
                <w:lang w:bidi="ar"/>
              </w:rPr>
              <w:t>ominant structural type</w:t>
            </w:r>
          </w:p>
        </w:tc>
      </w:tr>
      <w:tr w14:paraId="2E13FAEB">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PrEx>
        <w:trPr>
          <w:cantSplit/>
          <w:trHeight w:val="697" w:hRule="atLeast"/>
        </w:trPr>
        <w:tc>
          <w:tcPr>
            <w:tcW w:w="367" w:type="pct"/>
            <w:vMerge w:val="continue"/>
            <w:tcBorders>
              <w:top w:val="nil"/>
              <w:bottom w:val="single" w:color="auto" w:sz="4" w:space="0"/>
            </w:tcBorders>
            <w:vAlign w:val="center"/>
          </w:tcPr>
          <w:p w14:paraId="47AD62FB">
            <w:pPr>
              <w:pStyle w:val="36"/>
            </w:pPr>
          </w:p>
        </w:tc>
        <w:tc>
          <w:tcPr>
            <w:tcW w:w="538" w:type="pct"/>
            <w:vMerge w:val="continue"/>
            <w:tcBorders>
              <w:top w:val="nil"/>
              <w:bottom w:val="single" w:color="auto" w:sz="4" w:space="0"/>
            </w:tcBorders>
            <w:vAlign w:val="center"/>
          </w:tcPr>
          <w:p w14:paraId="61BB1A63">
            <w:pPr>
              <w:pStyle w:val="36"/>
            </w:pPr>
          </w:p>
        </w:tc>
        <w:tc>
          <w:tcPr>
            <w:tcW w:w="510" w:type="pct"/>
            <w:vMerge w:val="continue"/>
            <w:tcBorders>
              <w:top w:val="nil"/>
              <w:bottom w:val="single" w:color="auto" w:sz="4" w:space="0"/>
            </w:tcBorders>
            <w:vAlign w:val="center"/>
          </w:tcPr>
          <w:p w14:paraId="61F034AF">
            <w:pPr>
              <w:pStyle w:val="36"/>
            </w:pPr>
          </w:p>
        </w:tc>
        <w:tc>
          <w:tcPr>
            <w:tcW w:w="516" w:type="pct"/>
            <w:vMerge w:val="continue"/>
            <w:tcBorders>
              <w:top w:val="nil"/>
              <w:bottom w:val="single" w:color="auto" w:sz="4" w:space="0"/>
            </w:tcBorders>
            <w:vAlign w:val="center"/>
          </w:tcPr>
          <w:p w14:paraId="57220CEB">
            <w:pPr>
              <w:pStyle w:val="36"/>
            </w:pPr>
          </w:p>
        </w:tc>
        <w:tc>
          <w:tcPr>
            <w:tcW w:w="422" w:type="pct"/>
            <w:vMerge w:val="continue"/>
            <w:tcBorders>
              <w:top w:val="nil"/>
              <w:bottom w:val="single" w:color="auto" w:sz="4" w:space="0"/>
            </w:tcBorders>
            <w:vAlign w:val="center"/>
          </w:tcPr>
          <w:p w14:paraId="50566A10">
            <w:pPr>
              <w:pStyle w:val="36"/>
            </w:pPr>
          </w:p>
        </w:tc>
        <w:tc>
          <w:tcPr>
            <w:tcW w:w="325" w:type="pct"/>
            <w:vMerge w:val="continue"/>
            <w:tcBorders>
              <w:top w:val="nil"/>
              <w:bottom w:val="single" w:color="auto" w:sz="4" w:space="0"/>
            </w:tcBorders>
            <w:vAlign w:val="center"/>
          </w:tcPr>
          <w:p w14:paraId="1E2FC7B9">
            <w:pPr>
              <w:pStyle w:val="36"/>
            </w:pPr>
          </w:p>
        </w:tc>
        <w:tc>
          <w:tcPr>
            <w:tcW w:w="334" w:type="pct"/>
            <w:tcBorders>
              <w:top w:val="single" w:color="000000" w:sz="6" w:space="0"/>
              <w:bottom w:val="single" w:color="auto" w:sz="4" w:space="0"/>
            </w:tcBorders>
            <w:vAlign w:val="center"/>
          </w:tcPr>
          <w:p w14:paraId="2A0DCADE">
            <w:pPr>
              <w:pStyle w:val="36"/>
            </w:pPr>
            <w:r>
              <w:t>Steel</w:t>
            </w:r>
          </w:p>
          <w:p w14:paraId="6E2C6523">
            <w:pPr>
              <w:pStyle w:val="36"/>
            </w:pPr>
            <w:r>
              <w:t>(ha)</w:t>
            </w:r>
          </w:p>
        </w:tc>
        <w:tc>
          <w:tcPr>
            <w:tcW w:w="565" w:type="pct"/>
            <w:tcBorders>
              <w:top w:val="single" w:color="000000" w:sz="6" w:space="0"/>
              <w:bottom w:val="single" w:color="auto" w:sz="4" w:space="0"/>
            </w:tcBorders>
            <w:vAlign w:val="center"/>
          </w:tcPr>
          <w:p w14:paraId="3830DC49">
            <w:pPr>
              <w:pStyle w:val="36"/>
            </w:pPr>
            <w:r>
              <w:t>Reinforced concrete (ha)</w:t>
            </w:r>
          </w:p>
        </w:tc>
        <w:tc>
          <w:tcPr>
            <w:tcW w:w="503" w:type="pct"/>
            <w:tcBorders>
              <w:top w:val="single" w:color="000000" w:sz="6" w:space="0"/>
              <w:bottom w:val="single" w:color="auto" w:sz="4" w:space="0"/>
            </w:tcBorders>
            <w:vAlign w:val="center"/>
          </w:tcPr>
          <w:p w14:paraId="457FBE00">
            <w:pPr>
              <w:pStyle w:val="36"/>
            </w:pPr>
            <w:r>
              <w:t>Masonry</w:t>
            </w:r>
          </w:p>
          <w:p w14:paraId="50A8EBE7">
            <w:pPr>
              <w:pStyle w:val="36"/>
            </w:pPr>
            <w:r>
              <w:t>(ha)</w:t>
            </w:r>
          </w:p>
        </w:tc>
        <w:tc>
          <w:tcPr>
            <w:tcW w:w="454" w:type="pct"/>
            <w:tcBorders>
              <w:top w:val="single" w:color="000000" w:sz="6" w:space="0"/>
              <w:bottom w:val="single" w:color="auto" w:sz="4" w:space="0"/>
            </w:tcBorders>
            <w:vAlign w:val="center"/>
          </w:tcPr>
          <w:p w14:paraId="7B6ED7F4">
            <w:pPr>
              <w:pStyle w:val="36"/>
            </w:pPr>
            <w:r>
              <w:t>Timber</w:t>
            </w:r>
          </w:p>
          <w:p w14:paraId="665FA014">
            <w:pPr>
              <w:pStyle w:val="36"/>
            </w:pPr>
            <w:r>
              <w:t>(ha)</w:t>
            </w:r>
          </w:p>
        </w:tc>
        <w:tc>
          <w:tcPr>
            <w:tcW w:w="466" w:type="pct"/>
            <w:tcBorders>
              <w:top w:val="single" w:color="000000" w:sz="6" w:space="0"/>
              <w:bottom w:val="single" w:color="auto" w:sz="4" w:space="0"/>
            </w:tcBorders>
            <w:vAlign w:val="center"/>
          </w:tcPr>
          <w:p w14:paraId="7D8D0397">
            <w:pPr>
              <w:pStyle w:val="36"/>
            </w:pPr>
            <w:r>
              <w:t>Other</w:t>
            </w:r>
          </w:p>
          <w:p w14:paraId="25CFC060">
            <w:pPr>
              <w:pStyle w:val="36"/>
            </w:pPr>
            <w:r>
              <w:t>(ha)</w:t>
            </w:r>
          </w:p>
        </w:tc>
      </w:tr>
      <w:tr w14:paraId="6559C2B2">
        <w:trPr>
          <w:cantSplit/>
          <w:trHeight w:val="340" w:hRule="atLeast"/>
        </w:trPr>
        <w:tc>
          <w:tcPr>
            <w:tcW w:w="367" w:type="pct"/>
            <w:vMerge w:val="restart"/>
            <w:tcBorders>
              <w:top w:val="single" w:color="auto" w:sz="4" w:space="0"/>
            </w:tcBorders>
            <w:vAlign w:val="center"/>
          </w:tcPr>
          <w:p w14:paraId="4F8DCD41">
            <w:pPr>
              <w:pStyle w:val="37"/>
              <w:spacing w:line="240" w:lineRule="auto"/>
            </w:pPr>
            <w:r>
              <w:t>Urban</w:t>
            </w:r>
          </w:p>
        </w:tc>
        <w:tc>
          <w:tcPr>
            <w:tcW w:w="538" w:type="pct"/>
            <w:tcBorders>
              <w:top w:val="single" w:color="auto" w:sz="4" w:space="0"/>
            </w:tcBorders>
            <w:noWrap/>
            <w:vAlign w:val="center"/>
          </w:tcPr>
          <w:p w14:paraId="0E08262F">
            <w:pPr>
              <w:pStyle w:val="37"/>
              <w:spacing w:line="240" w:lineRule="auto"/>
            </w:pPr>
            <w:r>
              <w:t>1980</w:t>
            </w:r>
          </w:p>
        </w:tc>
        <w:tc>
          <w:tcPr>
            <w:tcW w:w="510" w:type="pct"/>
            <w:tcBorders>
              <w:top w:val="single" w:color="auto" w:sz="4" w:space="0"/>
            </w:tcBorders>
            <w:vAlign w:val="bottom"/>
          </w:tcPr>
          <w:p w14:paraId="69AD9E4E">
            <w:pPr>
              <w:pStyle w:val="37"/>
            </w:pPr>
            <w:r>
              <w:t>11789</w:t>
            </w:r>
          </w:p>
        </w:tc>
        <w:tc>
          <w:tcPr>
            <w:tcW w:w="516" w:type="pct"/>
            <w:tcBorders>
              <w:top w:val="single" w:color="auto" w:sz="4" w:space="0"/>
            </w:tcBorders>
            <w:noWrap/>
            <w:vAlign w:val="bottom"/>
          </w:tcPr>
          <w:p w14:paraId="449F103F">
            <w:pPr>
              <w:pStyle w:val="37"/>
            </w:pPr>
            <w:r>
              <w:t>162.41</w:t>
            </w:r>
          </w:p>
        </w:tc>
        <w:tc>
          <w:tcPr>
            <w:tcW w:w="422" w:type="pct"/>
            <w:tcBorders>
              <w:top w:val="single" w:color="auto" w:sz="4" w:space="0"/>
            </w:tcBorders>
            <w:noWrap/>
            <w:vAlign w:val="bottom"/>
          </w:tcPr>
          <w:p w14:paraId="253F08AC">
            <w:pPr>
              <w:pStyle w:val="37"/>
            </w:pPr>
            <w:r>
              <w:t>5.33</w:t>
            </w:r>
          </w:p>
        </w:tc>
        <w:tc>
          <w:tcPr>
            <w:tcW w:w="325" w:type="pct"/>
            <w:tcBorders>
              <w:top w:val="single" w:color="auto" w:sz="4" w:space="0"/>
            </w:tcBorders>
            <w:noWrap/>
            <w:vAlign w:val="bottom"/>
          </w:tcPr>
          <w:p w14:paraId="7E3C6268">
            <w:pPr>
              <w:pStyle w:val="37"/>
            </w:pPr>
            <w:r>
              <w:t>1.73</w:t>
            </w:r>
          </w:p>
        </w:tc>
        <w:tc>
          <w:tcPr>
            <w:tcW w:w="334" w:type="pct"/>
            <w:tcBorders>
              <w:top w:val="single" w:color="auto" w:sz="4" w:space="0"/>
            </w:tcBorders>
            <w:noWrap/>
            <w:vAlign w:val="bottom"/>
          </w:tcPr>
          <w:p w14:paraId="6D982B43">
            <w:pPr>
              <w:pStyle w:val="37"/>
            </w:pPr>
            <w:r>
              <w:t>0.06</w:t>
            </w:r>
          </w:p>
        </w:tc>
        <w:tc>
          <w:tcPr>
            <w:tcW w:w="565" w:type="pct"/>
            <w:tcBorders>
              <w:top w:val="single" w:color="auto" w:sz="4" w:space="0"/>
            </w:tcBorders>
            <w:noWrap/>
            <w:vAlign w:val="bottom"/>
          </w:tcPr>
          <w:p w14:paraId="01C0905F">
            <w:pPr>
              <w:pStyle w:val="37"/>
            </w:pPr>
            <w:r>
              <w:t>5.46</w:t>
            </w:r>
          </w:p>
        </w:tc>
        <w:tc>
          <w:tcPr>
            <w:tcW w:w="503" w:type="pct"/>
            <w:tcBorders>
              <w:top w:val="single" w:color="auto" w:sz="4" w:space="0"/>
            </w:tcBorders>
            <w:noWrap/>
            <w:vAlign w:val="bottom"/>
          </w:tcPr>
          <w:p w14:paraId="536F36B2">
            <w:pPr>
              <w:pStyle w:val="37"/>
            </w:pPr>
            <w:r>
              <w:t>60.55</w:t>
            </w:r>
          </w:p>
        </w:tc>
        <w:tc>
          <w:tcPr>
            <w:tcW w:w="454" w:type="pct"/>
            <w:tcBorders>
              <w:top w:val="single" w:color="auto" w:sz="4" w:space="0"/>
            </w:tcBorders>
            <w:noWrap/>
            <w:vAlign w:val="bottom"/>
          </w:tcPr>
          <w:p w14:paraId="6C922E9E">
            <w:pPr>
              <w:pStyle w:val="37"/>
            </w:pPr>
            <w:r>
              <w:t>2.09</w:t>
            </w:r>
          </w:p>
        </w:tc>
        <w:tc>
          <w:tcPr>
            <w:tcW w:w="466" w:type="pct"/>
            <w:tcBorders>
              <w:top w:val="single" w:color="auto" w:sz="4" w:space="0"/>
            </w:tcBorders>
            <w:vAlign w:val="bottom"/>
          </w:tcPr>
          <w:p w14:paraId="3F136014">
            <w:pPr>
              <w:pStyle w:val="37"/>
            </w:pPr>
            <w:r>
              <w:t>94.24</w:t>
            </w:r>
          </w:p>
        </w:tc>
      </w:tr>
      <w:tr w14:paraId="5635B485">
        <w:trPr>
          <w:cantSplit/>
          <w:trHeight w:val="340" w:hRule="atLeast"/>
        </w:trPr>
        <w:tc>
          <w:tcPr>
            <w:tcW w:w="367" w:type="pct"/>
            <w:vMerge w:val="continue"/>
          </w:tcPr>
          <w:p w14:paraId="3F8F01ED">
            <w:pPr>
              <w:pStyle w:val="37"/>
              <w:spacing w:line="240" w:lineRule="auto"/>
            </w:pPr>
          </w:p>
        </w:tc>
        <w:tc>
          <w:tcPr>
            <w:tcW w:w="538" w:type="pct"/>
            <w:noWrap/>
            <w:vAlign w:val="center"/>
          </w:tcPr>
          <w:p w14:paraId="6C49C413">
            <w:pPr>
              <w:pStyle w:val="37"/>
              <w:spacing w:line="240" w:lineRule="auto"/>
            </w:pPr>
            <w:r>
              <w:t>1990</w:t>
            </w:r>
          </w:p>
        </w:tc>
        <w:tc>
          <w:tcPr>
            <w:tcW w:w="510" w:type="pct"/>
            <w:vAlign w:val="bottom"/>
          </w:tcPr>
          <w:p w14:paraId="64F40B14">
            <w:pPr>
              <w:pStyle w:val="37"/>
            </w:pPr>
            <w:r>
              <w:t>32522</w:t>
            </w:r>
          </w:p>
        </w:tc>
        <w:tc>
          <w:tcPr>
            <w:tcW w:w="516" w:type="pct"/>
            <w:noWrap/>
            <w:vAlign w:val="bottom"/>
          </w:tcPr>
          <w:p w14:paraId="0159F9FA">
            <w:pPr>
              <w:pStyle w:val="37"/>
            </w:pPr>
            <w:r>
              <w:t>464.27</w:t>
            </w:r>
          </w:p>
        </w:tc>
        <w:tc>
          <w:tcPr>
            <w:tcW w:w="422" w:type="pct"/>
            <w:noWrap/>
            <w:vAlign w:val="bottom"/>
          </w:tcPr>
          <w:p w14:paraId="73D79B06">
            <w:pPr>
              <w:pStyle w:val="37"/>
            </w:pPr>
            <w:r>
              <w:t>6.95</w:t>
            </w:r>
          </w:p>
        </w:tc>
        <w:tc>
          <w:tcPr>
            <w:tcW w:w="325" w:type="pct"/>
            <w:noWrap/>
            <w:vAlign w:val="bottom"/>
          </w:tcPr>
          <w:p w14:paraId="31631FA8">
            <w:pPr>
              <w:pStyle w:val="37"/>
            </w:pPr>
            <w:r>
              <w:t>2.25</w:t>
            </w:r>
          </w:p>
        </w:tc>
        <w:tc>
          <w:tcPr>
            <w:tcW w:w="334" w:type="pct"/>
            <w:noWrap/>
            <w:vAlign w:val="bottom"/>
          </w:tcPr>
          <w:p w14:paraId="42C23364">
            <w:pPr>
              <w:pStyle w:val="37"/>
            </w:pPr>
            <w:r>
              <w:t>0.59</w:t>
            </w:r>
          </w:p>
        </w:tc>
        <w:tc>
          <w:tcPr>
            <w:tcW w:w="565" w:type="pct"/>
            <w:noWrap/>
            <w:vAlign w:val="bottom"/>
          </w:tcPr>
          <w:p w14:paraId="2F3A687C">
            <w:pPr>
              <w:pStyle w:val="37"/>
            </w:pPr>
            <w:r>
              <w:t>40.29</w:t>
            </w:r>
          </w:p>
        </w:tc>
        <w:tc>
          <w:tcPr>
            <w:tcW w:w="503" w:type="pct"/>
            <w:noWrap/>
            <w:vAlign w:val="bottom"/>
          </w:tcPr>
          <w:p w14:paraId="6EC718C3">
            <w:pPr>
              <w:pStyle w:val="37"/>
            </w:pPr>
            <w:r>
              <w:t>182.05</w:t>
            </w:r>
          </w:p>
        </w:tc>
        <w:tc>
          <w:tcPr>
            <w:tcW w:w="454" w:type="pct"/>
            <w:noWrap/>
            <w:vAlign w:val="bottom"/>
          </w:tcPr>
          <w:p w14:paraId="670DE820">
            <w:pPr>
              <w:pStyle w:val="37"/>
            </w:pPr>
            <w:r>
              <w:t>2.54</w:t>
            </w:r>
          </w:p>
        </w:tc>
        <w:tc>
          <w:tcPr>
            <w:tcW w:w="466" w:type="pct"/>
            <w:vAlign w:val="bottom"/>
          </w:tcPr>
          <w:p w14:paraId="1B8EF40F">
            <w:pPr>
              <w:pStyle w:val="37"/>
            </w:pPr>
            <w:r>
              <w:t>238.81</w:t>
            </w:r>
          </w:p>
        </w:tc>
      </w:tr>
      <w:tr w14:paraId="345B4E99">
        <w:trPr>
          <w:cantSplit/>
          <w:trHeight w:val="340" w:hRule="atLeast"/>
        </w:trPr>
        <w:tc>
          <w:tcPr>
            <w:tcW w:w="367" w:type="pct"/>
            <w:vMerge w:val="continue"/>
          </w:tcPr>
          <w:p w14:paraId="655B40AF">
            <w:pPr>
              <w:pStyle w:val="37"/>
              <w:spacing w:line="240" w:lineRule="auto"/>
            </w:pPr>
          </w:p>
        </w:tc>
        <w:tc>
          <w:tcPr>
            <w:tcW w:w="538" w:type="pct"/>
            <w:noWrap/>
            <w:vAlign w:val="center"/>
          </w:tcPr>
          <w:p w14:paraId="78CD68C4">
            <w:pPr>
              <w:pStyle w:val="37"/>
              <w:spacing w:line="240" w:lineRule="auto"/>
            </w:pPr>
            <w:r>
              <w:t>2000</w:t>
            </w:r>
          </w:p>
        </w:tc>
        <w:tc>
          <w:tcPr>
            <w:tcW w:w="510" w:type="pct"/>
            <w:vAlign w:val="bottom"/>
          </w:tcPr>
          <w:p w14:paraId="7B391652">
            <w:pPr>
              <w:pStyle w:val="37"/>
            </w:pPr>
            <w:r>
              <w:t>72857</w:t>
            </w:r>
          </w:p>
        </w:tc>
        <w:tc>
          <w:tcPr>
            <w:tcW w:w="516" w:type="pct"/>
            <w:noWrap/>
            <w:vAlign w:val="bottom"/>
          </w:tcPr>
          <w:p w14:paraId="581A3003">
            <w:pPr>
              <w:pStyle w:val="37"/>
            </w:pPr>
            <w:r>
              <w:t>1,147.67</w:t>
            </w:r>
          </w:p>
        </w:tc>
        <w:tc>
          <w:tcPr>
            <w:tcW w:w="422" w:type="pct"/>
            <w:noWrap/>
            <w:vAlign w:val="bottom"/>
          </w:tcPr>
          <w:p w14:paraId="7FB0D667">
            <w:pPr>
              <w:pStyle w:val="37"/>
            </w:pPr>
            <w:r>
              <w:t>8.94</w:t>
            </w:r>
          </w:p>
        </w:tc>
        <w:tc>
          <w:tcPr>
            <w:tcW w:w="325" w:type="pct"/>
            <w:noWrap/>
            <w:vAlign w:val="bottom"/>
          </w:tcPr>
          <w:p w14:paraId="3E1E1C2A">
            <w:pPr>
              <w:pStyle w:val="37"/>
            </w:pPr>
            <w:r>
              <w:t>2.90</w:t>
            </w:r>
          </w:p>
        </w:tc>
        <w:tc>
          <w:tcPr>
            <w:tcW w:w="334" w:type="pct"/>
            <w:noWrap/>
            <w:vAlign w:val="bottom"/>
          </w:tcPr>
          <w:p w14:paraId="242B3CB8">
            <w:pPr>
              <w:pStyle w:val="37"/>
            </w:pPr>
            <w:r>
              <w:t>2.44</w:t>
            </w:r>
          </w:p>
        </w:tc>
        <w:tc>
          <w:tcPr>
            <w:tcW w:w="565" w:type="pct"/>
            <w:noWrap/>
            <w:vAlign w:val="bottom"/>
          </w:tcPr>
          <w:p w14:paraId="29C520EF">
            <w:pPr>
              <w:pStyle w:val="37"/>
            </w:pPr>
            <w:r>
              <w:t>310.65</w:t>
            </w:r>
          </w:p>
        </w:tc>
        <w:tc>
          <w:tcPr>
            <w:tcW w:w="503" w:type="pct"/>
            <w:noWrap/>
            <w:vAlign w:val="bottom"/>
          </w:tcPr>
          <w:p w14:paraId="0A8D2C3F">
            <w:pPr>
              <w:pStyle w:val="37"/>
            </w:pPr>
            <w:r>
              <w:t>434.85</w:t>
            </w:r>
          </w:p>
        </w:tc>
        <w:tc>
          <w:tcPr>
            <w:tcW w:w="454" w:type="pct"/>
            <w:noWrap/>
            <w:vAlign w:val="bottom"/>
          </w:tcPr>
          <w:p w14:paraId="64E721EF">
            <w:pPr>
              <w:pStyle w:val="37"/>
            </w:pPr>
            <w:r>
              <w:t>3.01</w:t>
            </w:r>
          </w:p>
        </w:tc>
        <w:tc>
          <w:tcPr>
            <w:tcW w:w="466" w:type="pct"/>
            <w:vAlign w:val="bottom"/>
          </w:tcPr>
          <w:p w14:paraId="120DBEBF">
            <w:pPr>
              <w:pStyle w:val="37"/>
            </w:pPr>
            <w:r>
              <w:t>396.71</w:t>
            </w:r>
          </w:p>
        </w:tc>
      </w:tr>
      <w:tr w14:paraId="5C0ECA0C">
        <w:trPr>
          <w:cantSplit/>
          <w:trHeight w:val="340" w:hRule="atLeast"/>
        </w:trPr>
        <w:tc>
          <w:tcPr>
            <w:tcW w:w="367" w:type="pct"/>
            <w:vMerge w:val="continue"/>
          </w:tcPr>
          <w:p w14:paraId="2DE319AD">
            <w:pPr>
              <w:pStyle w:val="37"/>
              <w:spacing w:line="240" w:lineRule="auto"/>
            </w:pPr>
          </w:p>
        </w:tc>
        <w:tc>
          <w:tcPr>
            <w:tcW w:w="538" w:type="pct"/>
            <w:noWrap/>
            <w:vAlign w:val="center"/>
          </w:tcPr>
          <w:p w14:paraId="7C5CD05F">
            <w:pPr>
              <w:pStyle w:val="37"/>
              <w:spacing w:line="240" w:lineRule="auto"/>
            </w:pPr>
            <w:r>
              <w:t>2010</w:t>
            </w:r>
          </w:p>
        </w:tc>
        <w:tc>
          <w:tcPr>
            <w:tcW w:w="510" w:type="pct"/>
            <w:vAlign w:val="bottom"/>
          </w:tcPr>
          <w:p w14:paraId="0FB2B424">
            <w:pPr>
              <w:pStyle w:val="37"/>
            </w:pPr>
            <w:r>
              <w:t>118331</w:t>
            </w:r>
          </w:p>
        </w:tc>
        <w:tc>
          <w:tcPr>
            <w:tcW w:w="516" w:type="pct"/>
            <w:noWrap/>
            <w:vAlign w:val="bottom"/>
          </w:tcPr>
          <w:p w14:paraId="55B584A5">
            <w:pPr>
              <w:pStyle w:val="37"/>
            </w:pPr>
            <w:r>
              <w:t>2,301.07</w:t>
            </w:r>
          </w:p>
        </w:tc>
        <w:tc>
          <w:tcPr>
            <w:tcW w:w="422" w:type="pct"/>
            <w:noWrap/>
            <w:vAlign w:val="bottom"/>
          </w:tcPr>
          <w:p w14:paraId="2FAE974B">
            <w:pPr>
              <w:pStyle w:val="37"/>
            </w:pPr>
            <w:r>
              <w:t>10.80</w:t>
            </w:r>
          </w:p>
        </w:tc>
        <w:tc>
          <w:tcPr>
            <w:tcW w:w="325" w:type="pct"/>
            <w:noWrap/>
            <w:vAlign w:val="bottom"/>
          </w:tcPr>
          <w:p w14:paraId="57EEDA8E">
            <w:pPr>
              <w:pStyle w:val="37"/>
            </w:pPr>
            <w:r>
              <w:t>3.50</w:t>
            </w:r>
          </w:p>
        </w:tc>
        <w:tc>
          <w:tcPr>
            <w:tcW w:w="334" w:type="pct"/>
            <w:noWrap/>
            <w:vAlign w:val="bottom"/>
          </w:tcPr>
          <w:p w14:paraId="01437047">
            <w:pPr>
              <w:pStyle w:val="37"/>
            </w:pPr>
            <w:r>
              <w:t>18.11</w:t>
            </w:r>
          </w:p>
        </w:tc>
        <w:tc>
          <w:tcPr>
            <w:tcW w:w="565" w:type="pct"/>
            <w:noWrap/>
            <w:vAlign w:val="bottom"/>
          </w:tcPr>
          <w:p w14:paraId="1336FC7B">
            <w:pPr>
              <w:pStyle w:val="37"/>
            </w:pPr>
            <w:r>
              <w:t>1,098.51</w:t>
            </w:r>
          </w:p>
        </w:tc>
        <w:tc>
          <w:tcPr>
            <w:tcW w:w="503" w:type="pct"/>
            <w:noWrap/>
            <w:vAlign w:val="bottom"/>
          </w:tcPr>
          <w:p w14:paraId="3F80C65D">
            <w:pPr>
              <w:pStyle w:val="37"/>
            </w:pPr>
            <w:r>
              <w:t>721.68</w:t>
            </w:r>
          </w:p>
        </w:tc>
        <w:tc>
          <w:tcPr>
            <w:tcW w:w="454" w:type="pct"/>
            <w:noWrap/>
            <w:vAlign w:val="bottom"/>
          </w:tcPr>
          <w:p w14:paraId="4A46AE4C">
            <w:pPr>
              <w:pStyle w:val="37"/>
            </w:pPr>
            <w:r>
              <w:t>3.14</w:t>
            </w:r>
          </w:p>
        </w:tc>
        <w:tc>
          <w:tcPr>
            <w:tcW w:w="466" w:type="pct"/>
            <w:vAlign w:val="bottom"/>
          </w:tcPr>
          <w:p w14:paraId="149966F0">
            <w:pPr>
              <w:pStyle w:val="37"/>
            </w:pPr>
            <w:r>
              <w:t>459.63</w:t>
            </w:r>
          </w:p>
        </w:tc>
      </w:tr>
      <w:tr w14:paraId="5C569AFB">
        <w:trPr>
          <w:cantSplit/>
          <w:trHeight w:val="340" w:hRule="atLeast"/>
        </w:trPr>
        <w:tc>
          <w:tcPr>
            <w:tcW w:w="367" w:type="pct"/>
            <w:vMerge w:val="continue"/>
          </w:tcPr>
          <w:p w14:paraId="3E6A056D">
            <w:pPr>
              <w:pStyle w:val="37"/>
              <w:spacing w:line="240" w:lineRule="auto"/>
            </w:pPr>
          </w:p>
        </w:tc>
        <w:tc>
          <w:tcPr>
            <w:tcW w:w="538" w:type="pct"/>
            <w:noWrap/>
            <w:vAlign w:val="center"/>
          </w:tcPr>
          <w:p w14:paraId="045F02FD">
            <w:pPr>
              <w:pStyle w:val="37"/>
              <w:spacing w:line="240" w:lineRule="auto"/>
            </w:pPr>
            <w:r>
              <w:t>2020</w:t>
            </w:r>
          </w:p>
        </w:tc>
        <w:tc>
          <w:tcPr>
            <w:tcW w:w="510" w:type="pct"/>
            <w:vAlign w:val="bottom"/>
          </w:tcPr>
          <w:p w14:paraId="4C0255F6">
            <w:pPr>
              <w:pStyle w:val="37"/>
            </w:pPr>
            <w:r>
              <w:t>145369</w:t>
            </w:r>
          </w:p>
        </w:tc>
        <w:tc>
          <w:tcPr>
            <w:tcW w:w="516" w:type="pct"/>
            <w:noWrap/>
            <w:vAlign w:val="bottom"/>
          </w:tcPr>
          <w:p w14:paraId="10A8A519">
            <w:pPr>
              <w:pStyle w:val="37"/>
            </w:pPr>
            <w:r>
              <w:t>3,393.29</w:t>
            </w:r>
          </w:p>
        </w:tc>
        <w:tc>
          <w:tcPr>
            <w:tcW w:w="422" w:type="pct"/>
            <w:noWrap/>
            <w:vAlign w:val="bottom"/>
          </w:tcPr>
          <w:p w14:paraId="30D264AF">
            <w:pPr>
              <w:pStyle w:val="37"/>
            </w:pPr>
            <w:r>
              <w:t>13.72</w:t>
            </w:r>
          </w:p>
        </w:tc>
        <w:tc>
          <w:tcPr>
            <w:tcW w:w="325" w:type="pct"/>
            <w:noWrap/>
            <w:vAlign w:val="bottom"/>
          </w:tcPr>
          <w:p w14:paraId="126D54AF">
            <w:pPr>
              <w:pStyle w:val="37"/>
            </w:pPr>
            <w:r>
              <w:t>4.45</w:t>
            </w:r>
          </w:p>
        </w:tc>
        <w:tc>
          <w:tcPr>
            <w:tcW w:w="334" w:type="pct"/>
            <w:noWrap/>
            <w:vAlign w:val="bottom"/>
          </w:tcPr>
          <w:p w14:paraId="07567F84">
            <w:pPr>
              <w:pStyle w:val="37"/>
            </w:pPr>
            <w:r>
              <w:t>27.27</w:t>
            </w:r>
          </w:p>
        </w:tc>
        <w:tc>
          <w:tcPr>
            <w:tcW w:w="565" w:type="pct"/>
            <w:noWrap/>
            <w:vAlign w:val="bottom"/>
          </w:tcPr>
          <w:p w14:paraId="1C669870">
            <w:pPr>
              <w:pStyle w:val="37"/>
            </w:pPr>
            <w:r>
              <w:t>2,099.86</w:t>
            </w:r>
          </w:p>
        </w:tc>
        <w:tc>
          <w:tcPr>
            <w:tcW w:w="503" w:type="pct"/>
            <w:noWrap/>
            <w:vAlign w:val="bottom"/>
          </w:tcPr>
          <w:p w14:paraId="26F2BDFB">
            <w:pPr>
              <w:pStyle w:val="37"/>
            </w:pPr>
            <w:r>
              <w:t>788.00</w:t>
            </w:r>
          </w:p>
        </w:tc>
        <w:tc>
          <w:tcPr>
            <w:tcW w:w="454" w:type="pct"/>
            <w:noWrap/>
            <w:vAlign w:val="bottom"/>
          </w:tcPr>
          <w:p w14:paraId="496F0FFD">
            <w:pPr>
              <w:pStyle w:val="37"/>
            </w:pPr>
            <w:r>
              <w:t>3.26</w:t>
            </w:r>
          </w:p>
        </w:tc>
        <w:tc>
          <w:tcPr>
            <w:tcW w:w="466" w:type="pct"/>
            <w:vAlign w:val="bottom"/>
          </w:tcPr>
          <w:p w14:paraId="44C53387">
            <w:pPr>
              <w:pStyle w:val="37"/>
            </w:pPr>
            <w:r>
              <w:t>474.91</w:t>
            </w:r>
          </w:p>
        </w:tc>
      </w:tr>
      <w:tr w14:paraId="7DFC5DD8">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Height w:val="340" w:hRule="atLeast"/>
        </w:trPr>
        <w:tc>
          <w:tcPr>
            <w:tcW w:w="367" w:type="pct"/>
            <w:vMerge w:val="restart"/>
            <w:vAlign w:val="center"/>
          </w:tcPr>
          <w:p w14:paraId="01848054">
            <w:pPr>
              <w:pStyle w:val="37"/>
              <w:spacing w:line="240" w:lineRule="auto"/>
            </w:pPr>
            <w:r>
              <w:t>Rural</w:t>
            </w:r>
          </w:p>
        </w:tc>
        <w:tc>
          <w:tcPr>
            <w:tcW w:w="538" w:type="pct"/>
            <w:noWrap/>
            <w:vAlign w:val="center"/>
          </w:tcPr>
          <w:p w14:paraId="533BD4A1">
            <w:pPr>
              <w:pStyle w:val="37"/>
              <w:spacing w:line="240" w:lineRule="auto"/>
            </w:pPr>
            <w:r>
              <w:t>1980</w:t>
            </w:r>
          </w:p>
        </w:tc>
        <w:tc>
          <w:tcPr>
            <w:tcW w:w="510" w:type="pct"/>
            <w:vAlign w:val="bottom"/>
          </w:tcPr>
          <w:p w14:paraId="39591495">
            <w:pPr>
              <w:pStyle w:val="37"/>
            </w:pPr>
            <w:r>
              <w:t>150236</w:t>
            </w:r>
          </w:p>
        </w:tc>
        <w:tc>
          <w:tcPr>
            <w:tcW w:w="516" w:type="pct"/>
            <w:noWrap/>
            <w:vAlign w:val="bottom"/>
          </w:tcPr>
          <w:p w14:paraId="2977733E">
            <w:pPr>
              <w:pStyle w:val="37"/>
            </w:pPr>
            <w:r>
              <w:t>2,754.88</w:t>
            </w:r>
          </w:p>
        </w:tc>
        <w:tc>
          <w:tcPr>
            <w:tcW w:w="422" w:type="pct"/>
            <w:noWrap/>
            <w:vAlign w:val="bottom"/>
          </w:tcPr>
          <w:p w14:paraId="668CE691">
            <w:pPr>
              <w:pStyle w:val="37"/>
            </w:pPr>
            <w:r>
              <w:t>5.37</w:t>
            </w:r>
          </w:p>
        </w:tc>
        <w:tc>
          <w:tcPr>
            <w:tcW w:w="325" w:type="pct"/>
            <w:noWrap/>
            <w:vAlign w:val="bottom"/>
          </w:tcPr>
          <w:p w14:paraId="467628BC">
            <w:pPr>
              <w:pStyle w:val="37"/>
            </w:pPr>
            <w:r>
              <w:t>1.52</w:t>
            </w:r>
          </w:p>
        </w:tc>
        <w:tc>
          <w:tcPr>
            <w:tcW w:w="334" w:type="pct"/>
            <w:noWrap/>
            <w:vAlign w:val="bottom"/>
          </w:tcPr>
          <w:p w14:paraId="3E0588E4">
            <w:pPr>
              <w:pStyle w:val="37"/>
            </w:pPr>
            <w:r>
              <w:t>0.35</w:t>
            </w:r>
          </w:p>
        </w:tc>
        <w:tc>
          <w:tcPr>
            <w:tcW w:w="565" w:type="pct"/>
            <w:noWrap/>
            <w:vAlign w:val="bottom"/>
          </w:tcPr>
          <w:p w14:paraId="75616F70">
            <w:pPr>
              <w:pStyle w:val="37"/>
            </w:pPr>
            <w:r>
              <w:t>9.02</w:t>
            </w:r>
          </w:p>
        </w:tc>
        <w:tc>
          <w:tcPr>
            <w:tcW w:w="503" w:type="pct"/>
            <w:noWrap/>
            <w:vAlign w:val="bottom"/>
          </w:tcPr>
          <w:p w14:paraId="35FD0902">
            <w:pPr>
              <w:pStyle w:val="37"/>
            </w:pPr>
            <w:r>
              <w:t>153.94</w:t>
            </w:r>
          </w:p>
        </w:tc>
        <w:tc>
          <w:tcPr>
            <w:tcW w:w="454" w:type="pct"/>
            <w:noWrap/>
            <w:vAlign w:val="bottom"/>
          </w:tcPr>
          <w:p w14:paraId="474F6C2A">
            <w:pPr>
              <w:pStyle w:val="37"/>
            </w:pPr>
            <w:r>
              <w:t>433.81</w:t>
            </w:r>
          </w:p>
        </w:tc>
        <w:tc>
          <w:tcPr>
            <w:tcW w:w="466" w:type="pct"/>
            <w:vAlign w:val="bottom"/>
          </w:tcPr>
          <w:p w14:paraId="4CF56A50">
            <w:pPr>
              <w:pStyle w:val="37"/>
            </w:pPr>
            <w:r>
              <w:t>2,157.76</w:t>
            </w:r>
          </w:p>
        </w:tc>
      </w:tr>
      <w:tr w14:paraId="3B103AC0">
        <w:trPr>
          <w:cantSplit/>
          <w:trHeight w:val="340" w:hRule="atLeast"/>
        </w:trPr>
        <w:tc>
          <w:tcPr>
            <w:tcW w:w="367" w:type="pct"/>
            <w:vMerge w:val="continue"/>
          </w:tcPr>
          <w:p w14:paraId="55A91F0E">
            <w:pPr>
              <w:pStyle w:val="37"/>
              <w:spacing w:line="240" w:lineRule="auto"/>
            </w:pPr>
          </w:p>
        </w:tc>
        <w:tc>
          <w:tcPr>
            <w:tcW w:w="538" w:type="pct"/>
            <w:noWrap/>
            <w:vAlign w:val="center"/>
          </w:tcPr>
          <w:p w14:paraId="54193207">
            <w:pPr>
              <w:pStyle w:val="37"/>
              <w:spacing w:line="240" w:lineRule="auto"/>
            </w:pPr>
            <w:r>
              <w:t>1990</w:t>
            </w:r>
          </w:p>
        </w:tc>
        <w:tc>
          <w:tcPr>
            <w:tcW w:w="510" w:type="pct"/>
            <w:vAlign w:val="bottom"/>
          </w:tcPr>
          <w:p w14:paraId="65A11D7E">
            <w:pPr>
              <w:pStyle w:val="37"/>
            </w:pPr>
            <w:r>
              <w:t>370963</w:t>
            </w:r>
          </w:p>
        </w:tc>
        <w:tc>
          <w:tcPr>
            <w:tcW w:w="516" w:type="pct"/>
            <w:noWrap/>
            <w:vAlign w:val="bottom"/>
          </w:tcPr>
          <w:p w14:paraId="70F55AA4">
            <w:pPr>
              <w:pStyle w:val="37"/>
            </w:pPr>
            <w:r>
              <w:t>6,627.58</w:t>
            </w:r>
          </w:p>
        </w:tc>
        <w:tc>
          <w:tcPr>
            <w:tcW w:w="422" w:type="pct"/>
            <w:noWrap/>
            <w:vAlign w:val="bottom"/>
          </w:tcPr>
          <w:p w14:paraId="0FA326B0">
            <w:pPr>
              <w:pStyle w:val="37"/>
            </w:pPr>
            <w:r>
              <w:t>5.93</w:t>
            </w:r>
          </w:p>
        </w:tc>
        <w:tc>
          <w:tcPr>
            <w:tcW w:w="325" w:type="pct"/>
            <w:noWrap/>
            <w:vAlign w:val="bottom"/>
          </w:tcPr>
          <w:p w14:paraId="010FF101">
            <w:pPr>
              <w:pStyle w:val="37"/>
            </w:pPr>
            <w:r>
              <w:t>1.74</w:t>
            </w:r>
          </w:p>
        </w:tc>
        <w:tc>
          <w:tcPr>
            <w:tcW w:w="334" w:type="pct"/>
            <w:noWrap/>
            <w:vAlign w:val="bottom"/>
          </w:tcPr>
          <w:p w14:paraId="5B9D5647">
            <w:pPr>
              <w:pStyle w:val="37"/>
            </w:pPr>
            <w:r>
              <w:t>1.52</w:t>
            </w:r>
          </w:p>
        </w:tc>
        <w:tc>
          <w:tcPr>
            <w:tcW w:w="565" w:type="pct"/>
            <w:noWrap/>
            <w:vAlign w:val="bottom"/>
          </w:tcPr>
          <w:p w14:paraId="3E03D45C">
            <w:pPr>
              <w:pStyle w:val="37"/>
            </w:pPr>
            <w:r>
              <w:t>50.76</w:t>
            </w:r>
          </w:p>
        </w:tc>
        <w:tc>
          <w:tcPr>
            <w:tcW w:w="503" w:type="pct"/>
            <w:noWrap/>
            <w:vAlign w:val="bottom"/>
          </w:tcPr>
          <w:p w14:paraId="33F6A850">
            <w:pPr>
              <w:pStyle w:val="37"/>
            </w:pPr>
            <w:r>
              <w:t>720.44</w:t>
            </w:r>
          </w:p>
        </w:tc>
        <w:tc>
          <w:tcPr>
            <w:tcW w:w="454" w:type="pct"/>
            <w:noWrap/>
            <w:vAlign w:val="bottom"/>
          </w:tcPr>
          <w:p w14:paraId="18A3C534">
            <w:pPr>
              <w:pStyle w:val="37"/>
            </w:pPr>
            <w:r>
              <w:t>630.78</w:t>
            </w:r>
          </w:p>
        </w:tc>
        <w:tc>
          <w:tcPr>
            <w:tcW w:w="466" w:type="pct"/>
            <w:vAlign w:val="bottom"/>
          </w:tcPr>
          <w:p w14:paraId="5DD121F2">
            <w:pPr>
              <w:pStyle w:val="37"/>
            </w:pPr>
            <w:r>
              <w:t>5,224.08</w:t>
            </w:r>
          </w:p>
        </w:tc>
      </w:tr>
      <w:tr w14:paraId="5A6C1519">
        <w:trPr>
          <w:cantSplit/>
          <w:trHeight w:val="340" w:hRule="atLeast"/>
        </w:trPr>
        <w:tc>
          <w:tcPr>
            <w:tcW w:w="367" w:type="pct"/>
            <w:vMerge w:val="continue"/>
          </w:tcPr>
          <w:p w14:paraId="78AA988F">
            <w:pPr>
              <w:pStyle w:val="37"/>
              <w:spacing w:line="240" w:lineRule="auto"/>
            </w:pPr>
          </w:p>
        </w:tc>
        <w:tc>
          <w:tcPr>
            <w:tcW w:w="538" w:type="pct"/>
            <w:noWrap/>
            <w:vAlign w:val="center"/>
          </w:tcPr>
          <w:p w14:paraId="43ABAAB9">
            <w:pPr>
              <w:pStyle w:val="37"/>
              <w:spacing w:line="240" w:lineRule="auto"/>
            </w:pPr>
            <w:r>
              <w:t>2000</w:t>
            </w:r>
          </w:p>
        </w:tc>
        <w:tc>
          <w:tcPr>
            <w:tcW w:w="510" w:type="pct"/>
            <w:vAlign w:val="bottom"/>
          </w:tcPr>
          <w:p w14:paraId="2BC14FF4">
            <w:pPr>
              <w:pStyle w:val="37"/>
            </w:pPr>
            <w:r>
              <w:t>657235</w:t>
            </w:r>
          </w:p>
        </w:tc>
        <w:tc>
          <w:tcPr>
            <w:tcW w:w="516" w:type="pct"/>
            <w:noWrap/>
            <w:vAlign w:val="bottom"/>
          </w:tcPr>
          <w:p w14:paraId="322507D4">
            <w:pPr>
              <w:pStyle w:val="37"/>
            </w:pPr>
            <w:r>
              <w:t>11,375.07</w:t>
            </w:r>
          </w:p>
        </w:tc>
        <w:tc>
          <w:tcPr>
            <w:tcW w:w="422" w:type="pct"/>
            <w:noWrap/>
            <w:vAlign w:val="bottom"/>
          </w:tcPr>
          <w:p w14:paraId="51AA0EBB">
            <w:pPr>
              <w:pStyle w:val="37"/>
            </w:pPr>
            <w:r>
              <w:t>6.68</w:t>
            </w:r>
          </w:p>
        </w:tc>
        <w:tc>
          <w:tcPr>
            <w:tcW w:w="325" w:type="pct"/>
            <w:noWrap/>
            <w:vAlign w:val="bottom"/>
          </w:tcPr>
          <w:p w14:paraId="0403F70D">
            <w:pPr>
              <w:pStyle w:val="37"/>
            </w:pPr>
            <w:r>
              <w:t>2.03</w:t>
            </w:r>
          </w:p>
        </w:tc>
        <w:tc>
          <w:tcPr>
            <w:tcW w:w="334" w:type="pct"/>
            <w:noWrap/>
            <w:vAlign w:val="bottom"/>
          </w:tcPr>
          <w:p w14:paraId="27295C68">
            <w:pPr>
              <w:pStyle w:val="37"/>
            </w:pPr>
            <w:r>
              <w:t>13.77</w:t>
            </w:r>
          </w:p>
        </w:tc>
        <w:tc>
          <w:tcPr>
            <w:tcW w:w="565" w:type="pct"/>
            <w:noWrap/>
            <w:vAlign w:val="bottom"/>
          </w:tcPr>
          <w:p w14:paraId="78CABB79">
            <w:pPr>
              <w:pStyle w:val="37"/>
            </w:pPr>
            <w:r>
              <w:t>466.88</w:t>
            </w:r>
          </w:p>
        </w:tc>
        <w:tc>
          <w:tcPr>
            <w:tcW w:w="503" w:type="pct"/>
            <w:noWrap/>
            <w:vAlign w:val="bottom"/>
          </w:tcPr>
          <w:p w14:paraId="14870BEB">
            <w:pPr>
              <w:pStyle w:val="37"/>
            </w:pPr>
            <w:r>
              <w:t>2,506.23</w:t>
            </w:r>
          </w:p>
        </w:tc>
        <w:tc>
          <w:tcPr>
            <w:tcW w:w="454" w:type="pct"/>
            <w:noWrap/>
            <w:vAlign w:val="bottom"/>
          </w:tcPr>
          <w:p w14:paraId="1BE0ECB2">
            <w:pPr>
              <w:pStyle w:val="37"/>
            </w:pPr>
            <w:r>
              <w:t>701.84</w:t>
            </w:r>
          </w:p>
        </w:tc>
        <w:tc>
          <w:tcPr>
            <w:tcW w:w="466" w:type="pct"/>
            <w:vAlign w:val="bottom"/>
          </w:tcPr>
          <w:p w14:paraId="1EE53698">
            <w:pPr>
              <w:pStyle w:val="37"/>
            </w:pPr>
            <w:r>
              <w:t>7,686.35</w:t>
            </w:r>
          </w:p>
        </w:tc>
      </w:tr>
      <w:tr w14:paraId="6FD6C89C">
        <w:trPr>
          <w:cantSplit/>
          <w:trHeight w:val="340" w:hRule="atLeast"/>
        </w:trPr>
        <w:tc>
          <w:tcPr>
            <w:tcW w:w="367" w:type="pct"/>
            <w:vMerge w:val="continue"/>
          </w:tcPr>
          <w:p w14:paraId="7F723C8A">
            <w:pPr>
              <w:pStyle w:val="37"/>
              <w:spacing w:line="240" w:lineRule="auto"/>
            </w:pPr>
          </w:p>
        </w:tc>
        <w:tc>
          <w:tcPr>
            <w:tcW w:w="538" w:type="pct"/>
            <w:noWrap/>
            <w:vAlign w:val="center"/>
          </w:tcPr>
          <w:p w14:paraId="5C897FE1">
            <w:pPr>
              <w:pStyle w:val="37"/>
              <w:spacing w:line="240" w:lineRule="auto"/>
            </w:pPr>
            <w:r>
              <w:t>2010</w:t>
            </w:r>
          </w:p>
        </w:tc>
        <w:tc>
          <w:tcPr>
            <w:tcW w:w="510" w:type="pct"/>
            <w:vAlign w:val="bottom"/>
          </w:tcPr>
          <w:p w14:paraId="21FBBD6C">
            <w:pPr>
              <w:pStyle w:val="37"/>
            </w:pPr>
            <w:r>
              <w:t>1084829</w:t>
            </w:r>
          </w:p>
        </w:tc>
        <w:tc>
          <w:tcPr>
            <w:tcW w:w="516" w:type="pct"/>
            <w:noWrap/>
            <w:vAlign w:val="bottom"/>
          </w:tcPr>
          <w:p w14:paraId="519E942D">
            <w:pPr>
              <w:pStyle w:val="37"/>
            </w:pPr>
            <w:r>
              <w:t>18,423.08</w:t>
            </w:r>
          </w:p>
        </w:tc>
        <w:tc>
          <w:tcPr>
            <w:tcW w:w="422" w:type="pct"/>
            <w:noWrap/>
            <w:vAlign w:val="bottom"/>
          </w:tcPr>
          <w:p w14:paraId="4BA7682D">
            <w:pPr>
              <w:pStyle w:val="37"/>
            </w:pPr>
            <w:r>
              <w:t>7.70</w:t>
            </w:r>
          </w:p>
        </w:tc>
        <w:tc>
          <w:tcPr>
            <w:tcW w:w="325" w:type="pct"/>
            <w:noWrap/>
            <w:vAlign w:val="bottom"/>
          </w:tcPr>
          <w:p w14:paraId="70545A6A">
            <w:pPr>
              <w:pStyle w:val="37"/>
            </w:pPr>
            <w:r>
              <w:t>2.39</w:t>
            </w:r>
          </w:p>
        </w:tc>
        <w:tc>
          <w:tcPr>
            <w:tcW w:w="334" w:type="pct"/>
            <w:noWrap/>
            <w:vAlign w:val="bottom"/>
          </w:tcPr>
          <w:p w14:paraId="6F1D8D11">
            <w:pPr>
              <w:pStyle w:val="37"/>
            </w:pPr>
            <w:r>
              <w:t>50.98</w:t>
            </w:r>
          </w:p>
        </w:tc>
        <w:tc>
          <w:tcPr>
            <w:tcW w:w="565" w:type="pct"/>
            <w:noWrap/>
            <w:vAlign w:val="bottom"/>
          </w:tcPr>
          <w:p w14:paraId="5BB9A90E">
            <w:pPr>
              <w:pStyle w:val="37"/>
            </w:pPr>
            <w:r>
              <w:t>2,172.76</w:t>
            </w:r>
          </w:p>
        </w:tc>
        <w:tc>
          <w:tcPr>
            <w:tcW w:w="503" w:type="pct"/>
            <w:noWrap/>
            <w:vAlign w:val="bottom"/>
          </w:tcPr>
          <w:p w14:paraId="7C975CDE">
            <w:pPr>
              <w:pStyle w:val="37"/>
            </w:pPr>
            <w:r>
              <w:t>6,870.19</w:t>
            </w:r>
          </w:p>
        </w:tc>
        <w:tc>
          <w:tcPr>
            <w:tcW w:w="454" w:type="pct"/>
            <w:noWrap/>
            <w:vAlign w:val="bottom"/>
          </w:tcPr>
          <w:p w14:paraId="55D2A83C">
            <w:pPr>
              <w:pStyle w:val="37"/>
            </w:pPr>
            <w:r>
              <w:t>721.50</w:t>
            </w:r>
          </w:p>
        </w:tc>
        <w:tc>
          <w:tcPr>
            <w:tcW w:w="466" w:type="pct"/>
            <w:vAlign w:val="bottom"/>
          </w:tcPr>
          <w:p w14:paraId="0D8CDBBE">
            <w:pPr>
              <w:pStyle w:val="37"/>
            </w:pPr>
            <w:r>
              <w:t>8,607.66</w:t>
            </w:r>
          </w:p>
        </w:tc>
      </w:tr>
      <w:tr w14:paraId="55ACD5E0">
        <w:trPr>
          <w:cantSplit/>
          <w:trHeight w:val="340" w:hRule="atLeast"/>
        </w:trPr>
        <w:tc>
          <w:tcPr>
            <w:tcW w:w="367" w:type="pct"/>
            <w:vMerge w:val="continue"/>
            <w:tcBorders>
              <w:bottom w:val="single" w:color="000000" w:sz="6" w:space="0"/>
            </w:tcBorders>
          </w:tcPr>
          <w:p w14:paraId="1DDAF88B">
            <w:pPr>
              <w:pStyle w:val="37"/>
              <w:spacing w:line="240" w:lineRule="auto"/>
            </w:pPr>
          </w:p>
        </w:tc>
        <w:tc>
          <w:tcPr>
            <w:tcW w:w="538" w:type="pct"/>
            <w:tcBorders>
              <w:bottom w:val="single" w:color="000000" w:sz="6" w:space="0"/>
            </w:tcBorders>
            <w:noWrap/>
            <w:vAlign w:val="center"/>
          </w:tcPr>
          <w:p w14:paraId="747DA750">
            <w:pPr>
              <w:pStyle w:val="37"/>
              <w:spacing w:line="240" w:lineRule="auto"/>
            </w:pPr>
            <w:r>
              <w:t>2020</w:t>
            </w:r>
          </w:p>
        </w:tc>
        <w:tc>
          <w:tcPr>
            <w:tcW w:w="510" w:type="pct"/>
            <w:tcBorders>
              <w:bottom w:val="single" w:color="000000" w:sz="6" w:space="0"/>
            </w:tcBorders>
            <w:vAlign w:val="bottom"/>
          </w:tcPr>
          <w:p w14:paraId="13889875">
            <w:pPr>
              <w:pStyle w:val="37"/>
            </w:pPr>
            <w:r>
              <w:t>1382509</w:t>
            </w:r>
          </w:p>
        </w:tc>
        <w:tc>
          <w:tcPr>
            <w:tcW w:w="516" w:type="pct"/>
            <w:tcBorders>
              <w:bottom w:val="single" w:color="000000" w:sz="6" w:space="0"/>
            </w:tcBorders>
            <w:noWrap/>
            <w:vAlign w:val="bottom"/>
          </w:tcPr>
          <w:p w14:paraId="7A4D85A9">
            <w:pPr>
              <w:pStyle w:val="37"/>
            </w:pPr>
            <w:r>
              <w:t>23,511.89</w:t>
            </w:r>
          </w:p>
        </w:tc>
        <w:tc>
          <w:tcPr>
            <w:tcW w:w="422" w:type="pct"/>
            <w:tcBorders>
              <w:bottom w:val="single" w:color="000000" w:sz="6" w:space="0"/>
            </w:tcBorders>
            <w:noWrap/>
            <w:vAlign w:val="bottom"/>
          </w:tcPr>
          <w:p w14:paraId="0B0D9757">
            <w:pPr>
              <w:pStyle w:val="37"/>
            </w:pPr>
            <w:r>
              <w:t>8.28</w:t>
            </w:r>
          </w:p>
        </w:tc>
        <w:tc>
          <w:tcPr>
            <w:tcW w:w="325" w:type="pct"/>
            <w:tcBorders>
              <w:bottom w:val="single" w:color="000000" w:sz="6" w:space="0"/>
            </w:tcBorders>
            <w:noWrap/>
            <w:vAlign w:val="bottom"/>
          </w:tcPr>
          <w:p w14:paraId="23738A4C">
            <w:pPr>
              <w:pStyle w:val="37"/>
            </w:pPr>
            <w:r>
              <w:t>2.60</w:t>
            </w:r>
          </w:p>
        </w:tc>
        <w:tc>
          <w:tcPr>
            <w:tcW w:w="334" w:type="pct"/>
            <w:tcBorders>
              <w:bottom w:val="single" w:color="000000" w:sz="6" w:space="0"/>
            </w:tcBorders>
            <w:noWrap/>
            <w:vAlign w:val="bottom"/>
          </w:tcPr>
          <w:p w14:paraId="228D4719">
            <w:pPr>
              <w:pStyle w:val="37"/>
            </w:pPr>
            <w:r>
              <w:t>70.40</w:t>
            </w:r>
          </w:p>
        </w:tc>
        <w:tc>
          <w:tcPr>
            <w:tcW w:w="565" w:type="pct"/>
            <w:tcBorders>
              <w:bottom w:val="single" w:color="000000" w:sz="6" w:space="0"/>
            </w:tcBorders>
            <w:noWrap/>
            <w:vAlign w:val="bottom"/>
          </w:tcPr>
          <w:p w14:paraId="20ED5A7B">
            <w:pPr>
              <w:pStyle w:val="37"/>
            </w:pPr>
            <w:r>
              <w:t>4,290.70</w:t>
            </w:r>
          </w:p>
        </w:tc>
        <w:tc>
          <w:tcPr>
            <w:tcW w:w="503" w:type="pct"/>
            <w:tcBorders>
              <w:bottom w:val="single" w:color="000000" w:sz="6" w:space="0"/>
            </w:tcBorders>
            <w:noWrap/>
            <w:vAlign w:val="bottom"/>
          </w:tcPr>
          <w:p w14:paraId="4CB4F6B3">
            <w:pPr>
              <w:pStyle w:val="37"/>
            </w:pPr>
            <w:r>
              <w:t>9,613.92</w:t>
            </w:r>
          </w:p>
        </w:tc>
        <w:tc>
          <w:tcPr>
            <w:tcW w:w="454" w:type="pct"/>
            <w:tcBorders>
              <w:bottom w:val="single" w:color="000000" w:sz="6" w:space="0"/>
            </w:tcBorders>
            <w:noWrap/>
            <w:vAlign w:val="bottom"/>
          </w:tcPr>
          <w:p w14:paraId="55691EF2">
            <w:pPr>
              <w:pStyle w:val="37"/>
            </w:pPr>
            <w:r>
              <w:t>726.43</w:t>
            </w:r>
          </w:p>
        </w:tc>
        <w:tc>
          <w:tcPr>
            <w:tcW w:w="466" w:type="pct"/>
            <w:tcBorders>
              <w:bottom w:val="single" w:color="000000" w:sz="6" w:space="0"/>
            </w:tcBorders>
            <w:vAlign w:val="bottom"/>
          </w:tcPr>
          <w:p w14:paraId="3CD515A9">
            <w:pPr>
              <w:pStyle w:val="37"/>
            </w:pPr>
            <w:r>
              <w:t>8,810.44</w:t>
            </w:r>
          </w:p>
        </w:tc>
      </w:tr>
    </w:tbl>
    <w:p w14:paraId="6295D847">
      <w:pPr>
        <w:pStyle w:val="35"/>
        <w:keepLines/>
      </w:pPr>
      <w:r>
        <w:t>Note: Values describe the cumulative urban and rural residential stock by construction period. Structural areas are reported in hectares.</w:t>
      </w:r>
    </w:p>
    <w:p w14:paraId="2996F6D5">
      <w:pPr>
        <w:jc w:val="left"/>
        <w:rPr>
          <w:szCs w:val="19"/>
        </w:rPr>
      </w:pPr>
      <w:r>
        <w:br w:type="page"/>
      </w:r>
    </w:p>
    <w:p w14:paraId="1F881775">
      <w:pPr>
        <w:pStyle w:val="33"/>
        <w:keepLines/>
      </w:pPr>
      <w:r>
        <w:t>Supplementary Table 5 | Characteristics of newly added urban and rural residential buildings by construction period, 1980–2020.</w:t>
      </w:r>
    </w:p>
    <w:tbl>
      <w:tblPr>
        <w:tblStyle w:val="6"/>
        <w:tblW w:w="11549"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9"/>
        <w:gridCol w:w="1201"/>
        <w:gridCol w:w="1000"/>
        <w:gridCol w:w="1160"/>
        <w:gridCol w:w="1149"/>
        <w:gridCol w:w="921"/>
        <w:gridCol w:w="837"/>
        <w:gridCol w:w="1271"/>
        <w:gridCol w:w="1094"/>
        <w:gridCol w:w="987"/>
        <w:gridCol w:w="1070"/>
      </w:tblGrid>
      <w:tr w14:paraId="5D5E0F1E">
        <w:trPr>
          <w:cantSplit/>
          <w:trHeight w:val="643" w:hRule="atLeast"/>
          <w:tblHeader/>
          <w:jc w:val="center"/>
        </w:trPr>
        <w:tc>
          <w:tcPr>
            <w:tcW w:w="859" w:type="dxa"/>
            <w:vMerge w:val="restart"/>
            <w:tcBorders>
              <w:top w:val="single" w:color="000000" w:sz="12" w:space="0"/>
              <w:bottom w:val="nil"/>
            </w:tcBorders>
            <w:vAlign w:val="center"/>
          </w:tcPr>
          <w:p w14:paraId="42F8A152">
            <w:pPr>
              <w:pStyle w:val="36"/>
            </w:pPr>
            <w:r>
              <w:t>Region</w:t>
            </w:r>
          </w:p>
        </w:tc>
        <w:tc>
          <w:tcPr>
            <w:tcW w:w="1201" w:type="dxa"/>
            <w:vMerge w:val="restart"/>
            <w:tcBorders>
              <w:top w:val="single" w:color="000000" w:sz="12" w:space="0"/>
              <w:bottom w:val="nil"/>
            </w:tcBorders>
            <w:noWrap/>
            <w:vAlign w:val="center"/>
          </w:tcPr>
          <w:p w14:paraId="57519B02">
            <w:pPr>
              <w:pStyle w:val="36"/>
            </w:pPr>
            <w:r>
              <w:t>Construction period</w:t>
            </w:r>
          </w:p>
        </w:tc>
        <w:tc>
          <w:tcPr>
            <w:tcW w:w="1000" w:type="dxa"/>
            <w:vMerge w:val="restart"/>
            <w:tcBorders>
              <w:top w:val="single" w:color="000000" w:sz="12" w:space="0"/>
              <w:bottom w:val="nil"/>
            </w:tcBorders>
            <w:vAlign w:val="center"/>
          </w:tcPr>
          <w:p w14:paraId="70B47BDB">
            <w:pPr>
              <w:pStyle w:val="36"/>
            </w:pPr>
            <w:r>
              <w:t>Building count</w:t>
            </w:r>
          </w:p>
        </w:tc>
        <w:tc>
          <w:tcPr>
            <w:tcW w:w="1160" w:type="dxa"/>
            <w:vMerge w:val="restart"/>
            <w:tcBorders>
              <w:top w:val="single" w:color="000000" w:sz="12" w:space="0"/>
              <w:bottom w:val="nil"/>
            </w:tcBorders>
            <w:vAlign w:val="center"/>
          </w:tcPr>
          <w:p w14:paraId="5700827C">
            <w:pPr>
              <w:pStyle w:val="36"/>
            </w:pPr>
            <w:r>
              <w:rPr>
                <w:rFonts w:hint="eastAsia"/>
              </w:rPr>
              <w:t>Land</w:t>
            </w:r>
            <w:r>
              <w:t xml:space="preserve"> area </w:t>
            </w:r>
          </w:p>
          <w:p w14:paraId="499AA7B0">
            <w:pPr>
              <w:pStyle w:val="36"/>
            </w:pPr>
            <w:r>
              <w:t>(ha)</w:t>
            </w:r>
          </w:p>
        </w:tc>
        <w:tc>
          <w:tcPr>
            <w:tcW w:w="1149" w:type="dxa"/>
            <w:vMerge w:val="restart"/>
            <w:tcBorders>
              <w:top w:val="single" w:color="000000" w:sz="12" w:space="0"/>
              <w:bottom w:val="nil"/>
            </w:tcBorders>
            <w:vAlign w:val="center"/>
          </w:tcPr>
          <w:p w14:paraId="4D1FE035">
            <w:pPr>
              <w:pStyle w:val="36"/>
            </w:pPr>
            <w:r>
              <w:t>Mean height (m)</w:t>
            </w:r>
          </w:p>
        </w:tc>
        <w:tc>
          <w:tcPr>
            <w:tcW w:w="921" w:type="dxa"/>
            <w:vMerge w:val="restart"/>
            <w:tcBorders>
              <w:top w:val="single" w:color="000000" w:sz="12" w:space="0"/>
              <w:bottom w:val="nil"/>
            </w:tcBorders>
            <w:vAlign w:val="center"/>
          </w:tcPr>
          <w:p w14:paraId="5AE91FDA">
            <w:pPr>
              <w:pStyle w:val="36"/>
            </w:pPr>
            <w:r>
              <w:t>Mean storeys</w:t>
            </w:r>
          </w:p>
        </w:tc>
        <w:tc>
          <w:tcPr>
            <w:tcW w:w="5259" w:type="dxa"/>
            <w:gridSpan w:val="5"/>
            <w:tcBorders>
              <w:top w:val="single" w:color="000000" w:sz="12" w:space="0"/>
              <w:bottom w:val="single" w:color="000000" w:sz="6" w:space="0"/>
            </w:tcBorders>
            <w:vAlign w:val="center"/>
          </w:tcPr>
          <w:p w14:paraId="3C77DCCA">
            <w:pPr>
              <w:pStyle w:val="36"/>
            </w:pPr>
            <w:r>
              <w:rPr>
                <w:rFonts w:hint="eastAsia"/>
              </w:rPr>
              <w:t>Land</w:t>
            </w:r>
            <w:r>
              <w:t xml:space="preserve"> area</w:t>
            </w:r>
            <w:r>
              <w:rPr>
                <w:rFonts w:hint="eastAsia"/>
              </w:rPr>
              <w:t xml:space="preserve"> of d</w:t>
            </w:r>
            <w:r>
              <w:t>ominant structural type (ha)</w:t>
            </w:r>
          </w:p>
        </w:tc>
      </w:tr>
      <w:tr w14:paraId="3FAABBB2">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PrEx>
        <w:trPr>
          <w:cantSplit/>
          <w:trHeight w:val="643" w:hRule="atLeast"/>
          <w:jc w:val="center"/>
        </w:trPr>
        <w:tc>
          <w:tcPr>
            <w:tcW w:w="859" w:type="dxa"/>
            <w:vMerge w:val="continue"/>
            <w:tcBorders>
              <w:top w:val="nil"/>
              <w:bottom w:val="single" w:color="auto" w:sz="4" w:space="0"/>
            </w:tcBorders>
            <w:vAlign w:val="center"/>
          </w:tcPr>
          <w:p w14:paraId="7C76D4A7">
            <w:pPr>
              <w:pStyle w:val="36"/>
            </w:pPr>
          </w:p>
        </w:tc>
        <w:tc>
          <w:tcPr>
            <w:tcW w:w="1201" w:type="dxa"/>
            <w:vMerge w:val="continue"/>
            <w:tcBorders>
              <w:top w:val="nil"/>
              <w:bottom w:val="single" w:color="auto" w:sz="4" w:space="0"/>
            </w:tcBorders>
            <w:noWrap/>
            <w:vAlign w:val="center"/>
          </w:tcPr>
          <w:p w14:paraId="75C8F3F0">
            <w:pPr>
              <w:pStyle w:val="36"/>
            </w:pPr>
          </w:p>
        </w:tc>
        <w:tc>
          <w:tcPr>
            <w:tcW w:w="1000" w:type="dxa"/>
            <w:vMerge w:val="continue"/>
            <w:tcBorders>
              <w:top w:val="nil"/>
              <w:bottom w:val="single" w:color="auto" w:sz="4" w:space="0"/>
            </w:tcBorders>
            <w:vAlign w:val="center"/>
          </w:tcPr>
          <w:p w14:paraId="39434655">
            <w:pPr>
              <w:pStyle w:val="36"/>
            </w:pPr>
          </w:p>
        </w:tc>
        <w:tc>
          <w:tcPr>
            <w:tcW w:w="1160" w:type="dxa"/>
            <w:vMerge w:val="continue"/>
            <w:tcBorders>
              <w:top w:val="nil"/>
              <w:bottom w:val="single" w:color="auto" w:sz="4" w:space="0"/>
            </w:tcBorders>
            <w:vAlign w:val="center"/>
          </w:tcPr>
          <w:p w14:paraId="64EE065D">
            <w:pPr>
              <w:pStyle w:val="36"/>
            </w:pPr>
          </w:p>
        </w:tc>
        <w:tc>
          <w:tcPr>
            <w:tcW w:w="1149" w:type="dxa"/>
            <w:vMerge w:val="continue"/>
            <w:tcBorders>
              <w:top w:val="nil"/>
              <w:bottom w:val="single" w:color="auto" w:sz="4" w:space="0"/>
            </w:tcBorders>
            <w:vAlign w:val="center"/>
          </w:tcPr>
          <w:p w14:paraId="1A7715AC">
            <w:pPr>
              <w:pStyle w:val="36"/>
            </w:pPr>
          </w:p>
        </w:tc>
        <w:tc>
          <w:tcPr>
            <w:tcW w:w="921" w:type="dxa"/>
            <w:vMerge w:val="continue"/>
            <w:tcBorders>
              <w:top w:val="nil"/>
              <w:bottom w:val="single" w:color="auto" w:sz="4" w:space="0"/>
            </w:tcBorders>
            <w:vAlign w:val="center"/>
          </w:tcPr>
          <w:p w14:paraId="658732EF">
            <w:pPr>
              <w:pStyle w:val="36"/>
            </w:pPr>
          </w:p>
        </w:tc>
        <w:tc>
          <w:tcPr>
            <w:tcW w:w="837" w:type="dxa"/>
            <w:tcBorders>
              <w:top w:val="single" w:color="000000" w:sz="6" w:space="0"/>
              <w:bottom w:val="single" w:color="auto" w:sz="4" w:space="0"/>
            </w:tcBorders>
            <w:vAlign w:val="center"/>
          </w:tcPr>
          <w:p w14:paraId="0EB9F7A8">
            <w:pPr>
              <w:pStyle w:val="36"/>
            </w:pPr>
            <w:r>
              <w:t>Steel</w:t>
            </w:r>
          </w:p>
        </w:tc>
        <w:tc>
          <w:tcPr>
            <w:tcW w:w="1271" w:type="dxa"/>
            <w:tcBorders>
              <w:top w:val="single" w:color="000000" w:sz="6" w:space="0"/>
              <w:bottom w:val="single" w:color="auto" w:sz="4" w:space="0"/>
            </w:tcBorders>
            <w:vAlign w:val="center"/>
          </w:tcPr>
          <w:p w14:paraId="0F5EB30A">
            <w:pPr>
              <w:pStyle w:val="36"/>
            </w:pPr>
            <w:r>
              <w:t xml:space="preserve">Reinforced concrete </w:t>
            </w:r>
          </w:p>
        </w:tc>
        <w:tc>
          <w:tcPr>
            <w:tcW w:w="1094" w:type="dxa"/>
            <w:tcBorders>
              <w:top w:val="single" w:color="000000" w:sz="6" w:space="0"/>
              <w:bottom w:val="single" w:color="auto" w:sz="4" w:space="0"/>
            </w:tcBorders>
            <w:vAlign w:val="center"/>
          </w:tcPr>
          <w:p w14:paraId="3F07334A">
            <w:pPr>
              <w:pStyle w:val="36"/>
            </w:pPr>
            <w:r>
              <w:t>Masonry</w:t>
            </w:r>
          </w:p>
        </w:tc>
        <w:tc>
          <w:tcPr>
            <w:tcW w:w="987" w:type="dxa"/>
            <w:tcBorders>
              <w:top w:val="single" w:color="000000" w:sz="6" w:space="0"/>
              <w:bottom w:val="single" w:color="auto" w:sz="4" w:space="0"/>
            </w:tcBorders>
            <w:vAlign w:val="center"/>
          </w:tcPr>
          <w:p w14:paraId="1247819E">
            <w:pPr>
              <w:pStyle w:val="36"/>
            </w:pPr>
            <w:r>
              <w:t>Timber</w:t>
            </w:r>
          </w:p>
        </w:tc>
        <w:tc>
          <w:tcPr>
            <w:tcW w:w="1070" w:type="dxa"/>
            <w:tcBorders>
              <w:top w:val="single" w:color="000000" w:sz="6" w:space="0"/>
              <w:bottom w:val="single" w:color="auto" w:sz="4" w:space="0"/>
            </w:tcBorders>
            <w:vAlign w:val="center"/>
          </w:tcPr>
          <w:p w14:paraId="5C4434CE">
            <w:pPr>
              <w:pStyle w:val="36"/>
            </w:pPr>
            <w:r>
              <w:t>Other</w:t>
            </w:r>
          </w:p>
        </w:tc>
      </w:tr>
      <w:tr w14:paraId="0A2A05B3">
        <w:trPr>
          <w:cantSplit/>
          <w:trHeight w:val="340" w:hRule="atLeast"/>
          <w:jc w:val="center"/>
        </w:trPr>
        <w:tc>
          <w:tcPr>
            <w:tcW w:w="859" w:type="dxa"/>
            <w:vMerge w:val="restart"/>
            <w:tcBorders>
              <w:top w:val="single" w:color="auto" w:sz="4" w:space="0"/>
            </w:tcBorders>
            <w:vAlign w:val="center"/>
          </w:tcPr>
          <w:p w14:paraId="13EF74FB">
            <w:pPr>
              <w:pStyle w:val="37"/>
              <w:spacing w:line="240" w:lineRule="auto"/>
            </w:pPr>
            <w:r>
              <w:t>Urban</w:t>
            </w:r>
          </w:p>
        </w:tc>
        <w:tc>
          <w:tcPr>
            <w:tcW w:w="1201" w:type="dxa"/>
            <w:tcBorders>
              <w:top w:val="single" w:color="auto" w:sz="4" w:space="0"/>
            </w:tcBorders>
            <w:vAlign w:val="bottom"/>
          </w:tcPr>
          <w:p w14:paraId="64678870">
            <w:pPr>
              <w:pStyle w:val="37"/>
            </w:pPr>
            <w:r>
              <w:t>1980s</w:t>
            </w:r>
          </w:p>
        </w:tc>
        <w:tc>
          <w:tcPr>
            <w:tcW w:w="1000" w:type="dxa"/>
            <w:tcBorders>
              <w:top w:val="single" w:color="auto" w:sz="4" w:space="0"/>
            </w:tcBorders>
            <w:vAlign w:val="bottom"/>
          </w:tcPr>
          <w:p w14:paraId="72EA26EC">
            <w:pPr>
              <w:pStyle w:val="37"/>
            </w:pPr>
            <w:r>
              <w:t>20733</w:t>
            </w:r>
          </w:p>
        </w:tc>
        <w:tc>
          <w:tcPr>
            <w:tcW w:w="1160" w:type="dxa"/>
            <w:tcBorders>
              <w:top w:val="single" w:color="auto" w:sz="4" w:space="0"/>
            </w:tcBorders>
            <w:noWrap/>
            <w:vAlign w:val="bottom"/>
          </w:tcPr>
          <w:p w14:paraId="1BE41DB4">
            <w:pPr>
              <w:pStyle w:val="37"/>
            </w:pPr>
            <w:r>
              <w:t>301.86</w:t>
            </w:r>
          </w:p>
        </w:tc>
        <w:tc>
          <w:tcPr>
            <w:tcW w:w="1149" w:type="dxa"/>
            <w:tcBorders>
              <w:top w:val="single" w:color="auto" w:sz="4" w:space="0"/>
            </w:tcBorders>
            <w:noWrap/>
            <w:vAlign w:val="bottom"/>
          </w:tcPr>
          <w:p w14:paraId="19544082">
            <w:pPr>
              <w:pStyle w:val="37"/>
            </w:pPr>
            <w:r>
              <w:t>7.87</w:t>
            </w:r>
          </w:p>
        </w:tc>
        <w:tc>
          <w:tcPr>
            <w:tcW w:w="921" w:type="dxa"/>
            <w:tcBorders>
              <w:top w:val="single" w:color="auto" w:sz="4" w:space="0"/>
            </w:tcBorders>
            <w:noWrap/>
            <w:vAlign w:val="bottom"/>
          </w:tcPr>
          <w:p w14:paraId="503B84F5">
            <w:pPr>
              <w:pStyle w:val="37"/>
            </w:pPr>
            <w:r>
              <w:t>2.55</w:t>
            </w:r>
          </w:p>
        </w:tc>
        <w:tc>
          <w:tcPr>
            <w:tcW w:w="837" w:type="dxa"/>
            <w:tcBorders>
              <w:top w:val="single" w:color="auto" w:sz="4" w:space="0"/>
            </w:tcBorders>
            <w:noWrap/>
            <w:vAlign w:val="bottom"/>
          </w:tcPr>
          <w:p w14:paraId="16687AA8">
            <w:pPr>
              <w:pStyle w:val="37"/>
            </w:pPr>
            <w:r>
              <w:t>0.52</w:t>
            </w:r>
          </w:p>
        </w:tc>
        <w:tc>
          <w:tcPr>
            <w:tcW w:w="1271" w:type="dxa"/>
            <w:tcBorders>
              <w:top w:val="single" w:color="auto" w:sz="4" w:space="0"/>
            </w:tcBorders>
            <w:noWrap/>
            <w:vAlign w:val="bottom"/>
          </w:tcPr>
          <w:p w14:paraId="413635BB">
            <w:pPr>
              <w:pStyle w:val="37"/>
            </w:pPr>
            <w:r>
              <w:t>34.82</w:t>
            </w:r>
          </w:p>
        </w:tc>
        <w:tc>
          <w:tcPr>
            <w:tcW w:w="1094" w:type="dxa"/>
            <w:tcBorders>
              <w:top w:val="single" w:color="auto" w:sz="4" w:space="0"/>
            </w:tcBorders>
            <w:noWrap/>
            <w:vAlign w:val="bottom"/>
          </w:tcPr>
          <w:p w14:paraId="57B81156">
            <w:pPr>
              <w:pStyle w:val="37"/>
            </w:pPr>
            <w:r>
              <w:t>121.50</w:t>
            </w:r>
          </w:p>
        </w:tc>
        <w:tc>
          <w:tcPr>
            <w:tcW w:w="987" w:type="dxa"/>
            <w:tcBorders>
              <w:top w:val="single" w:color="auto" w:sz="4" w:space="0"/>
            </w:tcBorders>
            <w:noWrap/>
            <w:vAlign w:val="bottom"/>
          </w:tcPr>
          <w:p w14:paraId="4B7DF83E">
            <w:pPr>
              <w:pStyle w:val="37"/>
            </w:pPr>
            <w:r>
              <w:t>0.45</w:t>
            </w:r>
          </w:p>
        </w:tc>
        <w:tc>
          <w:tcPr>
            <w:tcW w:w="1070" w:type="dxa"/>
            <w:tcBorders>
              <w:top w:val="single" w:color="auto" w:sz="4" w:space="0"/>
            </w:tcBorders>
            <w:vAlign w:val="bottom"/>
          </w:tcPr>
          <w:p w14:paraId="3AA940DC">
            <w:pPr>
              <w:pStyle w:val="37"/>
            </w:pPr>
            <w:r>
              <w:t>144.57</w:t>
            </w:r>
          </w:p>
        </w:tc>
      </w:tr>
      <w:tr w14:paraId="64C8CA32">
        <w:trPr>
          <w:cantSplit/>
          <w:trHeight w:val="340" w:hRule="atLeast"/>
          <w:jc w:val="center"/>
        </w:trPr>
        <w:tc>
          <w:tcPr>
            <w:tcW w:w="859" w:type="dxa"/>
            <w:vMerge w:val="continue"/>
            <w:vAlign w:val="center"/>
          </w:tcPr>
          <w:p w14:paraId="09296C56">
            <w:pPr>
              <w:pStyle w:val="37"/>
              <w:spacing w:line="240" w:lineRule="auto"/>
            </w:pPr>
          </w:p>
        </w:tc>
        <w:tc>
          <w:tcPr>
            <w:tcW w:w="1201" w:type="dxa"/>
            <w:vAlign w:val="bottom"/>
          </w:tcPr>
          <w:p w14:paraId="152DDD96">
            <w:pPr>
              <w:pStyle w:val="37"/>
            </w:pPr>
            <w:r>
              <w:t>1990s</w:t>
            </w:r>
          </w:p>
        </w:tc>
        <w:tc>
          <w:tcPr>
            <w:tcW w:w="1000" w:type="dxa"/>
            <w:vAlign w:val="bottom"/>
          </w:tcPr>
          <w:p w14:paraId="1B9A7BC4">
            <w:pPr>
              <w:pStyle w:val="37"/>
            </w:pPr>
            <w:r>
              <w:t>40335</w:t>
            </w:r>
          </w:p>
        </w:tc>
        <w:tc>
          <w:tcPr>
            <w:tcW w:w="1160" w:type="dxa"/>
            <w:noWrap/>
            <w:vAlign w:val="bottom"/>
          </w:tcPr>
          <w:p w14:paraId="108AD17E">
            <w:pPr>
              <w:pStyle w:val="37"/>
            </w:pPr>
            <w:r>
              <w:t>683.40</w:t>
            </w:r>
          </w:p>
        </w:tc>
        <w:tc>
          <w:tcPr>
            <w:tcW w:w="1149" w:type="dxa"/>
            <w:noWrap/>
            <w:vAlign w:val="bottom"/>
          </w:tcPr>
          <w:p w14:paraId="38938699">
            <w:pPr>
              <w:pStyle w:val="37"/>
            </w:pPr>
            <w:r>
              <w:t>10.55</w:t>
            </w:r>
          </w:p>
        </w:tc>
        <w:tc>
          <w:tcPr>
            <w:tcW w:w="921" w:type="dxa"/>
            <w:noWrap/>
            <w:vAlign w:val="bottom"/>
          </w:tcPr>
          <w:p w14:paraId="0E9F5B6D">
            <w:pPr>
              <w:pStyle w:val="37"/>
            </w:pPr>
            <w:r>
              <w:t>3.43</w:t>
            </w:r>
          </w:p>
        </w:tc>
        <w:tc>
          <w:tcPr>
            <w:tcW w:w="837" w:type="dxa"/>
            <w:noWrap/>
            <w:vAlign w:val="bottom"/>
          </w:tcPr>
          <w:p w14:paraId="12830EC9">
            <w:pPr>
              <w:pStyle w:val="37"/>
            </w:pPr>
            <w:r>
              <w:t>1.86</w:t>
            </w:r>
          </w:p>
        </w:tc>
        <w:tc>
          <w:tcPr>
            <w:tcW w:w="1271" w:type="dxa"/>
            <w:noWrap/>
            <w:vAlign w:val="bottom"/>
          </w:tcPr>
          <w:p w14:paraId="48DAF29C">
            <w:pPr>
              <w:pStyle w:val="37"/>
            </w:pPr>
            <w:r>
              <w:t>270.37</w:t>
            </w:r>
          </w:p>
        </w:tc>
        <w:tc>
          <w:tcPr>
            <w:tcW w:w="1094" w:type="dxa"/>
            <w:noWrap/>
            <w:vAlign w:val="bottom"/>
          </w:tcPr>
          <w:p w14:paraId="129A305A">
            <w:pPr>
              <w:pStyle w:val="37"/>
            </w:pPr>
            <w:r>
              <w:t>252.80</w:t>
            </w:r>
          </w:p>
        </w:tc>
        <w:tc>
          <w:tcPr>
            <w:tcW w:w="987" w:type="dxa"/>
            <w:noWrap/>
            <w:vAlign w:val="bottom"/>
          </w:tcPr>
          <w:p w14:paraId="403DB2D4">
            <w:pPr>
              <w:pStyle w:val="37"/>
            </w:pPr>
            <w:r>
              <w:t>0.47</w:t>
            </w:r>
          </w:p>
        </w:tc>
        <w:tc>
          <w:tcPr>
            <w:tcW w:w="1070" w:type="dxa"/>
            <w:vAlign w:val="bottom"/>
          </w:tcPr>
          <w:p w14:paraId="1A024975">
            <w:pPr>
              <w:pStyle w:val="37"/>
            </w:pPr>
            <w:r>
              <w:t>157.91</w:t>
            </w:r>
          </w:p>
        </w:tc>
      </w:tr>
      <w:tr w14:paraId="615F4B95">
        <w:trPr>
          <w:cantSplit/>
          <w:trHeight w:val="340" w:hRule="atLeast"/>
          <w:jc w:val="center"/>
        </w:trPr>
        <w:tc>
          <w:tcPr>
            <w:tcW w:w="859" w:type="dxa"/>
            <w:vMerge w:val="continue"/>
            <w:vAlign w:val="center"/>
          </w:tcPr>
          <w:p w14:paraId="0601BEF4">
            <w:pPr>
              <w:pStyle w:val="37"/>
              <w:spacing w:line="240" w:lineRule="auto"/>
            </w:pPr>
          </w:p>
        </w:tc>
        <w:tc>
          <w:tcPr>
            <w:tcW w:w="1201" w:type="dxa"/>
            <w:vAlign w:val="bottom"/>
          </w:tcPr>
          <w:p w14:paraId="0C074181">
            <w:pPr>
              <w:pStyle w:val="37"/>
            </w:pPr>
            <w:r>
              <w:t>2000s</w:t>
            </w:r>
          </w:p>
        </w:tc>
        <w:tc>
          <w:tcPr>
            <w:tcW w:w="1000" w:type="dxa"/>
            <w:vAlign w:val="bottom"/>
          </w:tcPr>
          <w:p w14:paraId="0D68A172">
            <w:pPr>
              <w:pStyle w:val="37"/>
            </w:pPr>
            <w:r>
              <w:t>45474</w:t>
            </w:r>
          </w:p>
        </w:tc>
        <w:tc>
          <w:tcPr>
            <w:tcW w:w="1160" w:type="dxa"/>
            <w:noWrap/>
            <w:vAlign w:val="bottom"/>
          </w:tcPr>
          <w:p w14:paraId="02065302">
            <w:pPr>
              <w:pStyle w:val="37"/>
            </w:pPr>
            <w:r>
              <w:t>1,153.40</w:t>
            </w:r>
          </w:p>
        </w:tc>
        <w:tc>
          <w:tcPr>
            <w:tcW w:w="1149" w:type="dxa"/>
            <w:noWrap/>
            <w:vAlign w:val="bottom"/>
          </w:tcPr>
          <w:p w14:paraId="47AB16DE">
            <w:pPr>
              <w:pStyle w:val="37"/>
            </w:pPr>
            <w:r>
              <w:t>13.77</w:t>
            </w:r>
          </w:p>
        </w:tc>
        <w:tc>
          <w:tcPr>
            <w:tcW w:w="921" w:type="dxa"/>
            <w:noWrap/>
            <w:vAlign w:val="bottom"/>
          </w:tcPr>
          <w:p w14:paraId="099923C3">
            <w:pPr>
              <w:pStyle w:val="37"/>
            </w:pPr>
            <w:r>
              <w:t>4.46</w:t>
            </w:r>
          </w:p>
        </w:tc>
        <w:tc>
          <w:tcPr>
            <w:tcW w:w="837" w:type="dxa"/>
            <w:noWrap/>
            <w:vAlign w:val="bottom"/>
          </w:tcPr>
          <w:p w14:paraId="52FDA38A">
            <w:pPr>
              <w:pStyle w:val="37"/>
            </w:pPr>
            <w:r>
              <w:t>15.67</w:t>
            </w:r>
          </w:p>
        </w:tc>
        <w:tc>
          <w:tcPr>
            <w:tcW w:w="1271" w:type="dxa"/>
            <w:noWrap/>
            <w:vAlign w:val="bottom"/>
          </w:tcPr>
          <w:p w14:paraId="6777CBB5">
            <w:pPr>
              <w:pStyle w:val="37"/>
            </w:pPr>
            <w:r>
              <w:t>787.85</w:t>
            </w:r>
          </w:p>
        </w:tc>
        <w:tc>
          <w:tcPr>
            <w:tcW w:w="1094" w:type="dxa"/>
            <w:noWrap/>
            <w:vAlign w:val="bottom"/>
          </w:tcPr>
          <w:p w14:paraId="79CED224">
            <w:pPr>
              <w:pStyle w:val="37"/>
            </w:pPr>
            <w:r>
              <w:t>286.83</w:t>
            </w:r>
          </w:p>
        </w:tc>
        <w:tc>
          <w:tcPr>
            <w:tcW w:w="987" w:type="dxa"/>
            <w:noWrap/>
            <w:vAlign w:val="bottom"/>
          </w:tcPr>
          <w:p w14:paraId="0E60A4CB">
            <w:pPr>
              <w:pStyle w:val="37"/>
            </w:pPr>
            <w:r>
              <w:t>0.13</w:t>
            </w:r>
          </w:p>
        </w:tc>
        <w:tc>
          <w:tcPr>
            <w:tcW w:w="1070" w:type="dxa"/>
            <w:vAlign w:val="bottom"/>
          </w:tcPr>
          <w:p w14:paraId="2C9EC103">
            <w:pPr>
              <w:pStyle w:val="37"/>
            </w:pPr>
            <w:r>
              <w:t>62.92</w:t>
            </w:r>
          </w:p>
        </w:tc>
      </w:tr>
      <w:tr w14:paraId="157E5A12">
        <w:trPr>
          <w:cantSplit/>
          <w:trHeight w:val="340" w:hRule="atLeast"/>
          <w:jc w:val="center"/>
        </w:trPr>
        <w:tc>
          <w:tcPr>
            <w:tcW w:w="859" w:type="dxa"/>
            <w:vMerge w:val="continue"/>
            <w:vAlign w:val="center"/>
          </w:tcPr>
          <w:p w14:paraId="1FE37583">
            <w:pPr>
              <w:pStyle w:val="37"/>
              <w:spacing w:line="240" w:lineRule="auto"/>
            </w:pPr>
          </w:p>
        </w:tc>
        <w:tc>
          <w:tcPr>
            <w:tcW w:w="1201" w:type="dxa"/>
            <w:vAlign w:val="bottom"/>
          </w:tcPr>
          <w:p w14:paraId="741FE905">
            <w:pPr>
              <w:pStyle w:val="37"/>
            </w:pPr>
            <w:r>
              <w:t>2010s</w:t>
            </w:r>
          </w:p>
        </w:tc>
        <w:tc>
          <w:tcPr>
            <w:tcW w:w="1000" w:type="dxa"/>
            <w:vAlign w:val="bottom"/>
          </w:tcPr>
          <w:p w14:paraId="073B5B22">
            <w:pPr>
              <w:pStyle w:val="37"/>
            </w:pPr>
            <w:r>
              <w:t>27038</w:t>
            </w:r>
          </w:p>
        </w:tc>
        <w:tc>
          <w:tcPr>
            <w:tcW w:w="1160" w:type="dxa"/>
            <w:noWrap/>
            <w:vAlign w:val="bottom"/>
          </w:tcPr>
          <w:p w14:paraId="0B23D3A3">
            <w:pPr>
              <w:pStyle w:val="37"/>
            </w:pPr>
            <w:r>
              <w:t>1,092.22</w:t>
            </w:r>
          </w:p>
        </w:tc>
        <w:tc>
          <w:tcPr>
            <w:tcW w:w="1149" w:type="dxa"/>
            <w:noWrap/>
            <w:vAlign w:val="bottom"/>
          </w:tcPr>
          <w:p w14:paraId="787AD51A">
            <w:pPr>
              <w:pStyle w:val="37"/>
            </w:pPr>
            <w:r>
              <w:t>26.51</w:t>
            </w:r>
          </w:p>
        </w:tc>
        <w:tc>
          <w:tcPr>
            <w:tcW w:w="921" w:type="dxa"/>
            <w:noWrap/>
            <w:vAlign w:val="bottom"/>
          </w:tcPr>
          <w:p w14:paraId="1B4E2BD3">
            <w:pPr>
              <w:pStyle w:val="37"/>
            </w:pPr>
            <w:r>
              <w:t>8.59</w:t>
            </w:r>
          </w:p>
        </w:tc>
        <w:tc>
          <w:tcPr>
            <w:tcW w:w="837" w:type="dxa"/>
            <w:noWrap/>
            <w:vAlign w:val="bottom"/>
          </w:tcPr>
          <w:p w14:paraId="20F40E5A">
            <w:pPr>
              <w:pStyle w:val="37"/>
            </w:pPr>
            <w:r>
              <w:t>9.15</w:t>
            </w:r>
          </w:p>
        </w:tc>
        <w:tc>
          <w:tcPr>
            <w:tcW w:w="1271" w:type="dxa"/>
            <w:noWrap/>
            <w:vAlign w:val="bottom"/>
          </w:tcPr>
          <w:p w14:paraId="4DD75E39">
            <w:pPr>
              <w:pStyle w:val="37"/>
            </w:pPr>
            <w:r>
              <w:t>1,001.35</w:t>
            </w:r>
          </w:p>
        </w:tc>
        <w:tc>
          <w:tcPr>
            <w:tcW w:w="1094" w:type="dxa"/>
            <w:noWrap/>
            <w:vAlign w:val="bottom"/>
          </w:tcPr>
          <w:p w14:paraId="5A468E24">
            <w:pPr>
              <w:pStyle w:val="37"/>
            </w:pPr>
            <w:r>
              <w:t>66.32</w:t>
            </w:r>
          </w:p>
        </w:tc>
        <w:tc>
          <w:tcPr>
            <w:tcW w:w="987" w:type="dxa"/>
            <w:noWrap/>
            <w:vAlign w:val="bottom"/>
          </w:tcPr>
          <w:p w14:paraId="5FC7E852">
            <w:pPr>
              <w:pStyle w:val="37"/>
            </w:pPr>
            <w:r>
              <w:t>0.12</w:t>
            </w:r>
          </w:p>
        </w:tc>
        <w:tc>
          <w:tcPr>
            <w:tcW w:w="1070" w:type="dxa"/>
            <w:vAlign w:val="bottom"/>
          </w:tcPr>
          <w:p w14:paraId="13288B8D">
            <w:pPr>
              <w:pStyle w:val="37"/>
            </w:pPr>
            <w:r>
              <w:t>15.27</w:t>
            </w:r>
          </w:p>
        </w:tc>
      </w:tr>
      <w:tr w14:paraId="17CE30BC">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Height w:val="340" w:hRule="atLeast"/>
          <w:jc w:val="center"/>
        </w:trPr>
        <w:tc>
          <w:tcPr>
            <w:tcW w:w="859" w:type="dxa"/>
            <w:vMerge w:val="restart"/>
            <w:vAlign w:val="center"/>
          </w:tcPr>
          <w:p w14:paraId="2B5220B5">
            <w:pPr>
              <w:pStyle w:val="37"/>
              <w:spacing w:line="240" w:lineRule="auto"/>
            </w:pPr>
            <w:r>
              <w:t>Rural</w:t>
            </w:r>
          </w:p>
        </w:tc>
        <w:tc>
          <w:tcPr>
            <w:tcW w:w="1201" w:type="dxa"/>
            <w:vAlign w:val="bottom"/>
          </w:tcPr>
          <w:p w14:paraId="08BD9420">
            <w:pPr>
              <w:pStyle w:val="37"/>
            </w:pPr>
            <w:r>
              <w:t>1980s</w:t>
            </w:r>
          </w:p>
        </w:tc>
        <w:tc>
          <w:tcPr>
            <w:tcW w:w="1000" w:type="dxa"/>
            <w:vAlign w:val="bottom"/>
          </w:tcPr>
          <w:p w14:paraId="6BE85754">
            <w:pPr>
              <w:pStyle w:val="37"/>
            </w:pPr>
            <w:r>
              <w:t>220727</w:t>
            </w:r>
          </w:p>
        </w:tc>
        <w:tc>
          <w:tcPr>
            <w:tcW w:w="1160" w:type="dxa"/>
            <w:noWrap/>
            <w:vAlign w:val="bottom"/>
          </w:tcPr>
          <w:p w14:paraId="4B6B2B33">
            <w:pPr>
              <w:pStyle w:val="37"/>
            </w:pPr>
            <w:r>
              <w:t>3,872.70</w:t>
            </w:r>
          </w:p>
        </w:tc>
        <w:tc>
          <w:tcPr>
            <w:tcW w:w="1149" w:type="dxa"/>
            <w:noWrap/>
            <w:vAlign w:val="bottom"/>
          </w:tcPr>
          <w:p w14:paraId="69651CC4">
            <w:pPr>
              <w:pStyle w:val="37"/>
            </w:pPr>
            <w:r>
              <w:t>6.32</w:t>
            </w:r>
          </w:p>
        </w:tc>
        <w:tc>
          <w:tcPr>
            <w:tcW w:w="921" w:type="dxa"/>
            <w:noWrap/>
            <w:vAlign w:val="bottom"/>
          </w:tcPr>
          <w:p w14:paraId="670D71DA">
            <w:pPr>
              <w:pStyle w:val="37"/>
            </w:pPr>
            <w:r>
              <w:t>1.88</w:t>
            </w:r>
          </w:p>
        </w:tc>
        <w:tc>
          <w:tcPr>
            <w:tcW w:w="837" w:type="dxa"/>
            <w:noWrap/>
            <w:vAlign w:val="bottom"/>
          </w:tcPr>
          <w:p w14:paraId="09D5B28F">
            <w:pPr>
              <w:pStyle w:val="37"/>
            </w:pPr>
            <w:r>
              <w:t>1.17</w:t>
            </w:r>
          </w:p>
        </w:tc>
        <w:tc>
          <w:tcPr>
            <w:tcW w:w="1271" w:type="dxa"/>
            <w:noWrap/>
            <w:vAlign w:val="bottom"/>
          </w:tcPr>
          <w:p w14:paraId="662FBCD0">
            <w:pPr>
              <w:pStyle w:val="37"/>
            </w:pPr>
            <w:r>
              <w:t>41.74</w:t>
            </w:r>
          </w:p>
        </w:tc>
        <w:tc>
          <w:tcPr>
            <w:tcW w:w="1094" w:type="dxa"/>
            <w:noWrap/>
            <w:vAlign w:val="bottom"/>
          </w:tcPr>
          <w:p w14:paraId="506B5F7D">
            <w:pPr>
              <w:pStyle w:val="37"/>
            </w:pPr>
            <w:r>
              <w:t>566.50</w:t>
            </w:r>
          </w:p>
        </w:tc>
        <w:tc>
          <w:tcPr>
            <w:tcW w:w="987" w:type="dxa"/>
            <w:noWrap/>
            <w:vAlign w:val="bottom"/>
          </w:tcPr>
          <w:p w14:paraId="423B15C7">
            <w:pPr>
              <w:pStyle w:val="37"/>
            </w:pPr>
            <w:r>
              <w:t>196.97</w:t>
            </w:r>
          </w:p>
        </w:tc>
        <w:tc>
          <w:tcPr>
            <w:tcW w:w="1070" w:type="dxa"/>
            <w:vAlign w:val="bottom"/>
          </w:tcPr>
          <w:p w14:paraId="6FBF4530">
            <w:pPr>
              <w:pStyle w:val="37"/>
            </w:pPr>
            <w:r>
              <w:t>3,066.32</w:t>
            </w:r>
          </w:p>
        </w:tc>
      </w:tr>
      <w:tr w14:paraId="6F2BD174">
        <w:trPr>
          <w:cantSplit/>
          <w:trHeight w:val="340" w:hRule="atLeast"/>
          <w:jc w:val="center"/>
        </w:trPr>
        <w:tc>
          <w:tcPr>
            <w:tcW w:w="859" w:type="dxa"/>
            <w:vMerge w:val="continue"/>
          </w:tcPr>
          <w:p w14:paraId="5C305E28">
            <w:pPr>
              <w:pStyle w:val="37"/>
              <w:spacing w:line="240" w:lineRule="auto"/>
            </w:pPr>
          </w:p>
        </w:tc>
        <w:tc>
          <w:tcPr>
            <w:tcW w:w="1201" w:type="dxa"/>
            <w:vAlign w:val="bottom"/>
          </w:tcPr>
          <w:p w14:paraId="469917C5">
            <w:pPr>
              <w:pStyle w:val="37"/>
            </w:pPr>
            <w:r>
              <w:t>1990s</w:t>
            </w:r>
          </w:p>
        </w:tc>
        <w:tc>
          <w:tcPr>
            <w:tcW w:w="1000" w:type="dxa"/>
            <w:vAlign w:val="bottom"/>
          </w:tcPr>
          <w:p w14:paraId="7A31C857">
            <w:pPr>
              <w:pStyle w:val="37"/>
            </w:pPr>
            <w:r>
              <w:t>286272</w:t>
            </w:r>
          </w:p>
        </w:tc>
        <w:tc>
          <w:tcPr>
            <w:tcW w:w="1160" w:type="dxa"/>
            <w:noWrap/>
            <w:vAlign w:val="bottom"/>
          </w:tcPr>
          <w:p w14:paraId="62DFA166">
            <w:pPr>
              <w:pStyle w:val="37"/>
            </w:pPr>
            <w:r>
              <w:t>4,747.49</w:t>
            </w:r>
          </w:p>
        </w:tc>
        <w:tc>
          <w:tcPr>
            <w:tcW w:w="1149" w:type="dxa"/>
            <w:noWrap/>
            <w:vAlign w:val="bottom"/>
          </w:tcPr>
          <w:p w14:paraId="383FA032">
            <w:pPr>
              <w:pStyle w:val="37"/>
            </w:pPr>
            <w:r>
              <w:t>7.66</w:t>
            </w:r>
          </w:p>
        </w:tc>
        <w:tc>
          <w:tcPr>
            <w:tcW w:w="921" w:type="dxa"/>
            <w:noWrap/>
            <w:vAlign w:val="bottom"/>
          </w:tcPr>
          <w:p w14:paraId="7BF16558">
            <w:pPr>
              <w:pStyle w:val="37"/>
            </w:pPr>
            <w:r>
              <w:t>2.40</w:t>
            </w:r>
          </w:p>
        </w:tc>
        <w:tc>
          <w:tcPr>
            <w:tcW w:w="837" w:type="dxa"/>
            <w:noWrap/>
            <w:vAlign w:val="bottom"/>
          </w:tcPr>
          <w:p w14:paraId="76C9D03C">
            <w:pPr>
              <w:pStyle w:val="37"/>
            </w:pPr>
            <w:r>
              <w:t>12.26</w:t>
            </w:r>
          </w:p>
        </w:tc>
        <w:tc>
          <w:tcPr>
            <w:tcW w:w="1271" w:type="dxa"/>
            <w:noWrap/>
            <w:vAlign w:val="bottom"/>
          </w:tcPr>
          <w:p w14:paraId="374683F6">
            <w:pPr>
              <w:pStyle w:val="37"/>
            </w:pPr>
            <w:r>
              <w:t>416.11</w:t>
            </w:r>
          </w:p>
        </w:tc>
        <w:tc>
          <w:tcPr>
            <w:tcW w:w="1094" w:type="dxa"/>
            <w:noWrap/>
            <w:vAlign w:val="bottom"/>
          </w:tcPr>
          <w:p w14:paraId="27413914">
            <w:pPr>
              <w:pStyle w:val="37"/>
            </w:pPr>
            <w:r>
              <w:t>1,785.79</w:t>
            </w:r>
          </w:p>
        </w:tc>
        <w:tc>
          <w:tcPr>
            <w:tcW w:w="987" w:type="dxa"/>
            <w:noWrap/>
            <w:vAlign w:val="bottom"/>
          </w:tcPr>
          <w:p w14:paraId="0C377D66">
            <w:pPr>
              <w:pStyle w:val="37"/>
            </w:pPr>
            <w:r>
              <w:t>71.06</w:t>
            </w:r>
          </w:p>
        </w:tc>
        <w:tc>
          <w:tcPr>
            <w:tcW w:w="1070" w:type="dxa"/>
            <w:vAlign w:val="bottom"/>
          </w:tcPr>
          <w:p w14:paraId="47D27052">
            <w:pPr>
              <w:pStyle w:val="37"/>
            </w:pPr>
            <w:r>
              <w:t>2,462.27</w:t>
            </w:r>
          </w:p>
        </w:tc>
      </w:tr>
      <w:tr w14:paraId="6B6231AF">
        <w:trPr>
          <w:cantSplit/>
          <w:trHeight w:val="340" w:hRule="atLeast"/>
          <w:jc w:val="center"/>
        </w:trPr>
        <w:tc>
          <w:tcPr>
            <w:tcW w:w="859" w:type="dxa"/>
            <w:vMerge w:val="continue"/>
          </w:tcPr>
          <w:p w14:paraId="7F0F3CE8">
            <w:pPr>
              <w:pStyle w:val="37"/>
              <w:spacing w:line="240" w:lineRule="auto"/>
            </w:pPr>
          </w:p>
        </w:tc>
        <w:tc>
          <w:tcPr>
            <w:tcW w:w="1201" w:type="dxa"/>
            <w:vAlign w:val="bottom"/>
          </w:tcPr>
          <w:p w14:paraId="06A09489">
            <w:pPr>
              <w:pStyle w:val="37"/>
            </w:pPr>
            <w:r>
              <w:t>2000s</w:t>
            </w:r>
          </w:p>
        </w:tc>
        <w:tc>
          <w:tcPr>
            <w:tcW w:w="1000" w:type="dxa"/>
            <w:vAlign w:val="bottom"/>
          </w:tcPr>
          <w:p w14:paraId="596EEFCF">
            <w:pPr>
              <w:pStyle w:val="37"/>
            </w:pPr>
            <w:r>
              <w:t>427594</w:t>
            </w:r>
          </w:p>
        </w:tc>
        <w:tc>
          <w:tcPr>
            <w:tcW w:w="1160" w:type="dxa"/>
            <w:noWrap/>
            <w:vAlign w:val="bottom"/>
          </w:tcPr>
          <w:p w14:paraId="0FF2C034">
            <w:pPr>
              <w:pStyle w:val="37"/>
            </w:pPr>
            <w:r>
              <w:t>7,048.01</w:t>
            </w:r>
          </w:p>
        </w:tc>
        <w:tc>
          <w:tcPr>
            <w:tcW w:w="1149" w:type="dxa"/>
            <w:noWrap/>
            <w:vAlign w:val="bottom"/>
          </w:tcPr>
          <w:p w14:paraId="6EC442DC">
            <w:pPr>
              <w:pStyle w:val="37"/>
            </w:pPr>
            <w:r>
              <w:t>9.27</w:t>
            </w:r>
          </w:p>
        </w:tc>
        <w:tc>
          <w:tcPr>
            <w:tcW w:w="921" w:type="dxa"/>
            <w:noWrap/>
            <w:vAlign w:val="bottom"/>
          </w:tcPr>
          <w:p w14:paraId="7A45E60F">
            <w:pPr>
              <w:pStyle w:val="37"/>
            </w:pPr>
            <w:r>
              <w:t>2.96</w:t>
            </w:r>
          </w:p>
        </w:tc>
        <w:tc>
          <w:tcPr>
            <w:tcW w:w="837" w:type="dxa"/>
            <w:noWrap/>
            <w:vAlign w:val="bottom"/>
          </w:tcPr>
          <w:p w14:paraId="6697BC44">
            <w:pPr>
              <w:pStyle w:val="37"/>
            </w:pPr>
            <w:r>
              <w:t>37.20</w:t>
            </w:r>
          </w:p>
        </w:tc>
        <w:tc>
          <w:tcPr>
            <w:tcW w:w="1271" w:type="dxa"/>
            <w:noWrap/>
            <w:vAlign w:val="bottom"/>
          </w:tcPr>
          <w:p w14:paraId="661E6F6B">
            <w:pPr>
              <w:pStyle w:val="37"/>
            </w:pPr>
            <w:r>
              <w:t>1,705.88</w:t>
            </w:r>
          </w:p>
        </w:tc>
        <w:tc>
          <w:tcPr>
            <w:tcW w:w="1094" w:type="dxa"/>
            <w:noWrap/>
            <w:vAlign w:val="bottom"/>
          </w:tcPr>
          <w:p w14:paraId="38A5393C">
            <w:pPr>
              <w:pStyle w:val="37"/>
            </w:pPr>
            <w:r>
              <w:t>4,363.96</w:t>
            </w:r>
          </w:p>
        </w:tc>
        <w:tc>
          <w:tcPr>
            <w:tcW w:w="987" w:type="dxa"/>
            <w:noWrap/>
            <w:vAlign w:val="bottom"/>
          </w:tcPr>
          <w:p w14:paraId="359172B6">
            <w:pPr>
              <w:pStyle w:val="37"/>
            </w:pPr>
            <w:r>
              <w:t>19.66</w:t>
            </w:r>
          </w:p>
        </w:tc>
        <w:tc>
          <w:tcPr>
            <w:tcW w:w="1070" w:type="dxa"/>
            <w:vAlign w:val="bottom"/>
          </w:tcPr>
          <w:p w14:paraId="27EA87A3">
            <w:pPr>
              <w:pStyle w:val="37"/>
            </w:pPr>
            <w:r>
              <w:t>921.31</w:t>
            </w:r>
          </w:p>
        </w:tc>
      </w:tr>
      <w:tr w14:paraId="6664DE9E">
        <w:trPr>
          <w:cantSplit/>
          <w:trHeight w:val="340" w:hRule="atLeast"/>
          <w:jc w:val="center"/>
        </w:trPr>
        <w:tc>
          <w:tcPr>
            <w:tcW w:w="859" w:type="dxa"/>
            <w:vMerge w:val="continue"/>
          </w:tcPr>
          <w:p w14:paraId="3118ECA1">
            <w:pPr>
              <w:pStyle w:val="37"/>
              <w:spacing w:line="240" w:lineRule="auto"/>
            </w:pPr>
          </w:p>
        </w:tc>
        <w:tc>
          <w:tcPr>
            <w:tcW w:w="1201" w:type="dxa"/>
            <w:vAlign w:val="bottom"/>
          </w:tcPr>
          <w:p w14:paraId="243A9F40">
            <w:pPr>
              <w:pStyle w:val="37"/>
            </w:pPr>
            <w:r>
              <w:t>2010s</w:t>
            </w:r>
          </w:p>
        </w:tc>
        <w:tc>
          <w:tcPr>
            <w:tcW w:w="1000" w:type="dxa"/>
            <w:vAlign w:val="bottom"/>
          </w:tcPr>
          <w:p w14:paraId="77FC2E04">
            <w:pPr>
              <w:pStyle w:val="37"/>
            </w:pPr>
            <w:r>
              <w:t>297680</w:t>
            </w:r>
          </w:p>
        </w:tc>
        <w:tc>
          <w:tcPr>
            <w:tcW w:w="1160" w:type="dxa"/>
            <w:noWrap/>
            <w:vAlign w:val="bottom"/>
          </w:tcPr>
          <w:p w14:paraId="207E5281">
            <w:pPr>
              <w:pStyle w:val="37"/>
            </w:pPr>
            <w:r>
              <w:t>5,088.81</w:t>
            </w:r>
          </w:p>
        </w:tc>
        <w:tc>
          <w:tcPr>
            <w:tcW w:w="1149" w:type="dxa"/>
            <w:noWrap/>
            <w:vAlign w:val="bottom"/>
          </w:tcPr>
          <w:p w14:paraId="292FECDE">
            <w:pPr>
              <w:pStyle w:val="37"/>
            </w:pPr>
            <w:r>
              <w:t>10.39</w:t>
            </w:r>
          </w:p>
        </w:tc>
        <w:tc>
          <w:tcPr>
            <w:tcW w:w="921" w:type="dxa"/>
            <w:noWrap/>
            <w:vAlign w:val="bottom"/>
          </w:tcPr>
          <w:p w14:paraId="2E9EB77F">
            <w:pPr>
              <w:pStyle w:val="37"/>
            </w:pPr>
            <w:r>
              <w:t>3.33</w:t>
            </w:r>
          </w:p>
        </w:tc>
        <w:tc>
          <w:tcPr>
            <w:tcW w:w="837" w:type="dxa"/>
            <w:noWrap/>
            <w:vAlign w:val="bottom"/>
          </w:tcPr>
          <w:p w14:paraId="19F25B7B">
            <w:pPr>
              <w:pStyle w:val="37"/>
            </w:pPr>
            <w:r>
              <w:t>19.42</w:t>
            </w:r>
          </w:p>
        </w:tc>
        <w:tc>
          <w:tcPr>
            <w:tcW w:w="1271" w:type="dxa"/>
            <w:noWrap/>
            <w:vAlign w:val="bottom"/>
          </w:tcPr>
          <w:p w14:paraId="01AC3715">
            <w:pPr>
              <w:pStyle w:val="37"/>
            </w:pPr>
            <w:r>
              <w:t>2,117.94</w:t>
            </w:r>
          </w:p>
        </w:tc>
        <w:tc>
          <w:tcPr>
            <w:tcW w:w="1094" w:type="dxa"/>
            <w:noWrap/>
            <w:vAlign w:val="bottom"/>
          </w:tcPr>
          <w:p w14:paraId="46C9D959">
            <w:pPr>
              <w:pStyle w:val="37"/>
            </w:pPr>
            <w:r>
              <w:t>2,743.73</w:t>
            </w:r>
          </w:p>
        </w:tc>
        <w:tc>
          <w:tcPr>
            <w:tcW w:w="987" w:type="dxa"/>
            <w:noWrap/>
            <w:vAlign w:val="bottom"/>
          </w:tcPr>
          <w:p w14:paraId="48A4186E">
            <w:pPr>
              <w:pStyle w:val="37"/>
            </w:pPr>
            <w:r>
              <w:t>4.93</w:t>
            </w:r>
          </w:p>
        </w:tc>
        <w:tc>
          <w:tcPr>
            <w:tcW w:w="1070" w:type="dxa"/>
            <w:vAlign w:val="bottom"/>
          </w:tcPr>
          <w:p w14:paraId="5A4A106C">
            <w:pPr>
              <w:pStyle w:val="37"/>
            </w:pPr>
            <w:r>
              <w:t>202.78</w:t>
            </w:r>
          </w:p>
        </w:tc>
      </w:tr>
    </w:tbl>
    <w:p w14:paraId="46BD3601">
      <w:pPr>
        <w:pStyle w:val="35"/>
        <w:keepLines/>
      </w:pPr>
      <w:r>
        <w:t>Note: Values describe buildings newly added in each construction period and distinguish urban and rural cohort formation.</w:t>
      </w:r>
    </w:p>
    <w:p w14:paraId="63CD9FB3">
      <w:pPr>
        <w:jc w:val="left"/>
        <w:rPr>
          <w:szCs w:val="19"/>
        </w:rPr>
      </w:pPr>
      <w:r>
        <w:br w:type="page"/>
      </w:r>
    </w:p>
    <w:p w14:paraId="62747FF9">
      <w:pPr>
        <w:pStyle w:val="33"/>
        <w:keepLines/>
      </w:pPr>
      <w:r>
        <w:t>Supplementary Table 6 | Policy-calibrated renewal-pressure stock and pathway exposure in 2020.</w:t>
      </w:r>
    </w:p>
    <w:tbl>
      <w:tblPr>
        <w:tblStyle w:val="6"/>
        <w:tblW w:w="0" w:type="auto"/>
        <w:tblInd w:w="0" w:type="dxa"/>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55"/>
        <w:gridCol w:w="1255"/>
        <w:gridCol w:w="1255"/>
        <w:gridCol w:w="1255"/>
        <w:gridCol w:w="1255"/>
        <w:gridCol w:w="1438"/>
        <w:gridCol w:w="1255"/>
        <w:gridCol w:w="1255"/>
        <w:gridCol w:w="1255"/>
      </w:tblGrid>
      <w:tr w14:paraId="4E84A736">
        <w:trPr>
          <w:cantSplit/>
          <w:tblHeader/>
        </w:trPr>
        <w:tc>
          <w:tcPr>
            <w:tcW w:w="1255" w:type="dxa"/>
            <w:tcBorders>
              <w:top w:val="single" w:color="auto" w:sz="6" w:space="0"/>
              <w:bottom w:val="single" w:color="auto" w:sz="4" w:space="0"/>
            </w:tcBorders>
          </w:tcPr>
          <w:p w14:paraId="2A5E6D84">
            <w:r>
              <w:t>Group</w:t>
            </w:r>
          </w:p>
        </w:tc>
        <w:tc>
          <w:tcPr>
            <w:tcW w:w="1255" w:type="dxa"/>
            <w:tcBorders>
              <w:top w:val="single" w:color="auto" w:sz="6" w:space="0"/>
              <w:bottom w:val="single" w:color="auto" w:sz="4" w:space="0"/>
            </w:tcBorders>
          </w:tcPr>
          <w:p w14:paraId="039C36AD">
            <w:r>
              <w:t>Buildings</w:t>
            </w:r>
          </w:p>
        </w:tc>
        <w:tc>
          <w:tcPr>
            <w:tcW w:w="1255" w:type="dxa"/>
            <w:tcBorders>
              <w:top w:val="single" w:color="auto" w:sz="6" w:space="0"/>
              <w:bottom w:val="single" w:color="auto" w:sz="4" w:space="0"/>
            </w:tcBorders>
          </w:tcPr>
          <w:p w14:paraId="1AEA3689">
            <w:r>
              <w:t>Dwelling units</w:t>
            </w:r>
          </w:p>
        </w:tc>
        <w:tc>
          <w:tcPr>
            <w:tcW w:w="1255" w:type="dxa"/>
            <w:tcBorders>
              <w:top w:val="single" w:color="auto" w:sz="6" w:space="0"/>
              <w:bottom w:val="single" w:color="auto" w:sz="4" w:space="0"/>
            </w:tcBorders>
          </w:tcPr>
          <w:p w14:paraId="263AD547">
            <w:r>
              <w:t>Floor area (million m²)</w:t>
            </w:r>
          </w:p>
        </w:tc>
        <w:tc>
          <w:tcPr>
            <w:tcW w:w="1255" w:type="dxa"/>
            <w:tcBorders>
              <w:top w:val="single" w:color="auto" w:sz="6" w:space="0"/>
              <w:bottom w:val="single" w:color="auto" w:sz="4" w:space="0"/>
            </w:tcBorders>
          </w:tcPr>
          <w:p w14:paraId="3A14BE6A">
            <w:r>
              <w:t>Land area (million m²)</w:t>
            </w:r>
          </w:p>
        </w:tc>
        <w:tc>
          <w:tcPr>
            <w:tcW w:w="1255" w:type="dxa"/>
            <w:tcBorders>
              <w:top w:val="single" w:color="auto" w:sz="6" w:space="0"/>
              <w:bottom w:val="single" w:color="auto" w:sz="4" w:space="0"/>
            </w:tcBorders>
          </w:tcPr>
          <w:p w14:paraId="48D9B622">
            <w:r>
              <w:t>Demolition compensation (billion yuan)</w:t>
            </w:r>
          </w:p>
        </w:tc>
        <w:tc>
          <w:tcPr>
            <w:tcW w:w="1255" w:type="dxa"/>
            <w:tcBorders>
              <w:top w:val="single" w:color="auto" w:sz="6" w:space="0"/>
              <w:bottom w:val="single" w:color="auto" w:sz="4" w:space="0"/>
            </w:tcBorders>
          </w:tcPr>
          <w:p w14:paraId="632D1715">
            <w:r>
              <w:t>In situ investment (billion yuan)</w:t>
            </w:r>
          </w:p>
        </w:tc>
        <w:tc>
          <w:tcPr>
            <w:tcW w:w="1255" w:type="dxa"/>
            <w:tcBorders>
              <w:top w:val="single" w:color="auto" w:sz="6" w:space="0"/>
              <w:bottom w:val="single" w:color="auto" w:sz="4" w:space="0"/>
            </w:tcBorders>
          </w:tcPr>
          <w:p w14:paraId="53DB6D93">
            <w:r>
              <w:t>Demolition emissions (ktCO₂)</w:t>
            </w:r>
          </w:p>
        </w:tc>
        <w:tc>
          <w:tcPr>
            <w:tcW w:w="1255" w:type="dxa"/>
            <w:tcBorders>
              <w:top w:val="single" w:color="auto" w:sz="6" w:space="0"/>
              <w:bottom w:val="single" w:color="auto" w:sz="4" w:space="0"/>
            </w:tcBorders>
          </w:tcPr>
          <w:p w14:paraId="24077E4A">
            <w:r>
              <w:t>Annual operational emissions (ktCO₂ yr⁻¹)</w:t>
            </w:r>
          </w:p>
        </w:tc>
      </w:tr>
      <w:tr w14:paraId="031D495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Borders>
              <w:top w:val="single" w:color="auto" w:sz="4" w:space="0"/>
            </w:tcBorders>
          </w:tcPr>
          <w:p w14:paraId="520FA3A6">
            <w:pPr>
              <w:pStyle w:val="37"/>
            </w:pPr>
            <w:r>
              <w:t>Urban</w:t>
            </w:r>
          </w:p>
        </w:tc>
        <w:tc>
          <w:tcPr>
            <w:tcW w:w="1255" w:type="dxa"/>
            <w:tcBorders>
              <w:top w:val="single" w:color="auto" w:sz="4" w:space="0"/>
            </w:tcBorders>
          </w:tcPr>
          <w:p w14:paraId="3D05F9C3">
            <w:pPr>
              <w:pStyle w:val="37"/>
            </w:pPr>
            <w:r>
              <w:t>34,193</w:t>
            </w:r>
          </w:p>
        </w:tc>
        <w:tc>
          <w:tcPr>
            <w:tcW w:w="1255" w:type="dxa"/>
            <w:tcBorders>
              <w:top w:val="single" w:color="auto" w:sz="4" w:space="0"/>
            </w:tcBorders>
          </w:tcPr>
          <w:p w14:paraId="294B7B3E">
            <w:pPr>
              <w:pStyle w:val="37"/>
            </w:pPr>
            <w:r>
              <w:t>56,009</w:t>
            </w:r>
          </w:p>
        </w:tc>
        <w:tc>
          <w:tcPr>
            <w:tcW w:w="1255" w:type="dxa"/>
            <w:tcBorders>
              <w:top w:val="single" w:color="auto" w:sz="4" w:space="0"/>
            </w:tcBorders>
          </w:tcPr>
          <w:p w14:paraId="4FC3C55A">
            <w:pPr>
              <w:pStyle w:val="37"/>
            </w:pPr>
            <w:r>
              <w:t>12.5</w:t>
            </w:r>
          </w:p>
        </w:tc>
        <w:tc>
          <w:tcPr>
            <w:tcW w:w="1255" w:type="dxa"/>
            <w:tcBorders>
              <w:top w:val="single" w:color="auto" w:sz="4" w:space="0"/>
            </w:tcBorders>
          </w:tcPr>
          <w:p w14:paraId="2476E0A5">
            <w:pPr>
              <w:pStyle w:val="37"/>
            </w:pPr>
            <w:r>
              <w:t>4.8</w:t>
            </w:r>
          </w:p>
        </w:tc>
        <w:tc>
          <w:tcPr>
            <w:tcW w:w="1255" w:type="dxa"/>
            <w:tcBorders>
              <w:top w:val="single" w:color="auto" w:sz="4" w:space="0"/>
            </w:tcBorders>
          </w:tcPr>
          <w:p w14:paraId="7F94D056">
            <w:pPr>
              <w:pStyle w:val="37"/>
            </w:pPr>
            <w:r>
              <w:t>140.8-154.9</w:t>
            </w:r>
          </w:p>
        </w:tc>
        <w:tc>
          <w:tcPr>
            <w:tcW w:w="1255" w:type="dxa"/>
            <w:tcBorders>
              <w:top w:val="single" w:color="auto" w:sz="4" w:space="0"/>
            </w:tcBorders>
          </w:tcPr>
          <w:p w14:paraId="0B096E81">
            <w:pPr>
              <w:pStyle w:val="37"/>
            </w:pPr>
            <w:r>
              <w:t>0.6-1.5</w:t>
            </w:r>
          </w:p>
        </w:tc>
        <w:tc>
          <w:tcPr>
            <w:tcW w:w="1255" w:type="dxa"/>
            <w:tcBorders>
              <w:top w:val="single" w:color="auto" w:sz="4" w:space="0"/>
            </w:tcBorders>
          </w:tcPr>
          <w:p w14:paraId="03E0F6B3">
            <w:pPr>
              <w:pStyle w:val="37"/>
            </w:pPr>
            <w:r>
              <w:t>159.0</w:t>
            </w:r>
          </w:p>
        </w:tc>
        <w:tc>
          <w:tcPr>
            <w:tcW w:w="1255" w:type="dxa"/>
            <w:tcBorders>
              <w:top w:val="single" w:color="auto" w:sz="4" w:space="0"/>
            </w:tcBorders>
          </w:tcPr>
          <w:p w14:paraId="6864EE77">
            <w:pPr>
              <w:pStyle w:val="37"/>
            </w:pPr>
            <w:r>
              <w:t>498.8</w:t>
            </w:r>
          </w:p>
        </w:tc>
      </w:tr>
      <w:tr w14:paraId="4F583BA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1593369F">
            <w:pPr>
              <w:pStyle w:val="37"/>
            </w:pPr>
            <w:r>
              <w:t>Rural</w:t>
            </w:r>
          </w:p>
        </w:tc>
        <w:tc>
          <w:tcPr>
            <w:tcW w:w="1255" w:type="dxa"/>
          </w:tcPr>
          <w:p w14:paraId="4BA32517">
            <w:pPr>
              <w:pStyle w:val="37"/>
            </w:pPr>
            <w:r>
              <w:t>487,042</w:t>
            </w:r>
          </w:p>
        </w:tc>
        <w:tc>
          <w:tcPr>
            <w:tcW w:w="1255" w:type="dxa"/>
          </w:tcPr>
          <w:p w14:paraId="4CD2BE18">
            <w:pPr>
              <w:pStyle w:val="37"/>
            </w:pPr>
            <w:r>
              <w:t>488,164</w:t>
            </w:r>
          </w:p>
        </w:tc>
        <w:tc>
          <w:tcPr>
            <w:tcW w:w="1255" w:type="dxa"/>
          </w:tcPr>
          <w:p w14:paraId="4BD37749">
            <w:pPr>
              <w:pStyle w:val="37"/>
            </w:pPr>
            <w:r>
              <w:t>140.3</w:t>
            </w:r>
          </w:p>
        </w:tc>
        <w:tc>
          <w:tcPr>
            <w:tcW w:w="1255" w:type="dxa"/>
          </w:tcPr>
          <w:p w14:paraId="0A93F9D3">
            <w:pPr>
              <w:pStyle w:val="37"/>
            </w:pPr>
            <w:r>
              <w:t>85.3</w:t>
            </w:r>
          </w:p>
        </w:tc>
        <w:tc>
          <w:tcPr>
            <w:tcW w:w="1255" w:type="dxa"/>
          </w:tcPr>
          <w:p w14:paraId="69E3C002">
            <w:pPr>
              <w:pStyle w:val="37"/>
            </w:pPr>
            <w:r>
              <w:t>141.1-320.4</w:t>
            </w:r>
          </w:p>
        </w:tc>
        <w:tc>
          <w:tcPr>
            <w:tcW w:w="1255" w:type="dxa"/>
          </w:tcPr>
          <w:p w14:paraId="6149FAF2">
            <w:pPr>
              <w:pStyle w:val="37"/>
            </w:pPr>
            <w:r>
              <w:t>6.6-16.4</w:t>
            </w:r>
          </w:p>
        </w:tc>
        <w:tc>
          <w:tcPr>
            <w:tcW w:w="1255" w:type="dxa"/>
          </w:tcPr>
          <w:p w14:paraId="6E2CF72B">
            <w:pPr>
              <w:pStyle w:val="37"/>
            </w:pPr>
            <w:r>
              <w:t>586.2</w:t>
            </w:r>
          </w:p>
        </w:tc>
        <w:tc>
          <w:tcPr>
            <w:tcW w:w="1255" w:type="dxa"/>
          </w:tcPr>
          <w:p w14:paraId="4E1323FB">
            <w:pPr>
              <w:pStyle w:val="37"/>
            </w:pPr>
            <w:r>
              <w:t>1709.8</w:t>
            </w:r>
          </w:p>
        </w:tc>
      </w:tr>
      <w:tr w14:paraId="178F246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06F59651">
            <w:pPr>
              <w:pStyle w:val="37"/>
            </w:pPr>
            <w:r>
              <w:t>Total</w:t>
            </w:r>
          </w:p>
        </w:tc>
        <w:tc>
          <w:tcPr>
            <w:tcW w:w="1255" w:type="dxa"/>
          </w:tcPr>
          <w:p w14:paraId="169465B0">
            <w:pPr>
              <w:pStyle w:val="37"/>
            </w:pPr>
            <w:r>
              <w:t>521,235</w:t>
            </w:r>
          </w:p>
        </w:tc>
        <w:tc>
          <w:tcPr>
            <w:tcW w:w="1255" w:type="dxa"/>
          </w:tcPr>
          <w:p w14:paraId="560DD69F">
            <w:pPr>
              <w:pStyle w:val="37"/>
            </w:pPr>
            <w:r>
              <w:t>544,173</w:t>
            </w:r>
          </w:p>
        </w:tc>
        <w:tc>
          <w:tcPr>
            <w:tcW w:w="1255" w:type="dxa"/>
          </w:tcPr>
          <w:p w14:paraId="6BEF68C0">
            <w:pPr>
              <w:pStyle w:val="37"/>
            </w:pPr>
            <w:r>
              <w:t>152.8</w:t>
            </w:r>
          </w:p>
        </w:tc>
        <w:tc>
          <w:tcPr>
            <w:tcW w:w="1255" w:type="dxa"/>
          </w:tcPr>
          <w:p w14:paraId="5A928988">
            <w:pPr>
              <w:pStyle w:val="37"/>
            </w:pPr>
            <w:r>
              <w:t>90.1</w:t>
            </w:r>
          </w:p>
        </w:tc>
        <w:tc>
          <w:tcPr>
            <w:tcW w:w="1255" w:type="dxa"/>
          </w:tcPr>
          <w:p w14:paraId="42B302F1">
            <w:pPr>
              <w:pStyle w:val="37"/>
            </w:pPr>
            <w:r>
              <w:t>281.9-475.3</w:t>
            </w:r>
          </w:p>
        </w:tc>
        <w:tc>
          <w:tcPr>
            <w:tcW w:w="1255" w:type="dxa"/>
          </w:tcPr>
          <w:p w14:paraId="6884BDE7">
            <w:pPr>
              <w:pStyle w:val="37"/>
            </w:pPr>
            <w:r>
              <w:t>7.2-17.9</w:t>
            </w:r>
          </w:p>
        </w:tc>
        <w:tc>
          <w:tcPr>
            <w:tcW w:w="1255" w:type="dxa"/>
          </w:tcPr>
          <w:p w14:paraId="47762567">
            <w:pPr>
              <w:pStyle w:val="37"/>
            </w:pPr>
            <w:r>
              <w:t>745.2</w:t>
            </w:r>
          </w:p>
        </w:tc>
        <w:tc>
          <w:tcPr>
            <w:tcW w:w="1255" w:type="dxa"/>
          </w:tcPr>
          <w:p w14:paraId="1A85BC22">
            <w:pPr>
              <w:pStyle w:val="37"/>
            </w:pPr>
            <w:r>
              <w:t>2208.6</w:t>
            </w:r>
          </w:p>
        </w:tc>
      </w:tr>
    </w:tbl>
    <w:p w14:paraId="6974DBF5">
      <w:pPr>
        <w:pStyle w:val="35"/>
        <w:keepLines/>
      </w:pPr>
      <w:r>
        <w:t>Note: Costs are billion yuan in constant 2020 prices. Demolition emissions are one-off estimates; operational emissions are annual baselines. Urban values represent policy-calibrated demand, whereas rural values are a diagnostic under the same threshold.</w:t>
      </w:r>
    </w:p>
    <w:p w14:paraId="432743F5">
      <w:pPr>
        <w:jc w:val="left"/>
        <w:rPr>
          <w:szCs w:val="19"/>
        </w:rPr>
      </w:pPr>
      <w:r>
        <w:br w:type="page"/>
      </w:r>
    </w:p>
    <w:p w14:paraId="5466F4CE">
      <w:pPr>
        <w:pStyle w:val="33"/>
        <w:keepLines/>
      </w:pPr>
      <w:r>
        <w:t>Supplementary Table 7 | Projected cumulative renewal-pressure stock under three demographic scenarios, 2025–2050.</w:t>
      </w:r>
    </w:p>
    <w:tbl>
      <w:tblPr>
        <w:tblStyle w:val="6"/>
        <w:tblW w:w="0" w:type="auto"/>
        <w:tblInd w:w="0" w:type="dxa"/>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2"/>
        <w:gridCol w:w="1412"/>
        <w:gridCol w:w="1412"/>
        <w:gridCol w:w="1412"/>
        <w:gridCol w:w="1412"/>
        <w:gridCol w:w="1412"/>
        <w:gridCol w:w="1412"/>
        <w:gridCol w:w="1412"/>
      </w:tblGrid>
      <w:tr w14:paraId="0663CB2D">
        <w:trPr>
          <w:cantSplit/>
          <w:tblHeader/>
        </w:trPr>
        <w:tc>
          <w:tcPr>
            <w:tcW w:w="1412" w:type="dxa"/>
            <w:tcBorders>
              <w:top w:val="single" w:color="auto" w:sz="4" w:space="0"/>
              <w:bottom w:val="single" w:color="auto" w:sz="4" w:space="0"/>
            </w:tcBorders>
          </w:tcPr>
          <w:p w14:paraId="0CCA64C5">
            <w:pPr>
              <w:pStyle w:val="36"/>
            </w:pPr>
            <w:r>
              <w:t>Scenario</w:t>
            </w:r>
          </w:p>
        </w:tc>
        <w:tc>
          <w:tcPr>
            <w:tcW w:w="1412" w:type="dxa"/>
            <w:tcBorders>
              <w:top w:val="single" w:color="auto" w:sz="4" w:space="0"/>
              <w:bottom w:val="single" w:color="auto" w:sz="4" w:space="0"/>
            </w:tcBorders>
          </w:tcPr>
          <w:p w14:paraId="4B889C8D">
            <w:pPr>
              <w:pStyle w:val="36"/>
            </w:pPr>
            <w:r>
              <w:t>Indicator</w:t>
            </w:r>
          </w:p>
        </w:tc>
        <w:tc>
          <w:tcPr>
            <w:tcW w:w="1412" w:type="dxa"/>
            <w:tcBorders>
              <w:top w:val="single" w:color="auto" w:sz="4" w:space="0"/>
              <w:bottom w:val="single" w:color="auto" w:sz="4" w:space="0"/>
            </w:tcBorders>
          </w:tcPr>
          <w:p w14:paraId="52EAB5E6">
            <w:pPr>
              <w:pStyle w:val="36"/>
            </w:pPr>
            <w:r>
              <w:t>2025</w:t>
            </w:r>
          </w:p>
        </w:tc>
        <w:tc>
          <w:tcPr>
            <w:tcW w:w="1412" w:type="dxa"/>
            <w:tcBorders>
              <w:top w:val="single" w:color="auto" w:sz="4" w:space="0"/>
              <w:bottom w:val="single" w:color="auto" w:sz="4" w:space="0"/>
            </w:tcBorders>
          </w:tcPr>
          <w:p w14:paraId="115108E2">
            <w:pPr>
              <w:pStyle w:val="36"/>
            </w:pPr>
            <w:r>
              <w:t>2030</w:t>
            </w:r>
          </w:p>
        </w:tc>
        <w:tc>
          <w:tcPr>
            <w:tcW w:w="1412" w:type="dxa"/>
            <w:tcBorders>
              <w:top w:val="single" w:color="auto" w:sz="4" w:space="0"/>
              <w:bottom w:val="single" w:color="auto" w:sz="4" w:space="0"/>
            </w:tcBorders>
          </w:tcPr>
          <w:p w14:paraId="6CCE6EC9">
            <w:pPr>
              <w:pStyle w:val="36"/>
            </w:pPr>
            <w:r>
              <w:t>2035</w:t>
            </w:r>
          </w:p>
        </w:tc>
        <w:tc>
          <w:tcPr>
            <w:tcW w:w="1412" w:type="dxa"/>
            <w:tcBorders>
              <w:top w:val="single" w:color="auto" w:sz="4" w:space="0"/>
              <w:bottom w:val="single" w:color="auto" w:sz="4" w:space="0"/>
            </w:tcBorders>
          </w:tcPr>
          <w:p w14:paraId="467D070F">
            <w:pPr>
              <w:pStyle w:val="36"/>
            </w:pPr>
            <w:r>
              <w:t>2040</w:t>
            </w:r>
          </w:p>
        </w:tc>
        <w:tc>
          <w:tcPr>
            <w:tcW w:w="1412" w:type="dxa"/>
            <w:tcBorders>
              <w:top w:val="single" w:color="auto" w:sz="4" w:space="0"/>
              <w:bottom w:val="single" w:color="auto" w:sz="4" w:space="0"/>
            </w:tcBorders>
          </w:tcPr>
          <w:p w14:paraId="4584B5F9">
            <w:pPr>
              <w:pStyle w:val="36"/>
            </w:pPr>
            <w:r>
              <w:t>2045</w:t>
            </w:r>
          </w:p>
        </w:tc>
        <w:tc>
          <w:tcPr>
            <w:tcW w:w="1412" w:type="dxa"/>
            <w:tcBorders>
              <w:top w:val="single" w:color="auto" w:sz="4" w:space="0"/>
              <w:bottom w:val="single" w:color="auto" w:sz="4" w:space="0"/>
            </w:tcBorders>
          </w:tcPr>
          <w:p w14:paraId="0F45DE09">
            <w:pPr>
              <w:pStyle w:val="36"/>
            </w:pPr>
            <w:r>
              <w:t>2050</w:t>
            </w:r>
          </w:p>
        </w:tc>
      </w:tr>
      <w:tr w14:paraId="7E15ECB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Borders>
              <w:top w:val="single" w:color="auto" w:sz="4" w:space="0"/>
            </w:tcBorders>
          </w:tcPr>
          <w:p w14:paraId="3D7630E6">
            <w:pPr>
              <w:pStyle w:val="37"/>
              <w:rPr>
                <w:szCs w:val="22"/>
              </w:rPr>
            </w:pPr>
            <w:r>
              <w:rPr>
                <w:szCs w:val="22"/>
              </w:rPr>
              <w:t>Low</w:t>
            </w:r>
          </w:p>
        </w:tc>
        <w:tc>
          <w:tcPr>
            <w:tcW w:w="1412" w:type="dxa"/>
            <w:tcBorders>
              <w:top w:val="single" w:color="auto" w:sz="4" w:space="0"/>
            </w:tcBorders>
          </w:tcPr>
          <w:p w14:paraId="7A3EC031">
            <w:pPr>
              <w:pStyle w:val="37"/>
              <w:rPr>
                <w:szCs w:val="22"/>
              </w:rPr>
            </w:pPr>
            <w:r>
              <w:rPr>
                <w:szCs w:val="22"/>
              </w:rPr>
              <w:t>Buildings</w:t>
            </w:r>
          </w:p>
        </w:tc>
        <w:tc>
          <w:tcPr>
            <w:tcW w:w="1412" w:type="dxa"/>
            <w:tcBorders>
              <w:top w:val="single" w:color="auto" w:sz="4" w:space="0"/>
            </w:tcBorders>
          </w:tcPr>
          <w:p w14:paraId="5460136E">
            <w:pPr>
              <w:pStyle w:val="37"/>
              <w:rPr>
                <w:szCs w:val="22"/>
              </w:rPr>
            </w:pPr>
            <w:r>
              <w:rPr>
                <w:szCs w:val="22"/>
              </w:rPr>
              <w:t>523,045</w:t>
            </w:r>
          </w:p>
        </w:tc>
        <w:tc>
          <w:tcPr>
            <w:tcW w:w="1412" w:type="dxa"/>
            <w:tcBorders>
              <w:top w:val="single" w:color="auto" w:sz="4" w:space="0"/>
            </w:tcBorders>
          </w:tcPr>
          <w:p w14:paraId="04D65814">
            <w:pPr>
              <w:pStyle w:val="37"/>
              <w:rPr>
                <w:szCs w:val="22"/>
              </w:rPr>
            </w:pPr>
            <w:r>
              <w:rPr>
                <w:szCs w:val="22"/>
              </w:rPr>
              <w:t>524,734</w:t>
            </w:r>
          </w:p>
        </w:tc>
        <w:tc>
          <w:tcPr>
            <w:tcW w:w="1412" w:type="dxa"/>
            <w:tcBorders>
              <w:top w:val="single" w:color="auto" w:sz="4" w:space="0"/>
            </w:tcBorders>
          </w:tcPr>
          <w:p w14:paraId="2DFDA712">
            <w:pPr>
              <w:pStyle w:val="37"/>
              <w:rPr>
                <w:szCs w:val="22"/>
              </w:rPr>
            </w:pPr>
            <w:r>
              <w:rPr>
                <w:szCs w:val="22"/>
              </w:rPr>
              <w:t>526,400</w:t>
            </w:r>
          </w:p>
        </w:tc>
        <w:tc>
          <w:tcPr>
            <w:tcW w:w="1412" w:type="dxa"/>
            <w:tcBorders>
              <w:top w:val="single" w:color="auto" w:sz="4" w:space="0"/>
            </w:tcBorders>
          </w:tcPr>
          <w:p w14:paraId="76FF3307">
            <w:pPr>
              <w:pStyle w:val="37"/>
              <w:rPr>
                <w:szCs w:val="22"/>
              </w:rPr>
            </w:pPr>
            <w:r>
              <w:rPr>
                <w:szCs w:val="22"/>
              </w:rPr>
              <w:t>527,970</w:t>
            </w:r>
          </w:p>
        </w:tc>
        <w:tc>
          <w:tcPr>
            <w:tcW w:w="1412" w:type="dxa"/>
            <w:tcBorders>
              <w:top w:val="single" w:color="auto" w:sz="4" w:space="0"/>
            </w:tcBorders>
          </w:tcPr>
          <w:p w14:paraId="37559D69">
            <w:pPr>
              <w:pStyle w:val="37"/>
              <w:rPr>
                <w:szCs w:val="22"/>
              </w:rPr>
            </w:pPr>
            <w:r>
              <w:rPr>
                <w:szCs w:val="22"/>
              </w:rPr>
              <w:t>529,552</w:t>
            </w:r>
          </w:p>
        </w:tc>
        <w:tc>
          <w:tcPr>
            <w:tcW w:w="1412" w:type="dxa"/>
            <w:tcBorders>
              <w:top w:val="single" w:color="auto" w:sz="4" w:space="0"/>
            </w:tcBorders>
          </w:tcPr>
          <w:p w14:paraId="6A84A760">
            <w:pPr>
              <w:pStyle w:val="37"/>
              <w:rPr>
                <w:szCs w:val="22"/>
              </w:rPr>
            </w:pPr>
            <w:r>
              <w:rPr>
                <w:szCs w:val="22"/>
              </w:rPr>
              <w:t>531,066</w:t>
            </w:r>
          </w:p>
        </w:tc>
      </w:tr>
      <w:tr w14:paraId="6B1851C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2A27C07D">
            <w:pPr>
              <w:pStyle w:val="37"/>
              <w:rPr>
                <w:szCs w:val="22"/>
              </w:rPr>
            </w:pPr>
            <w:r>
              <w:rPr>
                <w:szCs w:val="22"/>
              </w:rPr>
              <w:t>Low</w:t>
            </w:r>
          </w:p>
        </w:tc>
        <w:tc>
          <w:tcPr>
            <w:tcW w:w="1412" w:type="dxa"/>
          </w:tcPr>
          <w:p w14:paraId="52104D4E">
            <w:pPr>
              <w:pStyle w:val="37"/>
              <w:rPr>
                <w:szCs w:val="22"/>
              </w:rPr>
            </w:pPr>
            <w:r>
              <w:rPr>
                <w:szCs w:val="22"/>
              </w:rPr>
              <w:t>Dwelling units</w:t>
            </w:r>
          </w:p>
        </w:tc>
        <w:tc>
          <w:tcPr>
            <w:tcW w:w="1412" w:type="dxa"/>
          </w:tcPr>
          <w:p w14:paraId="567297A1">
            <w:pPr>
              <w:pStyle w:val="37"/>
              <w:rPr>
                <w:szCs w:val="22"/>
              </w:rPr>
            </w:pPr>
            <w:r>
              <w:rPr>
                <w:szCs w:val="22"/>
              </w:rPr>
              <w:t>548,243</w:t>
            </w:r>
          </w:p>
        </w:tc>
        <w:tc>
          <w:tcPr>
            <w:tcW w:w="1412" w:type="dxa"/>
          </w:tcPr>
          <w:p w14:paraId="052FE3B8">
            <w:pPr>
              <w:pStyle w:val="37"/>
              <w:rPr>
                <w:szCs w:val="22"/>
              </w:rPr>
            </w:pPr>
            <w:r>
              <w:rPr>
                <w:szCs w:val="22"/>
              </w:rPr>
              <w:t>552,446</w:t>
            </w:r>
          </w:p>
        </w:tc>
        <w:tc>
          <w:tcPr>
            <w:tcW w:w="1412" w:type="dxa"/>
          </w:tcPr>
          <w:p w14:paraId="193FB05C">
            <w:pPr>
              <w:pStyle w:val="37"/>
              <w:rPr>
                <w:szCs w:val="22"/>
              </w:rPr>
            </w:pPr>
            <w:r>
              <w:rPr>
                <w:szCs w:val="22"/>
              </w:rPr>
              <w:t>557,700</w:t>
            </w:r>
          </w:p>
        </w:tc>
        <w:tc>
          <w:tcPr>
            <w:tcW w:w="1412" w:type="dxa"/>
          </w:tcPr>
          <w:p w14:paraId="3B5D7AD6">
            <w:pPr>
              <w:pStyle w:val="37"/>
              <w:rPr>
                <w:szCs w:val="22"/>
              </w:rPr>
            </w:pPr>
            <w:r>
              <w:rPr>
                <w:szCs w:val="22"/>
              </w:rPr>
              <w:t>563,859</w:t>
            </w:r>
          </w:p>
        </w:tc>
        <w:tc>
          <w:tcPr>
            <w:tcW w:w="1412" w:type="dxa"/>
          </w:tcPr>
          <w:p w14:paraId="0C3E2D2D">
            <w:pPr>
              <w:pStyle w:val="37"/>
              <w:rPr>
                <w:szCs w:val="22"/>
              </w:rPr>
            </w:pPr>
            <w:r>
              <w:rPr>
                <w:szCs w:val="22"/>
              </w:rPr>
              <w:t>571,329</w:t>
            </w:r>
          </w:p>
        </w:tc>
        <w:tc>
          <w:tcPr>
            <w:tcW w:w="1412" w:type="dxa"/>
          </w:tcPr>
          <w:p w14:paraId="4857CB1F">
            <w:pPr>
              <w:pStyle w:val="37"/>
              <w:rPr>
                <w:szCs w:val="22"/>
              </w:rPr>
            </w:pPr>
            <w:r>
              <w:rPr>
                <w:szCs w:val="22"/>
              </w:rPr>
              <w:t>579,047</w:t>
            </w:r>
          </w:p>
        </w:tc>
      </w:tr>
      <w:tr w14:paraId="0850D55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1F073B1B">
            <w:pPr>
              <w:pStyle w:val="37"/>
              <w:rPr>
                <w:szCs w:val="22"/>
              </w:rPr>
            </w:pPr>
            <w:r>
              <w:rPr>
                <w:szCs w:val="22"/>
              </w:rPr>
              <w:t>Low</w:t>
            </w:r>
          </w:p>
        </w:tc>
        <w:tc>
          <w:tcPr>
            <w:tcW w:w="1412" w:type="dxa"/>
          </w:tcPr>
          <w:p w14:paraId="73734A9B">
            <w:r>
              <w:t xml:space="preserve">Floor area </w:t>
            </w:r>
          </w:p>
        </w:tc>
        <w:tc>
          <w:tcPr>
            <w:tcW w:w="1412" w:type="dxa"/>
          </w:tcPr>
          <w:p w14:paraId="2902074F">
            <w:pPr>
              <w:pStyle w:val="37"/>
              <w:rPr>
                <w:szCs w:val="22"/>
              </w:rPr>
            </w:pPr>
            <w:r>
              <w:rPr>
                <w:szCs w:val="22"/>
              </w:rPr>
              <w:t>154.4</w:t>
            </w:r>
          </w:p>
        </w:tc>
        <w:tc>
          <w:tcPr>
            <w:tcW w:w="1412" w:type="dxa"/>
          </w:tcPr>
          <w:p w14:paraId="4DDF23DC">
            <w:pPr>
              <w:pStyle w:val="37"/>
              <w:rPr>
                <w:szCs w:val="22"/>
              </w:rPr>
            </w:pPr>
            <w:r>
              <w:rPr>
                <w:szCs w:val="22"/>
              </w:rPr>
              <w:t>155.2</w:t>
            </w:r>
          </w:p>
        </w:tc>
        <w:tc>
          <w:tcPr>
            <w:tcW w:w="1412" w:type="dxa"/>
          </w:tcPr>
          <w:p w14:paraId="046F97AD">
            <w:pPr>
              <w:pStyle w:val="37"/>
              <w:rPr>
                <w:szCs w:val="22"/>
              </w:rPr>
            </w:pPr>
            <w:r>
              <w:rPr>
                <w:szCs w:val="22"/>
              </w:rPr>
              <w:t>157.1</w:t>
            </w:r>
          </w:p>
        </w:tc>
        <w:tc>
          <w:tcPr>
            <w:tcW w:w="1412" w:type="dxa"/>
          </w:tcPr>
          <w:p w14:paraId="481A78C7">
            <w:pPr>
              <w:pStyle w:val="37"/>
              <w:rPr>
                <w:szCs w:val="22"/>
              </w:rPr>
            </w:pPr>
            <w:r>
              <w:rPr>
                <w:szCs w:val="22"/>
              </w:rPr>
              <w:t>159.1</w:t>
            </w:r>
          </w:p>
        </w:tc>
        <w:tc>
          <w:tcPr>
            <w:tcW w:w="1412" w:type="dxa"/>
          </w:tcPr>
          <w:p w14:paraId="3A983539">
            <w:pPr>
              <w:pStyle w:val="37"/>
              <w:rPr>
                <w:szCs w:val="22"/>
              </w:rPr>
            </w:pPr>
            <w:r>
              <w:rPr>
                <w:szCs w:val="22"/>
              </w:rPr>
              <w:t>160.3</w:t>
            </w:r>
          </w:p>
        </w:tc>
        <w:tc>
          <w:tcPr>
            <w:tcW w:w="1412" w:type="dxa"/>
          </w:tcPr>
          <w:p w14:paraId="7C3E97C2">
            <w:pPr>
              <w:pStyle w:val="37"/>
              <w:rPr>
                <w:szCs w:val="22"/>
              </w:rPr>
            </w:pPr>
            <w:r>
              <w:rPr>
                <w:szCs w:val="22"/>
              </w:rPr>
              <w:t>162.1</w:t>
            </w:r>
          </w:p>
        </w:tc>
      </w:tr>
      <w:tr w14:paraId="2FB737E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2014C811">
            <w:pPr>
              <w:pStyle w:val="37"/>
              <w:rPr>
                <w:szCs w:val="22"/>
              </w:rPr>
            </w:pPr>
            <w:r>
              <w:rPr>
                <w:szCs w:val="22"/>
              </w:rPr>
              <w:t>Low</w:t>
            </w:r>
          </w:p>
        </w:tc>
        <w:tc>
          <w:tcPr>
            <w:tcW w:w="1412" w:type="dxa"/>
          </w:tcPr>
          <w:p w14:paraId="584BF1C4">
            <w:r>
              <w:t>Land area</w:t>
            </w:r>
          </w:p>
        </w:tc>
        <w:tc>
          <w:tcPr>
            <w:tcW w:w="1412" w:type="dxa"/>
          </w:tcPr>
          <w:p w14:paraId="7486D1E1">
            <w:pPr>
              <w:pStyle w:val="37"/>
              <w:rPr>
                <w:szCs w:val="22"/>
              </w:rPr>
            </w:pPr>
            <w:r>
              <w:rPr>
                <w:szCs w:val="22"/>
              </w:rPr>
              <w:t>90.5</w:t>
            </w:r>
          </w:p>
        </w:tc>
        <w:tc>
          <w:tcPr>
            <w:tcW w:w="1412" w:type="dxa"/>
          </w:tcPr>
          <w:p w14:paraId="732E913B">
            <w:pPr>
              <w:pStyle w:val="37"/>
              <w:rPr>
                <w:szCs w:val="22"/>
              </w:rPr>
            </w:pPr>
            <w:r>
              <w:rPr>
                <w:szCs w:val="22"/>
              </w:rPr>
              <w:t>90.8</w:t>
            </w:r>
          </w:p>
        </w:tc>
        <w:tc>
          <w:tcPr>
            <w:tcW w:w="1412" w:type="dxa"/>
          </w:tcPr>
          <w:p w14:paraId="5C86853C">
            <w:pPr>
              <w:pStyle w:val="37"/>
              <w:rPr>
                <w:szCs w:val="22"/>
              </w:rPr>
            </w:pPr>
            <w:r>
              <w:rPr>
                <w:szCs w:val="22"/>
              </w:rPr>
              <w:t>91.2</w:t>
            </w:r>
          </w:p>
        </w:tc>
        <w:tc>
          <w:tcPr>
            <w:tcW w:w="1412" w:type="dxa"/>
          </w:tcPr>
          <w:p w14:paraId="2FB231EE">
            <w:pPr>
              <w:pStyle w:val="37"/>
              <w:rPr>
                <w:szCs w:val="22"/>
              </w:rPr>
            </w:pPr>
            <w:r>
              <w:rPr>
                <w:szCs w:val="22"/>
              </w:rPr>
              <w:t>91.5</w:t>
            </w:r>
          </w:p>
        </w:tc>
        <w:tc>
          <w:tcPr>
            <w:tcW w:w="1412" w:type="dxa"/>
          </w:tcPr>
          <w:p w14:paraId="623236D9">
            <w:pPr>
              <w:pStyle w:val="37"/>
              <w:rPr>
                <w:szCs w:val="22"/>
              </w:rPr>
            </w:pPr>
            <w:r>
              <w:rPr>
                <w:szCs w:val="22"/>
              </w:rPr>
              <w:t>91.8</w:t>
            </w:r>
          </w:p>
        </w:tc>
        <w:tc>
          <w:tcPr>
            <w:tcW w:w="1412" w:type="dxa"/>
          </w:tcPr>
          <w:p w14:paraId="3B6F164C">
            <w:pPr>
              <w:pStyle w:val="37"/>
              <w:rPr>
                <w:szCs w:val="22"/>
              </w:rPr>
            </w:pPr>
            <w:r>
              <w:rPr>
                <w:szCs w:val="22"/>
              </w:rPr>
              <w:t>92.1</w:t>
            </w:r>
          </w:p>
        </w:tc>
      </w:tr>
      <w:tr w14:paraId="381F5C64">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22E96288">
            <w:pPr>
              <w:pStyle w:val="37"/>
              <w:rPr>
                <w:szCs w:val="22"/>
              </w:rPr>
            </w:pPr>
            <w:r>
              <w:rPr>
                <w:szCs w:val="22"/>
              </w:rPr>
              <w:t>Medium</w:t>
            </w:r>
          </w:p>
        </w:tc>
        <w:tc>
          <w:tcPr>
            <w:tcW w:w="1412" w:type="dxa"/>
          </w:tcPr>
          <w:p w14:paraId="6E75B04E">
            <w:pPr>
              <w:pStyle w:val="37"/>
              <w:rPr>
                <w:szCs w:val="22"/>
              </w:rPr>
            </w:pPr>
            <w:r>
              <w:rPr>
                <w:szCs w:val="22"/>
              </w:rPr>
              <w:t>Buildings</w:t>
            </w:r>
          </w:p>
        </w:tc>
        <w:tc>
          <w:tcPr>
            <w:tcW w:w="1412" w:type="dxa"/>
          </w:tcPr>
          <w:p w14:paraId="33F98351">
            <w:pPr>
              <w:pStyle w:val="37"/>
              <w:rPr>
                <w:szCs w:val="22"/>
              </w:rPr>
            </w:pPr>
            <w:r>
              <w:rPr>
                <w:szCs w:val="22"/>
              </w:rPr>
              <w:t>523,047</w:t>
            </w:r>
          </w:p>
        </w:tc>
        <w:tc>
          <w:tcPr>
            <w:tcW w:w="1412" w:type="dxa"/>
          </w:tcPr>
          <w:p w14:paraId="062F9252">
            <w:pPr>
              <w:pStyle w:val="37"/>
              <w:rPr>
                <w:szCs w:val="22"/>
              </w:rPr>
            </w:pPr>
            <w:r>
              <w:rPr>
                <w:szCs w:val="22"/>
              </w:rPr>
              <w:t>524,736</w:t>
            </w:r>
          </w:p>
        </w:tc>
        <w:tc>
          <w:tcPr>
            <w:tcW w:w="1412" w:type="dxa"/>
          </w:tcPr>
          <w:p w14:paraId="6A0D09BC">
            <w:pPr>
              <w:pStyle w:val="37"/>
              <w:rPr>
                <w:szCs w:val="22"/>
              </w:rPr>
            </w:pPr>
            <w:r>
              <w:rPr>
                <w:szCs w:val="22"/>
              </w:rPr>
              <w:t>526,403</w:t>
            </w:r>
          </w:p>
        </w:tc>
        <w:tc>
          <w:tcPr>
            <w:tcW w:w="1412" w:type="dxa"/>
          </w:tcPr>
          <w:p w14:paraId="113B691C">
            <w:pPr>
              <w:pStyle w:val="37"/>
              <w:rPr>
                <w:szCs w:val="22"/>
              </w:rPr>
            </w:pPr>
            <w:r>
              <w:rPr>
                <w:szCs w:val="22"/>
              </w:rPr>
              <w:t>527,970</w:t>
            </w:r>
          </w:p>
        </w:tc>
        <w:tc>
          <w:tcPr>
            <w:tcW w:w="1412" w:type="dxa"/>
          </w:tcPr>
          <w:p w14:paraId="2F3C1BA8">
            <w:pPr>
              <w:pStyle w:val="37"/>
              <w:rPr>
                <w:szCs w:val="22"/>
              </w:rPr>
            </w:pPr>
            <w:r>
              <w:rPr>
                <w:szCs w:val="22"/>
              </w:rPr>
              <w:t>529,566</w:t>
            </w:r>
          </w:p>
        </w:tc>
        <w:tc>
          <w:tcPr>
            <w:tcW w:w="1412" w:type="dxa"/>
          </w:tcPr>
          <w:p w14:paraId="2FFDD69F">
            <w:pPr>
              <w:pStyle w:val="37"/>
              <w:rPr>
                <w:szCs w:val="22"/>
              </w:rPr>
            </w:pPr>
            <w:r>
              <w:rPr>
                <w:szCs w:val="22"/>
              </w:rPr>
              <w:t>531,072</w:t>
            </w:r>
          </w:p>
        </w:tc>
      </w:tr>
      <w:tr w14:paraId="33926D4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26283EDF">
            <w:pPr>
              <w:pStyle w:val="37"/>
              <w:rPr>
                <w:szCs w:val="22"/>
              </w:rPr>
            </w:pPr>
            <w:r>
              <w:rPr>
                <w:szCs w:val="22"/>
              </w:rPr>
              <w:t>Medium</w:t>
            </w:r>
          </w:p>
        </w:tc>
        <w:tc>
          <w:tcPr>
            <w:tcW w:w="1412" w:type="dxa"/>
          </w:tcPr>
          <w:p w14:paraId="7100C2FB">
            <w:pPr>
              <w:pStyle w:val="37"/>
              <w:rPr>
                <w:szCs w:val="22"/>
              </w:rPr>
            </w:pPr>
            <w:r>
              <w:rPr>
                <w:szCs w:val="22"/>
              </w:rPr>
              <w:t>Dwelling units</w:t>
            </w:r>
          </w:p>
        </w:tc>
        <w:tc>
          <w:tcPr>
            <w:tcW w:w="1412" w:type="dxa"/>
          </w:tcPr>
          <w:p w14:paraId="45450C72">
            <w:pPr>
              <w:pStyle w:val="37"/>
              <w:rPr>
                <w:szCs w:val="22"/>
              </w:rPr>
            </w:pPr>
            <w:r>
              <w:rPr>
                <w:szCs w:val="22"/>
              </w:rPr>
              <w:t>548,344</w:t>
            </w:r>
          </w:p>
        </w:tc>
        <w:tc>
          <w:tcPr>
            <w:tcW w:w="1412" w:type="dxa"/>
          </w:tcPr>
          <w:p w14:paraId="04FB5599">
            <w:pPr>
              <w:pStyle w:val="37"/>
              <w:rPr>
                <w:szCs w:val="22"/>
              </w:rPr>
            </w:pPr>
            <w:r>
              <w:rPr>
                <w:szCs w:val="22"/>
              </w:rPr>
              <w:t>552,684</w:t>
            </w:r>
          </w:p>
        </w:tc>
        <w:tc>
          <w:tcPr>
            <w:tcW w:w="1412" w:type="dxa"/>
          </w:tcPr>
          <w:p w14:paraId="390F7C70">
            <w:pPr>
              <w:pStyle w:val="37"/>
              <w:rPr>
                <w:szCs w:val="22"/>
              </w:rPr>
            </w:pPr>
            <w:r>
              <w:rPr>
                <w:szCs w:val="22"/>
              </w:rPr>
              <w:t>558,143</w:t>
            </w:r>
          </w:p>
        </w:tc>
        <w:tc>
          <w:tcPr>
            <w:tcW w:w="1412" w:type="dxa"/>
          </w:tcPr>
          <w:p w14:paraId="2225B4D3">
            <w:pPr>
              <w:pStyle w:val="37"/>
              <w:rPr>
                <w:szCs w:val="22"/>
              </w:rPr>
            </w:pPr>
            <w:r>
              <w:rPr>
                <w:szCs w:val="22"/>
              </w:rPr>
              <w:t>563,859</w:t>
            </w:r>
          </w:p>
        </w:tc>
        <w:tc>
          <w:tcPr>
            <w:tcW w:w="1412" w:type="dxa"/>
          </w:tcPr>
          <w:p w14:paraId="1B96B7DB">
            <w:pPr>
              <w:pStyle w:val="37"/>
              <w:rPr>
                <w:szCs w:val="22"/>
              </w:rPr>
            </w:pPr>
            <w:r>
              <w:rPr>
                <w:szCs w:val="22"/>
              </w:rPr>
              <w:t>572,876</w:t>
            </w:r>
          </w:p>
        </w:tc>
        <w:tc>
          <w:tcPr>
            <w:tcW w:w="1412" w:type="dxa"/>
          </w:tcPr>
          <w:p w14:paraId="0017FEB1">
            <w:pPr>
              <w:pStyle w:val="37"/>
              <w:rPr>
                <w:szCs w:val="22"/>
              </w:rPr>
            </w:pPr>
            <w:r>
              <w:rPr>
                <w:szCs w:val="22"/>
              </w:rPr>
              <w:t>579,453</w:t>
            </w:r>
          </w:p>
        </w:tc>
      </w:tr>
      <w:tr w14:paraId="3E64876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1376C6EA">
            <w:pPr>
              <w:pStyle w:val="37"/>
              <w:rPr>
                <w:szCs w:val="22"/>
              </w:rPr>
            </w:pPr>
            <w:r>
              <w:rPr>
                <w:szCs w:val="22"/>
              </w:rPr>
              <w:t>Medium</w:t>
            </w:r>
          </w:p>
        </w:tc>
        <w:tc>
          <w:tcPr>
            <w:tcW w:w="1412" w:type="dxa"/>
          </w:tcPr>
          <w:p w14:paraId="4EB9ADC3">
            <w:r>
              <w:t>Floor area</w:t>
            </w:r>
          </w:p>
        </w:tc>
        <w:tc>
          <w:tcPr>
            <w:tcW w:w="1412" w:type="dxa"/>
          </w:tcPr>
          <w:p w14:paraId="444BF8DE">
            <w:pPr>
              <w:pStyle w:val="37"/>
              <w:rPr>
                <w:szCs w:val="22"/>
              </w:rPr>
            </w:pPr>
            <w:r>
              <w:rPr>
                <w:szCs w:val="22"/>
              </w:rPr>
              <w:t>154.4</w:t>
            </w:r>
          </w:p>
        </w:tc>
        <w:tc>
          <w:tcPr>
            <w:tcW w:w="1412" w:type="dxa"/>
          </w:tcPr>
          <w:p w14:paraId="31972D1F">
            <w:pPr>
              <w:pStyle w:val="37"/>
              <w:rPr>
                <w:szCs w:val="22"/>
              </w:rPr>
            </w:pPr>
            <w:r>
              <w:rPr>
                <w:szCs w:val="22"/>
              </w:rPr>
              <w:t>155.2</w:t>
            </w:r>
          </w:p>
        </w:tc>
        <w:tc>
          <w:tcPr>
            <w:tcW w:w="1412" w:type="dxa"/>
          </w:tcPr>
          <w:p w14:paraId="0FAADB40">
            <w:pPr>
              <w:pStyle w:val="37"/>
              <w:rPr>
                <w:szCs w:val="22"/>
              </w:rPr>
            </w:pPr>
            <w:r>
              <w:rPr>
                <w:szCs w:val="22"/>
              </w:rPr>
              <w:t>157.6</w:t>
            </w:r>
          </w:p>
        </w:tc>
        <w:tc>
          <w:tcPr>
            <w:tcW w:w="1412" w:type="dxa"/>
          </w:tcPr>
          <w:p w14:paraId="28A9E9B0">
            <w:pPr>
              <w:pStyle w:val="37"/>
              <w:rPr>
                <w:szCs w:val="22"/>
              </w:rPr>
            </w:pPr>
            <w:r>
              <w:rPr>
                <w:szCs w:val="22"/>
              </w:rPr>
              <w:t>159.1</w:t>
            </w:r>
          </w:p>
        </w:tc>
        <w:tc>
          <w:tcPr>
            <w:tcW w:w="1412" w:type="dxa"/>
          </w:tcPr>
          <w:p w14:paraId="1976CAB3">
            <w:pPr>
              <w:pStyle w:val="37"/>
              <w:rPr>
                <w:szCs w:val="22"/>
              </w:rPr>
            </w:pPr>
            <w:r>
              <w:rPr>
                <w:szCs w:val="22"/>
              </w:rPr>
              <w:t>160.5</w:t>
            </w:r>
          </w:p>
        </w:tc>
        <w:tc>
          <w:tcPr>
            <w:tcW w:w="1412" w:type="dxa"/>
          </w:tcPr>
          <w:p w14:paraId="7D4AEC9F">
            <w:pPr>
              <w:pStyle w:val="37"/>
              <w:rPr>
                <w:szCs w:val="22"/>
              </w:rPr>
            </w:pPr>
            <w:r>
              <w:rPr>
                <w:szCs w:val="22"/>
              </w:rPr>
              <w:t>162.1</w:t>
            </w:r>
          </w:p>
        </w:tc>
      </w:tr>
      <w:tr w14:paraId="230C1FE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31AC1739">
            <w:pPr>
              <w:pStyle w:val="37"/>
              <w:rPr>
                <w:szCs w:val="22"/>
              </w:rPr>
            </w:pPr>
            <w:r>
              <w:rPr>
                <w:szCs w:val="22"/>
              </w:rPr>
              <w:t>Medium</w:t>
            </w:r>
          </w:p>
        </w:tc>
        <w:tc>
          <w:tcPr>
            <w:tcW w:w="1412" w:type="dxa"/>
          </w:tcPr>
          <w:p w14:paraId="3203A925">
            <w:r>
              <w:t>Land area</w:t>
            </w:r>
          </w:p>
        </w:tc>
        <w:tc>
          <w:tcPr>
            <w:tcW w:w="1412" w:type="dxa"/>
          </w:tcPr>
          <w:p w14:paraId="517CB633">
            <w:pPr>
              <w:pStyle w:val="37"/>
              <w:rPr>
                <w:szCs w:val="22"/>
              </w:rPr>
            </w:pPr>
            <w:r>
              <w:rPr>
                <w:szCs w:val="22"/>
              </w:rPr>
              <w:t>90.5</w:t>
            </w:r>
          </w:p>
        </w:tc>
        <w:tc>
          <w:tcPr>
            <w:tcW w:w="1412" w:type="dxa"/>
          </w:tcPr>
          <w:p w14:paraId="3866A07D">
            <w:pPr>
              <w:pStyle w:val="37"/>
              <w:rPr>
                <w:szCs w:val="22"/>
              </w:rPr>
            </w:pPr>
            <w:r>
              <w:rPr>
                <w:szCs w:val="22"/>
              </w:rPr>
              <w:t>90.8</w:t>
            </w:r>
          </w:p>
        </w:tc>
        <w:tc>
          <w:tcPr>
            <w:tcW w:w="1412" w:type="dxa"/>
          </w:tcPr>
          <w:p w14:paraId="5427ACB5">
            <w:pPr>
              <w:pStyle w:val="37"/>
              <w:rPr>
                <w:szCs w:val="22"/>
              </w:rPr>
            </w:pPr>
            <w:r>
              <w:rPr>
                <w:szCs w:val="22"/>
              </w:rPr>
              <w:t>91.2</w:t>
            </w:r>
          </w:p>
        </w:tc>
        <w:tc>
          <w:tcPr>
            <w:tcW w:w="1412" w:type="dxa"/>
          </w:tcPr>
          <w:p w14:paraId="111978AB">
            <w:pPr>
              <w:pStyle w:val="37"/>
              <w:rPr>
                <w:szCs w:val="22"/>
              </w:rPr>
            </w:pPr>
            <w:r>
              <w:rPr>
                <w:szCs w:val="22"/>
              </w:rPr>
              <w:t>91.5</w:t>
            </w:r>
          </w:p>
        </w:tc>
        <w:tc>
          <w:tcPr>
            <w:tcW w:w="1412" w:type="dxa"/>
          </w:tcPr>
          <w:p w14:paraId="1936F497">
            <w:pPr>
              <w:pStyle w:val="37"/>
              <w:rPr>
                <w:szCs w:val="22"/>
              </w:rPr>
            </w:pPr>
            <w:r>
              <w:rPr>
                <w:szCs w:val="22"/>
              </w:rPr>
              <w:t>91.8</w:t>
            </w:r>
          </w:p>
        </w:tc>
        <w:tc>
          <w:tcPr>
            <w:tcW w:w="1412" w:type="dxa"/>
          </w:tcPr>
          <w:p w14:paraId="6C520EBB">
            <w:pPr>
              <w:pStyle w:val="37"/>
              <w:rPr>
                <w:szCs w:val="22"/>
              </w:rPr>
            </w:pPr>
            <w:r>
              <w:rPr>
                <w:szCs w:val="22"/>
              </w:rPr>
              <w:t>92.1</w:t>
            </w:r>
          </w:p>
        </w:tc>
      </w:tr>
      <w:tr w14:paraId="22AAF59E">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232FF5FF">
            <w:pPr>
              <w:pStyle w:val="37"/>
              <w:rPr>
                <w:szCs w:val="22"/>
              </w:rPr>
            </w:pPr>
            <w:r>
              <w:rPr>
                <w:szCs w:val="22"/>
              </w:rPr>
              <w:t>High</w:t>
            </w:r>
          </w:p>
        </w:tc>
        <w:tc>
          <w:tcPr>
            <w:tcW w:w="1412" w:type="dxa"/>
          </w:tcPr>
          <w:p w14:paraId="01FD09C3">
            <w:pPr>
              <w:pStyle w:val="37"/>
              <w:rPr>
                <w:szCs w:val="22"/>
              </w:rPr>
            </w:pPr>
            <w:r>
              <w:rPr>
                <w:szCs w:val="22"/>
              </w:rPr>
              <w:t>Buildings</w:t>
            </w:r>
          </w:p>
        </w:tc>
        <w:tc>
          <w:tcPr>
            <w:tcW w:w="1412" w:type="dxa"/>
          </w:tcPr>
          <w:p w14:paraId="636C3450">
            <w:pPr>
              <w:pStyle w:val="37"/>
              <w:rPr>
                <w:szCs w:val="22"/>
              </w:rPr>
            </w:pPr>
            <w:r>
              <w:rPr>
                <w:szCs w:val="22"/>
              </w:rPr>
              <w:t>523,047</w:t>
            </w:r>
          </w:p>
        </w:tc>
        <w:tc>
          <w:tcPr>
            <w:tcW w:w="1412" w:type="dxa"/>
          </w:tcPr>
          <w:p w14:paraId="491FBCED">
            <w:pPr>
              <w:pStyle w:val="37"/>
              <w:rPr>
                <w:szCs w:val="22"/>
              </w:rPr>
            </w:pPr>
            <w:r>
              <w:rPr>
                <w:szCs w:val="22"/>
              </w:rPr>
              <w:t>524,736</w:t>
            </w:r>
          </w:p>
        </w:tc>
        <w:tc>
          <w:tcPr>
            <w:tcW w:w="1412" w:type="dxa"/>
          </w:tcPr>
          <w:p w14:paraId="619FB519">
            <w:pPr>
              <w:pStyle w:val="37"/>
              <w:rPr>
                <w:szCs w:val="22"/>
              </w:rPr>
            </w:pPr>
            <w:r>
              <w:rPr>
                <w:szCs w:val="22"/>
              </w:rPr>
              <w:t>526,405</w:t>
            </w:r>
          </w:p>
        </w:tc>
        <w:tc>
          <w:tcPr>
            <w:tcW w:w="1412" w:type="dxa"/>
          </w:tcPr>
          <w:p w14:paraId="46F37A97">
            <w:pPr>
              <w:pStyle w:val="37"/>
              <w:rPr>
                <w:szCs w:val="22"/>
              </w:rPr>
            </w:pPr>
            <w:r>
              <w:rPr>
                <w:szCs w:val="22"/>
              </w:rPr>
              <w:t>527,978</w:t>
            </w:r>
          </w:p>
        </w:tc>
        <w:tc>
          <w:tcPr>
            <w:tcW w:w="1412" w:type="dxa"/>
          </w:tcPr>
          <w:p w14:paraId="05B2CC06">
            <w:pPr>
              <w:pStyle w:val="37"/>
              <w:rPr>
                <w:szCs w:val="22"/>
              </w:rPr>
            </w:pPr>
            <w:r>
              <w:rPr>
                <w:szCs w:val="22"/>
              </w:rPr>
              <w:t>529,571</w:t>
            </w:r>
          </w:p>
        </w:tc>
        <w:tc>
          <w:tcPr>
            <w:tcW w:w="1412" w:type="dxa"/>
          </w:tcPr>
          <w:p w14:paraId="3749BB80">
            <w:pPr>
              <w:pStyle w:val="37"/>
              <w:rPr>
                <w:szCs w:val="22"/>
              </w:rPr>
            </w:pPr>
            <w:r>
              <w:rPr>
                <w:szCs w:val="22"/>
              </w:rPr>
              <w:t>531,081</w:t>
            </w:r>
          </w:p>
        </w:tc>
      </w:tr>
      <w:tr w14:paraId="66B2633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139D7941">
            <w:pPr>
              <w:pStyle w:val="37"/>
              <w:rPr>
                <w:szCs w:val="22"/>
              </w:rPr>
            </w:pPr>
            <w:r>
              <w:rPr>
                <w:szCs w:val="22"/>
              </w:rPr>
              <w:t>High</w:t>
            </w:r>
          </w:p>
        </w:tc>
        <w:tc>
          <w:tcPr>
            <w:tcW w:w="1412" w:type="dxa"/>
          </w:tcPr>
          <w:p w14:paraId="1B4177B3">
            <w:pPr>
              <w:pStyle w:val="37"/>
              <w:rPr>
                <w:szCs w:val="22"/>
              </w:rPr>
            </w:pPr>
            <w:r>
              <w:rPr>
                <w:szCs w:val="22"/>
              </w:rPr>
              <w:t>Dwelling units</w:t>
            </w:r>
          </w:p>
        </w:tc>
        <w:tc>
          <w:tcPr>
            <w:tcW w:w="1412" w:type="dxa"/>
          </w:tcPr>
          <w:p w14:paraId="3999D3A3">
            <w:pPr>
              <w:pStyle w:val="37"/>
              <w:rPr>
                <w:szCs w:val="22"/>
              </w:rPr>
            </w:pPr>
            <w:r>
              <w:rPr>
                <w:szCs w:val="22"/>
              </w:rPr>
              <w:t>548,344</w:t>
            </w:r>
          </w:p>
        </w:tc>
        <w:tc>
          <w:tcPr>
            <w:tcW w:w="1412" w:type="dxa"/>
          </w:tcPr>
          <w:p w14:paraId="5D58E43D">
            <w:pPr>
              <w:pStyle w:val="37"/>
              <w:rPr>
                <w:szCs w:val="22"/>
              </w:rPr>
            </w:pPr>
            <w:r>
              <w:rPr>
                <w:szCs w:val="22"/>
              </w:rPr>
              <w:t>552,684</w:t>
            </w:r>
          </w:p>
        </w:tc>
        <w:tc>
          <w:tcPr>
            <w:tcW w:w="1412" w:type="dxa"/>
          </w:tcPr>
          <w:p w14:paraId="3638D1B3">
            <w:pPr>
              <w:pStyle w:val="37"/>
              <w:rPr>
                <w:szCs w:val="22"/>
              </w:rPr>
            </w:pPr>
            <w:r>
              <w:rPr>
                <w:szCs w:val="22"/>
              </w:rPr>
              <w:t>558,495</w:t>
            </w:r>
          </w:p>
        </w:tc>
        <w:tc>
          <w:tcPr>
            <w:tcW w:w="1412" w:type="dxa"/>
          </w:tcPr>
          <w:p w14:paraId="3CD19C31">
            <w:pPr>
              <w:pStyle w:val="37"/>
              <w:rPr>
                <w:szCs w:val="22"/>
              </w:rPr>
            </w:pPr>
            <w:r>
              <w:rPr>
                <w:szCs w:val="22"/>
              </w:rPr>
              <w:t>564,408</w:t>
            </w:r>
          </w:p>
        </w:tc>
        <w:tc>
          <w:tcPr>
            <w:tcW w:w="1412" w:type="dxa"/>
          </w:tcPr>
          <w:p w14:paraId="5061C74F">
            <w:pPr>
              <w:pStyle w:val="37"/>
              <w:rPr>
                <w:szCs w:val="22"/>
              </w:rPr>
            </w:pPr>
            <w:r>
              <w:rPr>
                <w:szCs w:val="22"/>
              </w:rPr>
              <w:t>573,318</w:t>
            </w:r>
          </w:p>
        </w:tc>
        <w:tc>
          <w:tcPr>
            <w:tcW w:w="1412" w:type="dxa"/>
          </w:tcPr>
          <w:p w14:paraId="522814CA">
            <w:pPr>
              <w:pStyle w:val="37"/>
              <w:rPr>
                <w:szCs w:val="22"/>
              </w:rPr>
            </w:pPr>
            <w:r>
              <w:rPr>
                <w:szCs w:val="22"/>
              </w:rPr>
              <w:t>579,988</w:t>
            </w:r>
          </w:p>
        </w:tc>
      </w:tr>
      <w:tr w14:paraId="1D559F8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Borders>
              <w:bottom w:val="nil"/>
            </w:tcBorders>
          </w:tcPr>
          <w:p w14:paraId="64955361">
            <w:pPr>
              <w:pStyle w:val="37"/>
              <w:rPr>
                <w:szCs w:val="22"/>
              </w:rPr>
            </w:pPr>
            <w:r>
              <w:rPr>
                <w:szCs w:val="22"/>
              </w:rPr>
              <w:t>High</w:t>
            </w:r>
          </w:p>
        </w:tc>
        <w:tc>
          <w:tcPr>
            <w:tcW w:w="1412" w:type="dxa"/>
            <w:tcBorders>
              <w:bottom w:val="nil"/>
            </w:tcBorders>
          </w:tcPr>
          <w:p w14:paraId="4FAC89A1">
            <w:r>
              <w:t>Floor area</w:t>
            </w:r>
          </w:p>
        </w:tc>
        <w:tc>
          <w:tcPr>
            <w:tcW w:w="1412" w:type="dxa"/>
            <w:tcBorders>
              <w:bottom w:val="nil"/>
            </w:tcBorders>
          </w:tcPr>
          <w:p w14:paraId="2928B3B7">
            <w:pPr>
              <w:pStyle w:val="37"/>
              <w:rPr>
                <w:szCs w:val="22"/>
              </w:rPr>
            </w:pPr>
            <w:r>
              <w:rPr>
                <w:szCs w:val="22"/>
              </w:rPr>
              <w:t>154.4</w:t>
            </w:r>
          </w:p>
        </w:tc>
        <w:tc>
          <w:tcPr>
            <w:tcW w:w="1412" w:type="dxa"/>
            <w:tcBorders>
              <w:bottom w:val="nil"/>
            </w:tcBorders>
          </w:tcPr>
          <w:p w14:paraId="19833F3C">
            <w:pPr>
              <w:pStyle w:val="37"/>
              <w:rPr>
                <w:szCs w:val="22"/>
              </w:rPr>
            </w:pPr>
            <w:r>
              <w:rPr>
                <w:szCs w:val="22"/>
              </w:rPr>
              <w:t>155.2</w:t>
            </w:r>
          </w:p>
        </w:tc>
        <w:tc>
          <w:tcPr>
            <w:tcW w:w="1412" w:type="dxa"/>
            <w:tcBorders>
              <w:bottom w:val="nil"/>
            </w:tcBorders>
          </w:tcPr>
          <w:p w14:paraId="5B1DACC6">
            <w:pPr>
              <w:pStyle w:val="37"/>
              <w:rPr>
                <w:szCs w:val="22"/>
              </w:rPr>
            </w:pPr>
            <w:r>
              <w:rPr>
                <w:szCs w:val="22"/>
              </w:rPr>
              <w:t>157.8</w:t>
            </w:r>
          </w:p>
        </w:tc>
        <w:tc>
          <w:tcPr>
            <w:tcW w:w="1412" w:type="dxa"/>
            <w:tcBorders>
              <w:bottom w:val="nil"/>
            </w:tcBorders>
          </w:tcPr>
          <w:p w14:paraId="1C7A08D1">
            <w:pPr>
              <w:pStyle w:val="37"/>
              <w:rPr>
                <w:szCs w:val="22"/>
              </w:rPr>
            </w:pPr>
            <w:r>
              <w:rPr>
                <w:szCs w:val="22"/>
              </w:rPr>
              <w:t>159.2</w:t>
            </w:r>
          </w:p>
        </w:tc>
        <w:tc>
          <w:tcPr>
            <w:tcW w:w="1412" w:type="dxa"/>
            <w:tcBorders>
              <w:bottom w:val="nil"/>
            </w:tcBorders>
          </w:tcPr>
          <w:p w14:paraId="10B0E816">
            <w:pPr>
              <w:pStyle w:val="37"/>
              <w:rPr>
                <w:szCs w:val="22"/>
              </w:rPr>
            </w:pPr>
            <w:r>
              <w:rPr>
                <w:szCs w:val="22"/>
              </w:rPr>
              <w:t>160.9</w:t>
            </w:r>
          </w:p>
        </w:tc>
        <w:tc>
          <w:tcPr>
            <w:tcW w:w="1412" w:type="dxa"/>
            <w:tcBorders>
              <w:bottom w:val="nil"/>
            </w:tcBorders>
          </w:tcPr>
          <w:p w14:paraId="6DC44345">
            <w:pPr>
              <w:pStyle w:val="37"/>
              <w:rPr>
                <w:szCs w:val="22"/>
              </w:rPr>
            </w:pPr>
            <w:r>
              <w:rPr>
                <w:szCs w:val="22"/>
              </w:rPr>
              <w:t>162.3</w:t>
            </w:r>
          </w:p>
        </w:tc>
      </w:tr>
      <w:tr w14:paraId="7CE3569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Borders>
              <w:top w:val="nil"/>
              <w:bottom w:val="single" w:color="000000" w:sz="6" w:space="0"/>
            </w:tcBorders>
          </w:tcPr>
          <w:p w14:paraId="78D5185D">
            <w:pPr>
              <w:pStyle w:val="37"/>
              <w:rPr>
                <w:szCs w:val="22"/>
              </w:rPr>
            </w:pPr>
            <w:r>
              <w:rPr>
                <w:szCs w:val="22"/>
              </w:rPr>
              <w:t>High</w:t>
            </w:r>
          </w:p>
        </w:tc>
        <w:tc>
          <w:tcPr>
            <w:tcW w:w="1412" w:type="dxa"/>
            <w:tcBorders>
              <w:top w:val="nil"/>
              <w:bottom w:val="single" w:color="000000" w:sz="6" w:space="0"/>
            </w:tcBorders>
          </w:tcPr>
          <w:p w14:paraId="22149555">
            <w:r>
              <w:t>Land area</w:t>
            </w:r>
          </w:p>
        </w:tc>
        <w:tc>
          <w:tcPr>
            <w:tcW w:w="1412" w:type="dxa"/>
            <w:tcBorders>
              <w:top w:val="nil"/>
              <w:bottom w:val="single" w:color="000000" w:sz="6" w:space="0"/>
            </w:tcBorders>
          </w:tcPr>
          <w:p w14:paraId="0AB1A6F0">
            <w:pPr>
              <w:pStyle w:val="37"/>
              <w:rPr>
                <w:szCs w:val="22"/>
              </w:rPr>
            </w:pPr>
            <w:r>
              <w:rPr>
                <w:szCs w:val="22"/>
              </w:rPr>
              <w:t>90.5</w:t>
            </w:r>
          </w:p>
        </w:tc>
        <w:tc>
          <w:tcPr>
            <w:tcW w:w="1412" w:type="dxa"/>
            <w:tcBorders>
              <w:top w:val="nil"/>
              <w:bottom w:val="single" w:color="000000" w:sz="6" w:space="0"/>
            </w:tcBorders>
          </w:tcPr>
          <w:p w14:paraId="5C5DFC7C">
            <w:pPr>
              <w:pStyle w:val="37"/>
              <w:rPr>
                <w:szCs w:val="22"/>
              </w:rPr>
            </w:pPr>
            <w:r>
              <w:rPr>
                <w:szCs w:val="22"/>
              </w:rPr>
              <w:t>90.8</w:t>
            </w:r>
          </w:p>
        </w:tc>
        <w:tc>
          <w:tcPr>
            <w:tcW w:w="1412" w:type="dxa"/>
            <w:tcBorders>
              <w:top w:val="nil"/>
              <w:bottom w:val="single" w:color="000000" w:sz="6" w:space="0"/>
            </w:tcBorders>
          </w:tcPr>
          <w:p w14:paraId="1CABFCD6">
            <w:pPr>
              <w:pStyle w:val="37"/>
              <w:rPr>
                <w:szCs w:val="22"/>
              </w:rPr>
            </w:pPr>
            <w:r>
              <w:rPr>
                <w:szCs w:val="22"/>
              </w:rPr>
              <w:t>91.2</w:t>
            </w:r>
          </w:p>
        </w:tc>
        <w:tc>
          <w:tcPr>
            <w:tcW w:w="1412" w:type="dxa"/>
            <w:tcBorders>
              <w:top w:val="nil"/>
              <w:bottom w:val="single" w:color="000000" w:sz="6" w:space="0"/>
            </w:tcBorders>
          </w:tcPr>
          <w:p w14:paraId="0D0F64C7">
            <w:pPr>
              <w:pStyle w:val="37"/>
              <w:rPr>
                <w:szCs w:val="22"/>
              </w:rPr>
            </w:pPr>
            <w:r>
              <w:rPr>
                <w:szCs w:val="22"/>
              </w:rPr>
              <w:t>91.5</w:t>
            </w:r>
          </w:p>
        </w:tc>
        <w:tc>
          <w:tcPr>
            <w:tcW w:w="1412" w:type="dxa"/>
            <w:tcBorders>
              <w:top w:val="nil"/>
              <w:bottom w:val="single" w:color="000000" w:sz="6" w:space="0"/>
            </w:tcBorders>
          </w:tcPr>
          <w:p w14:paraId="2299E143">
            <w:pPr>
              <w:pStyle w:val="37"/>
              <w:rPr>
                <w:szCs w:val="22"/>
              </w:rPr>
            </w:pPr>
            <w:r>
              <w:rPr>
                <w:szCs w:val="22"/>
              </w:rPr>
              <w:t>91.8</w:t>
            </w:r>
          </w:p>
        </w:tc>
        <w:tc>
          <w:tcPr>
            <w:tcW w:w="1412" w:type="dxa"/>
            <w:tcBorders>
              <w:top w:val="nil"/>
              <w:bottom w:val="single" w:color="000000" w:sz="6" w:space="0"/>
            </w:tcBorders>
          </w:tcPr>
          <w:p w14:paraId="04639F4F">
            <w:pPr>
              <w:pStyle w:val="37"/>
              <w:rPr>
                <w:szCs w:val="22"/>
              </w:rPr>
            </w:pPr>
            <w:r>
              <w:rPr>
                <w:szCs w:val="22"/>
              </w:rPr>
              <w:t>92.1</w:t>
            </w:r>
          </w:p>
        </w:tc>
      </w:tr>
    </w:tbl>
    <w:p w14:paraId="387EB8BA">
      <w:pPr>
        <w:pStyle w:val="35"/>
        <w:keepLines/>
      </w:pPr>
      <w:r>
        <w:t>Note: Floor area and land area are million m². Values are cumulative stocks at each benchmark year.</w:t>
      </w:r>
    </w:p>
    <w:p w14:paraId="70817C6D">
      <w:pPr>
        <w:jc w:val="left"/>
        <w:rPr>
          <w:szCs w:val="19"/>
        </w:rPr>
      </w:pPr>
      <w:r>
        <w:br w:type="page"/>
      </w:r>
    </w:p>
    <w:p w14:paraId="328F5F07">
      <w:pPr>
        <w:pStyle w:val="33"/>
        <w:keepLines/>
      </w:pPr>
      <w:r>
        <w:t>Supplementary Table 8 | Five-year additions to the renewal-pressure stock under three demographic scenarios, 2020–2050.</w:t>
      </w:r>
    </w:p>
    <w:tbl>
      <w:tblPr>
        <w:tblStyle w:val="6"/>
        <w:tblW w:w="0" w:type="auto"/>
        <w:tblInd w:w="0" w:type="dxa"/>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2"/>
        <w:gridCol w:w="1412"/>
        <w:gridCol w:w="1412"/>
        <w:gridCol w:w="1412"/>
        <w:gridCol w:w="1412"/>
        <w:gridCol w:w="1412"/>
        <w:gridCol w:w="1412"/>
        <w:gridCol w:w="1412"/>
      </w:tblGrid>
      <w:tr w14:paraId="22FAF414">
        <w:trPr>
          <w:cantSplit/>
          <w:tblHeader/>
        </w:trPr>
        <w:tc>
          <w:tcPr>
            <w:tcW w:w="1412" w:type="dxa"/>
            <w:tcBorders>
              <w:top w:val="single" w:color="000000" w:sz="6" w:space="0"/>
              <w:bottom w:val="single" w:color="auto" w:sz="4" w:space="0"/>
            </w:tcBorders>
          </w:tcPr>
          <w:p w14:paraId="413D6C14">
            <w:pPr>
              <w:pStyle w:val="36"/>
            </w:pPr>
            <w:r>
              <w:t>Scenario</w:t>
            </w:r>
          </w:p>
        </w:tc>
        <w:tc>
          <w:tcPr>
            <w:tcW w:w="1412" w:type="dxa"/>
            <w:tcBorders>
              <w:top w:val="single" w:color="000000" w:sz="6" w:space="0"/>
              <w:bottom w:val="single" w:color="auto" w:sz="4" w:space="0"/>
            </w:tcBorders>
          </w:tcPr>
          <w:p w14:paraId="6C68219E">
            <w:pPr>
              <w:pStyle w:val="36"/>
            </w:pPr>
            <w:r>
              <w:t>Indicator</w:t>
            </w:r>
          </w:p>
        </w:tc>
        <w:tc>
          <w:tcPr>
            <w:tcW w:w="1412" w:type="dxa"/>
            <w:tcBorders>
              <w:top w:val="single" w:color="000000" w:sz="6" w:space="0"/>
              <w:bottom w:val="single" w:color="auto" w:sz="4" w:space="0"/>
            </w:tcBorders>
          </w:tcPr>
          <w:p w14:paraId="71DE88E1">
            <w:pPr>
              <w:pStyle w:val="36"/>
            </w:pPr>
            <w:r>
              <w:t>2020–2025</w:t>
            </w:r>
          </w:p>
        </w:tc>
        <w:tc>
          <w:tcPr>
            <w:tcW w:w="1412" w:type="dxa"/>
            <w:tcBorders>
              <w:top w:val="single" w:color="000000" w:sz="6" w:space="0"/>
              <w:bottom w:val="single" w:color="auto" w:sz="4" w:space="0"/>
            </w:tcBorders>
          </w:tcPr>
          <w:p w14:paraId="013621E5">
            <w:pPr>
              <w:pStyle w:val="36"/>
            </w:pPr>
            <w:r>
              <w:t>2025–2030</w:t>
            </w:r>
          </w:p>
        </w:tc>
        <w:tc>
          <w:tcPr>
            <w:tcW w:w="1412" w:type="dxa"/>
            <w:tcBorders>
              <w:top w:val="single" w:color="000000" w:sz="6" w:space="0"/>
              <w:bottom w:val="single" w:color="auto" w:sz="4" w:space="0"/>
            </w:tcBorders>
          </w:tcPr>
          <w:p w14:paraId="14BEEEF0">
            <w:pPr>
              <w:pStyle w:val="36"/>
            </w:pPr>
            <w:r>
              <w:t>2030–2035</w:t>
            </w:r>
          </w:p>
        </w:tc>
        <w:tc>
          <w:tcPr>
            <w:tcW w:w="1412" w:type="dxa"/>
            <w:tcBorders>
              <w:top w:val="single" w:color="000000" w:sz="6" w:space="0"/>
              <w:bottom w:val="single" w:color="auto" w:sz="4" w:space="0"/>
            </w:tcBorders>
          </w:tcPr>
          <w:p w14:paraId="7BE12F1F">
            <w:pPr>
              <w:pStyle w:val="36"/>
            </w:pPr>
            <w:r>
              <w:t>2035–2040</w:t>
            </w:r>
          </w:p>
        </w:tc>
        <w:tc>
          <w:tcPr>
            <w:tcW w:w="1412" w:type="dxa"/>
            <w:tcBorders>
              <w:top w:val="single" w:color="000000" w:sz="6" w:space="0"/>
              <w:bottom w:val="single" w:color="auto" w:sz="4" w:space="0"/>
            </w:tcBorders>
          </w:tcPr>
          <w:p w14:paraId="08D9BDFA">
            <w:pPr>
              <w:pStyle w:val="36"/>
            </w:pPr>
            <w:r>
              <w:t>2040–2045</w:t>
            </w:r>
          </w:p>
        </w:tc>
        <w:tc>
          <w:tcPr>
            <w:tcW w:w="1412" w:type="dxa"/>
            <w:tcBorders>
              <w:top w:val="single" w:color="000000" w:sz="6" w:space="0"/>
              <w:bottom w:val="single" w:color="auto" w:sz="4" w:space="0"/>
            </w:tcBorders>
          </w:tcPr>
          <w:p w14:paraId="2459C583">
            <w:pPr>
              <w:pStyle w:val="36"/>
            </w:pPr>
            <w:r>
              <w:t>2045–2050</w:t>
            </w:r>
          </w:p>
        </w:tc>
      </w:tr>
      <w:tr w14:paraId="2546FFC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Borders>
              <w:top w:val="single" w:color="auto" w:sz="4" w:space="0"/>
            </w:tcBorders>
          </w:tcPr>
          <w:p w14:paraId="107273AB">
            <w:pPr>
              <w:pStyle w:val="37"/>
            </w:pPr>
            <w:r>
              <w:t>Low</w:t>
            </w:r>
          </w:p>
        </w:tc>
        <w:tc>
          <w:tcPr>
            <w:tcW w:w="1412" w:type="dxa"/>
            <w:tcBorders>
              <w:top w:val="single" w:color="auto" w:sz="4" w:space="0"/>
            </w:tcBorders>
          </w:tcPr>
          <w:p w14:paraId="11CC16C7">
            <w:pPr>
              <w:pStyle w:val="37"/>
            </w:pPr>
            <w:r>
              <w:t>Buildings</w:t>
            </w:r>
          </w:p>
        </w:tc>
        <w:tc>
          <w:tcPr>
            <w:tcW w:w="1412" w:type="dxa"/>
            <w:tcBorders>
              <w:top w:val="single" w:color="auto" w:sz="4" w:space="0"/>
            </w:tcBorders>
          </w:tcPr>
          <w:p w14:paraId="5D9297D9">
            <w:pPr>
              <w:pStyle w:val="37"/>
            </w:pPr>
            <w:r>
              <w:t>1,810</w:t>
            </w:r>
          </w:p>
        </w:tc>
        <w:tc>
          <w:tcPr>
            <w:tcW w:w="1412" w:type="dxa"/>
            <w:tcBorders>
              <w:top w:val="single" w:color="auto" w:sz="4" w:space="0"/>
            </w:tcBorders>
          </w:tcPr>
          <w:p w14:paraId="5BD84B94">
            <w:pPr>
              <w:pStyle w:val="37"/>
            </w:pPr>
            <w:r>
              <w:t>1,689</w:t>
            </w:r>
          </w:p>
        </w:tc>
        <w:tc>
          <w:tcPr>
            <w:tcW w:w="1412" w:type="dxa"/>
            <w:tcBorders>
              <w:top w:val="single" w:color="auto" w:sz="4" w:space="0"/>
            </w:tcBorders>
          </w:tcPr>
          <w:p w14:paraId="13D84E40">
            <w:pPr>
              <w:pStyle w:val="37"/>
            </w:pPr>
            <w:r>
              <w:t>1,666</w:t>
            </w:r>
          </w:p>
        </w:tc>
        <w:tc>
          <w:tcPr>
            <w:tcW w:w="1412" w:type="dxa"/>
            <w:tcBorders>
              <w:top w:val="single" w:color="auto" w:sz="4" w:space="0"/>
            </w:tcBorders>
          </w:tcPr>
          <w:p w14:paraId="6C3EACC9">
            <w:pPr>
              <w:pStyle w:val="37"/>
            </w:pPr>
            <w:r>
              <w:t>1,570</w:t>
            </w:r>
          </w:p>
        </w:tc>
        <w:tc>
          <w:tcPr>
            <w:tcW w:w="1412" w:type="dxa"/>
            <w:tcBorders>
              <w:top w:val="single" w:color="auto" w:sz="4" w:space="0"/>
            </w:tcBorders>
          </w:tcPr>
          <w:p w14:paraId="3B779C6C">
            <w:pPr>
              <w:pStyle w:val="37"/>
            </w:pPr>
            <w:r>
              <w:t>1,582</w:t>
            </w:r>
          </w:p>
        </w:tc>
        <w:tc>
          <w:tcPr>
            <w:tcW w:w="1412" w:type="dxa"/>
            <w:tcBorders>
              <w:top w:val="single" w:color="auto" w:sz="4" w:space="0"/>
            </w:tcBorders>
          </w:tcPr>
          <w:p w14:paraId="76B8A962">
            <w:pPr>
              <w:pStyle w:val="37"/>
            </w:pPr>
            <w:r>
              <w:t>1,514</w:t>
            </w:r>
          </w:p>
        </w:tc>
      </w:tr>
      <w:tr w14:paraId="4801072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2FCE3900">
            <w:pPr>
              <w:pStyle w:val="37"/>
            </w:pPr>
            <w:r>
              <w:t>Low</w:t>
            </w:r>
          </w:p>
        </w:tc>
        <w:tc>
          <w:tcPr>
            <w:tcW w:w="1412" w:type="dxa"/>
          </w:tcPr>
          <w:p w14:paraId="156D7D15">
            <w:pPr>
              <w:pStyle w:val="37"/>
            </w:pPr>
            <w:r>
              <w:t>Dwelling units</w:t>
            </w:r>
          </w:p>
        </w:tc>
        <w:tc>
          <w:tcPr>
            <w:tcW w:w="1412" w:type="dxa"/>
          </w:tcPr>
          <w:p w14:paraId="24645E6E">
            <w:pPr>
              <w:pStyle w:val="37"/>
            </w:pPr>
            <w:r>
              <w:t>4,070</w:t>
            </w:r>
          </w:p>
        </w:tc>
        <w:tc>
          <w:tcPr>
            <w:tcW w:w="1412" w:type="dxa"/>
          </w:tcPr>
          <w:p w14:paraId="39876699">
            <w:pPr>
              <w:pStyle w:val="37"/>
            </w:pPr>
            <w:r>
              <w:t>4,203</w:t>
            </w:r>
          </w:p>
        </w:tc>
        <w:tc>
          <w:tcPr>
            <w:tcW w:w="1412" w:type="dxa"/>
          </w:tcPr>
          <w:p w14:paraId="1A77BDBF">
            <w:pPr>
              <w:pStyle w:val="37"/>
            </w:pPr>
            <w:r>
              <w:t>5,254</w:t>
            </w:r>
          </w:p>
        </w:tc>
        <w:tc>
          <w:tcPr>
            <w:tcW w:w="1412" w:type="dxa"/>
          </w:tcPr>
          <w:p w14:paraId="7EB70AC5">
            <w:pPr>
              <w:pStyle w:val="37"/>
            </w:pPr>
            <w:r>
              <w:t>6,159</w:t>
            </w:r>
          </w:p>
        </w:tc>
        <w:tc>
          <w:tcPr>
            <w:tcW w:w="1412" w:type="dxa"/>
          </w:tcPr>
          <w:p w14:paraId="4F252538">
            <w:pPr>
              <w:pStyle w:val="37"/>
            </w:pPr>
            <w:r>
              <w:t>7,470</w:t>
            </w:r>
          </w:p>
        </w:tc>
        <w:tc>
          <w:tcPr>
            <w:tcW w:w="1412" w:type="dxa"/>
          </w:tcPr>
          <w:p w14:paraId="5F11C6B5">
            <w:pPr>
              <w:pStyle w:val="37"/>
            </w:pPr>
            <w:r>
              <w:t>7,718</w:t>
            </w:r>
          </w:p>
        </w:tc>
      </w:tr>
      <w:tr w14:paraId="5610EE0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6A7BAD71">
            <w:pPr>
              <w:pStyle w:val="37"/>
            </w:pPr>
            <w:r>
              <w:t>Low</w:t>
            </w:r>
          </w:p>
        </w:tc>
        <w:tc>
          <w:tcPr>
            <w:tcW w:w="1412" w:type="dxa"/>
          </w:tcPr>
          <w:p w14:paraId="25B9BF30">
            <w:r>
              <w:t>Floor area</w:t>
            </w:r>
          </w:p>
        </w:tc>
        <w:tc>
          <w:tcPr>
            <w:tcW w:w="1412" w:type="dxa"/>
          </w:tcPr>
          <w:p w14:paraId="61E866EF">
            <w:pPr>
              <w:pStyle w:val="37"/>
            </w:pPr>
            <w:r>
              <w:t>1.619</w:t>
            </w:r>
          </w:p>
        </w:tc>
        <w:tc>
          <w:tcPr>
            <w:tcW w:w="1412" w:type="dxa"/>
          </w:tcPr>
          <w:p w14:paraId="2BC1B824">
            <w:pPr>
              <w:pStyle w:val="37"/>
            </w:pPr>
            <w:r>
              <w:t>0.809</w:t>
            </w:r>
          </w:p>
        </w:tc>
        <w:tc>
          <w:tcPr>
            <w:tcW w:w="1412" w:type="dxa"/>
          </w:tcPr>
          <w:p w14:paraId="41C20456">
            <w:pPr>
              <w:pStyle w:val="37"/>
            </w:pPr>
            <w:r>
              <w:t>1.932</w:t>
            </w:r>
          </w:p>
        </w:tc>
        <w:tc>
          <w:tcPr>
            <w:tcW w:w="1412" w:type="dxa"/>
          </w:tcPr>
          <w:p w14:paraId="4B2D271E">
            <w:pPr>
              <w:pStyle w:val="37"/>
            </w:pPr>
            <w:r>
              <w:t>1.992</w:t>
            </w:r>
          </w:p>
        </w:tc>
        <w:tc>
          <w:tcPr>
            <w:tcW w:w="1412" w:type="dxa"/>
          </w:tcPr>
          <w:p w14:paraId="1E427581">
            <w:pPr>
              <w:pStyle w:val="37"/>
            </w:pPr>
            <w:r>
              <w:t>1.163</w:t>
            </w:r>
          </w:p>
        </w:tc>
        <w:tc>
          <w:tcPr>
            <w:tcW w:w="1412" w:type="dxa"/>
          </w:tcPr>
          <w:p w14:paraId="76A293E7">
            <w:pPr>
              <w:pStyle w:val="37"/>
            </w:pPr>
            <w:r>
              <w:t>1.764</w:t>
            </w:r>
          </w:p>
        </w:tc>
      </w:tr>
      <w:tr w14:paraId="39FB000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6288EFD7">
            <w:pPr>
              <w:pStyle w:val="37"/>
            </w:pPr>
            <w:r>
              <w:t>Low</w:t>
            </w:r>
          </w:p>
        </w:tc>
        <w:tc>
          <w:tcPr>
            <w:tcW w:w="1412" w:type="dxa"/>
          </w:tcPr>
          <w:p w14:paraId="3A65EEC3">
            <w:r>
              <w:t>Land area</w:t>
            </w:r>
          </w:p>
        </w:tc>
        <w:tc>
          <w:tcPr>
            <w:tcW w:w="1412" w:type="dxa"/>
          </w:tcPr>
          <w:p w14:paraId="738578A4">
            <w:pPr>
              <w:pStyle w:val="37"/>
            </w:pPr>
            <w:r>
              <w:t>0.347</w:t>
            </w:r>
          </w:p>
        </w:tc>
        <w:tc>
          <w:tcPr>
            <w:tcW w:w="1412" w:type="dxa"/>
          </w:tcPr>
          <w:p w14:paraId="6272288F">
            <w:pPr>
              <w:pStyle w:val="37"/>
            </w:pPr>
            <w:r>
              <w:t>0.336</w:t>
            </w:r>
          </w:p>
        </w:tc>
        <w:tc>
          <w:tcPr>
            <w:tcW w:w="1412" w:type="dxa"/>
          </w:tcPr>
          <w:p w14:paraId="508ACEE3">
            <w:pPr>
              <w:pStyle w:val="37"/>
            </w:pPr>
            <w:r>
              <w:t>0.334</w:t>
            </w:r>
          </w:p>
        </w:tc>
        <w:tc>
          <w:tcPr>
            <w:tcW w:w="1412" w:type="dxa"/>
          </w:tcPr>
          <w:p w14:paraId="782FCB9A">
            <w:pPr>
              <w:pStyle w:val="37"/>
            </w:pPr>
            <w:r>
              <w:t>0.320</w:t>
            </w:r>
          </w:p>
        </w:tc>
        <w:tc>
          <w:tcPr>
            <w:tcW w:w="1412" w:type="dxa"/>
          </w:tcPr>
          <w:p w14:paraId="5CA2DDC9">
            <w:pPr>
              <w:pStyle w:val="37"/>
            </w:pPr>
            <w:r>
              <w:t>0.324</w:t>
            </w:r>
          </w:p>
        </w:tc>
        <w:tc>
          <w:tcPr>
            <w:tcW w:w="1412" w:type="dxa"/>
          </w:tcPr>
          <w:p w14:paraId="6F23582F">
            <w:pPr>
              <w:pStyle w:val="37"/>
            </w:pPr>
            <w:r>
              <w:t>0.325</w:t>
            </w:r>
          </w:p>
        </w:tc>
      </w:tr>
      <w:tr w14:paraId="2892811E">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6D3DF206">
            <w:pPr>
              <w:pStyle w:val="37"/>
            </w:pPr>
            <w:r>
              <w:t>Medium</w:t>
            </w:r>
          </w:p>
        </w:tc>
        <w:tc>
          <w:tcPr>
            <w:tcW w:w="1412" w:type="dxa"/>
          </w:tcPr>
          <w:p w14:paraId="7C7AC151">
            <w:pPr>
              <w:pStyle w:val="37"/>
            </w:pPr>
            <w:r>
              <w:t>Buildings</w:t>
            </w:r>
          </w:p>
        </w:tc>
        <w:tc>
          <w:tcPr>
            <w:tcW w:w="1412" w:type="dxa"/>
          </w:tcPr>
          <w:p w14:paraId="0C574B6C">
            <w:pPr>
              <w:pStyle w:val="37"/>
            </w:pPr>
            <w:r>
              <w:t>1,812</w:t>
            </w:r>
          </w:p>
        </w:tc>
        <w:tc>
          <w:tcPr>
            <w:tcW w:w="1412" w:type="dxa"/>
          </w:tcPr>
          <w:p w14:paraId="0BF51F9E">
            <w:pPr>
              <w:pStyle w:val="37"/>
            </w:pPr>
            <w:r>
              <w:t>1,689</w:t>
            </w:r>
          </w:p>
        </w:tc>
        <w:tc>
          <w:tcPr>
            <w:tcW w:w="1412" w:type="dxa"/>
          </w:tcPr>
          <w:p w14:paraId="55CA9869">
            <w:pPr>
              <w:pStyle w:val="37"/>
            </w:pPr>
            <w:r>
              <w:t>1,667</w:t>
            </w:r>
          </w:p>
        </w:tc>
        <w:tc>
          <w:tcPr>
            <w:tcW w:w="1412" w:type="dxa"/>
          </w:tcPr>
          <w:p w14:paraId="5845CDD5">
            <w:pPr>
              <w:pStyle w:val="37"/>
            </w:pPr>
            <w:r>
              <w:t>1,567</w:t>
            </w:r>
          </w:p>
        </w:tc>
        <w:tc>
          <w:tcPr>
            <w:tcW w:w="1412" w:type="dxa"/>
          </w:tcPr>
          <w:p w14:paraId="08F64E7B">
            <w:pPr>
              <w:pStyle w:val="37"/>
            </w:pPr>
            <w:r>
              <w:t>1,596</w:t>
            </w:r>
          </w:p>
        </w:tc>
        <w:tc>
          <w:tcPr>
            <w:tcW w:w="1412" w:type="dxa"/>
          </w:tcPr>
          <w:p w14:paraId="6C2D7FF3">
            <w:pPr>
              <w:pStyle w:val="37"/>
            </w:pPr>
            <w:r>
              <w:t>1,506</w:t>
            </w:r>
          </w:p>
        </w:tc>
      </w:tr>
      <w:tr w14:paraId="2C9882E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17702ED9">
            <w:pPr>
              <w:pStyle w:val="37"/>
            </w:pPr>
            <w:r>
              <w:t>Medium</w:t>
            </w:r>
          </w:p>
        </w:tc>
        <w:tc>
          <w:tcPr>
            <w:tcW w:w="1412" w:type="dxa"/>
          </w:tcPr>
          <w:p w14:paraId="45C1F13B">
            <w:pPr>
              <w:pStyle w:val="37"/>
            </w:pPr>
            <w:r>
              <w:t>Dwelling units</w:t>
            </w:r>
          </w:p>
        </w:tc>
        <w:tc>
          <w:tcPr>
            <w:tcW w:w="1412" w:type="dxa"/>
          </w:tcPr>
          <w:p w14:paraId="3C503954">
            <w:pPr>
              <w:pStyle w:val="37"/>
            </w:pPr>
            <w:r>
              <w:t>4,171</w:t>
            </w:r>
          </w:p>
        </w:tc>
        <w:tc>
          <w:tcPr>
            <w:tcW w:w="1412" w:type="dxa"/>
          </w:tcPr>
          <w:p w14:paraId="6CB41DA2">
            <w:pPr>
              <w:pStyle w:val="37"/>
            </w:pPr>
            <w:r>
              <w:t>4,340</w:t>
            </w:r>
          </w:p>
        </w:tc>
        <w:tc>
          <w:tcPr>
            <w:tcW w:w="1412" w:type="dxa"/>
          </w:tcPr>
          <w:p w14:paraId="54E1D30D">
            <w:pPr>
              <w:pStyle w:val="37"/>
            </w:pPr>
            <w:r>
              <w:t>5,459</w:t>
            </w:r>
          </w:p>
        </w:tc>
        <w:tc>
          <w:tcPr>
            <w:tcW w:w="1412" w:type="dxa"/>
          </w:tcPr>
          <w:p w14:paraId="766A75A8">
            <w:pPr>
              <w:pStyle w:val="37"/>
            </w:pPr>
            <w:r>
              <w:t>5,716</w:t>
            </w:r>
          </w:p>
        </w:tc>
        <w:tc>
          <w:tcPr>
            <w:tcW w:w="1412" w:type="dxa"/>
          </w:tcPr>
          <w:p w14:paraId="6D30A95C">
            <w:pPr>
              <w:pStyle w:val="37"/>
            </w:pPr>
            <w:r>
              <w:t>9,017</w:t>
            </w:r>
          </w:p>
        </w:tc>
        <w:tc>
          <w:tcPr>
            <w:tcW w:w="1412" w:type="dxa"/>
          </w:tcPr>
          <w:p w14:paraId="7EDE2E05">
            <w:pPr>
              <w:pStyle w:val="37"/>
            </w:pPr>
            <w:r>
              <w:t>6,577</w:t>
            </w:r>
          </w:p>
        </w:tc>
      </w:tr>
      <w:tr w14:paraId="610F63B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71E2D951">
            <w:pPr>
              <w:pStyle w:val="37"/>
            </w:pPr>
            <w:r>
              <w:t>Medium</w:t>
            </w:r>
          </w:p>
        </w:tc>
        <w:tc>
          <w:tcPr>
            <w:tcW w:w="1412" w:type="dxa"/>
          </w:tcPr>
          <w:p w14:paraId="26B7ECDE">
            <w:r>
              <w:t>Floor area</w:t>
            </w:r>
          </w:p>
        </w:tc>
        <w:tc>
          <w:tcPr>
            <w:tcW w:w="1412" w:type="dxa"/>
          </w:tcPr>
          <w:p w14:paraId="7906BE9C">
            <w:pPr>
              <w:pStyle w:val="37"/>
            </w:pPr>
            <w:r>
              <w:t>1.647</w:t>
            </w:r>
          </w:p>
        </w:tc>
        <w:tc>
          <w:tcPr>
            <w:tcW w:w="1412" w:type="dxa"/>
          </w:tcPr>
          <w:p w14:paraId="12CB6F32">
            <w:pPr>
              <w:pStyle w:val="37"/>
            </w:pPr>
            <w:r>
              <w:t>0.815</w:t>
            </w:r>
          </w:p>
        </w:tc>
        <w:tc>
          <w:tcPr>
            <w:tcW w:w="1412" w:type="dxa"/>
          </w:tcPr>
          <w:p w14:paraId="217582D8">
            <w:pPr>
              <w:pStyle w:val="37"/>
            </w:pPr>
            <w:r>
              <w:t>2.366</w:t>
            </w:r>
          </w:p>
        </w:tc>
        <w:tc>
          <w:tcPr>
            <w:tcW w:w="1412" w:type="dxa"/>
          </w:tcPr>
          <w:p w14:paraId="34295C5B">
            <w:pPr>
              <w:pStyle w:val="37"/>
            </w:pPr>
            <w:r>
              <w:t>1.524</w:t>
            </w:r>
          </w:p>
        </w:tc>
        <w:tc>
          <w:tcPr>
            <w:tcW w:w="1412" w:type="dxa"/>
          </w:tcPr>
          <w:p w14:paraId="31C8D844">
            <w:pPr>
              <w:pStyle w:val="37"/>
            </w:pPr>
            <w:r>
              <w:t>1.384</w:t>
            </w:r>
          </w:p>
        </w:tc>
        <w:tc>
          <w:tcPr>
            <w:tcW w:w="1412" w:type="dxa"/>
          </w:tcPr>
          <w:p w14:paraId="011D6DF1">
            <w:pPr>
              <w:pStyle w:val="37"/>
            </w:pPr>
            <w:r>
              <w:t>1.610</w:t>
            </w:r>
          </w:p>
        </w:tc>
      </w:tr>
      <w:tr w14:paraId="3CCBC64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2671EB15">
            <w:pPr>
              <w:pStyle w:val="37"/>
            </w:pPr>
            <w:r>
              <w:t>Medium</w:t>
            </w:r>
          </w:p>
        </w:tc>
        <w:tc>
          <w:tcPr>
            <w:tcW w:w="1412" w:type="dxa"/>
          </w:tcPr>
          <w:p w14:paraId="7B544404">
            <w:r>
              <w:t>Land area</w:t>
            </w:r>
          </w:p>
        </w:tc>
        <w:tc>
          <w:tcPr>
            <w:tcW w:w="1412" w:type="dxa"/>
          </w:tcPr>
          <w:p w14:paraId="6AC240EA">
            <w:pPr>
              <w:pStyle w:val="37"/>
            </w:pPr>
            <w:r>
              <w:t>0.349</w:t>
            </w:r>
          </w:p>
        </w:tc>
        <w:tc>
          <w:tcPr>
            <w:tcW w:w="1412" w:type="dxa"/>
          </w:tcPr>
          <w:p w14:paraId="39414DC4">
            <w:pPr>
              <w:pStyle w:val="37"/>
            </w:pPr>
            <w:r>
              <w:t>0.335</w:t>
            </w:r>
          </w:p>
        </w:tc>
        <w:tc>
          <w:tcPr>
            <w:tcW w:w="1412" w:type="dxa"/>
          </w:tcPr>
          <w:p w14:paraId="19511C3E">
            <w:pPr>
              <w:pStyle w:val="37"/>
            </w:pPr>
            <w:r>
              <w:t>0.336</w:t>
            </w:r>
          </w:p>
        </w:tc>
        <w:tc>
          <w:tcPr>
            <w:tcW w:w="1412" w:type="dxa"/>
          </w:tcPr>
          <w:p w14:paraId="57B5274D">
            <w:pPr>
              <w:pStyle w:val="37"/>
            </w:pPr>
            <w:r>
              <w:t>0.318</w:t>
            </w:r>
          </w:p>
        </w:tc>
        <w:tc>
          <w:tcPr>
            <w:tcW w:w="1412" w:type="dxa"/>
          </w:tcPr>
          <w:p w14:paraId="5BB19854">
            <w:pPr>
              <w:pStyle w:val="37"/>
            </w:pPr>
            <w:r>
              <w:t>0.333</w:t>
            </w:r>
          </w:p>
        </w:tc>
        <w:tc>
          <w:tcPr>
            <w:tcW w:w="1412" w:type="dxa"/>
          </w:tcPr>
          <w:p w14:paraId="472DA2CF">
            <w:pPr>
              <w:pStyle w:val="37"/>
            </w:pPr>
            <w:r>
              <w:t>0.320</w:t>
            </w:r>
          </w:p>
        </w:tc>
      </w:tr>
      <w:tr w14:paraId="35196D13">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70834F69">
            <w:pPr>
              <w:pStyle w:val="37"/>
            </w:pPr>
            <w:r>
              <w:t>High</w:t>
            </w:r>
          </w:p>
        </w:tc>
        <w:tc>
          <w:tcPr>
            <w:tcW w:w="1412" w:type="dxa"/>
          </w:tcPr>
          <w:p w14:paraId="788A6E5F">
            <w:pPr>
              <w:pStyle w:val="37"/>
            </w:pPr>
            <w:r>
              <w:t>Buildings</w:t>
            </w:r>
          </w:p>
        </w:tc>
        <w:tc>
          <w:tcPr>
            <w:tcW w:w="1412" w:type="dxa"/>
          </w:tcPr>
          <w:p w14:paraId="71B91CD5">
            <w:pPr>
              <w:pStyle w:val="37"/>
            </w:pPr>
            <w:r>
              <w:t>1,812</w:t>
            </w:r>
          </w:p>
        </w:tc>
        <w:tc>
          <w:tcPr>
            <w:tcW w:w="1412" w:type="dxa"/>
          </w:tcPr>
          <w:p w14:paraId="65940DFD">
            <w:pPr>
              <w:pStyle w:val="37"/>
            </w:pPr>
            <w:r>
              <w:t>1,689</w:t>
            </w:r>
          </w:p>
        </w:tc>
        <w:tc>
          <w:tcPr>
            <w:tcW w:w="1412" w:type="dxa"/>
          </w:tcPr>
          <w:p w14:paraId="7BE9916D">
            <w:pPr>
              <w:pStyle w:val="37"/>
            </w:pPr>
            <w:r>
              <w:t>1,669</w:t>
            </w:r>
          </w:p>
        </w:tc>
        <w:tc>
          <w:tcPr>
            <w:tcW w:w="1412" w:type="dxa"/>
          </w:tcPr>
          <w:p w14:paraId="4A7CFFBA">
            <w:pPr>
              <w:pStyle w:val="37"/>
            </w:pPr>
            <w:r>
              <w:t>1,573</w:t>
            </w:r>
          </w:p>
        </w:tc>
        <w:tc>
          <w:tcPr>
            <w:tcW w:w="1412" w:type="dxa"/>
          </w:tcPr>
          <w:p w14:paraId="386B6999">
            <w:pPr>
              <w:pStyle w:val="37"/>
            </w:pPr>
            <w:r>
              <w:t>1,593</w:t>
            </w:r>
          </w:p>
        </w:tc>
        <w:tc>
          <w:tcPr>
            <w:tcW w:w="1412" w:type="dxa"/>
          </w:tcPr>
          <w:p w14:paraId="0BBEE30F">
            <w:pPr>
              <w:pStyle w:val="37"/>
            </w:pPr>
            <w:r>
              <w:t>1,510</w:t>
            </w:r>
          </w:p>
        </w:tc>
      </w:tr>
      <w:tr w14:paraId="586A515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Pr>
          <w:p w14:paraId="2B7A3557">
            <w:pPr>
              <w:pStyle w:val="37"/>
            </w:pPr>
            <w:r>
              <w:t>High</w:t>
            </w:r>
          </w:p>
        </w:tc>
        <w:tc>
          <w:tcPr>
            <w:tcW w:w="1412" w:type="dxa"/>
          </w:tcPr>
          <w:p w14:paraId="0A5D105E">
            <w:pPr>
              <w:pStyle w:val="37"/>
            </w:pPr>
            <w:r>
              <w:t>Dwelling units</w:t>
            </w:r>
          </w:p>
        </w:tc>
        <w:tc>
          <w:tcPr>
            <w:tcW w:w="1412" w:type="dxa"/>
          </w:tcPr>
          <w:p w14:paraId="2F499DBF">
            <w:pPr>
              <w:pStyle w:val="37"/>
            </w:pPr>
            <w:r>
              <w:t>4,171</w:t>
            </w:r>
          </w:p>
        </w:tc>
        <w:tc>
          <w:tcPr>
            <w:tcW w:w="1412" w:type="dxa"/>
          </w:tcPr>
          <w:p w14:paraId="363579AF">
            <w:pPr>
              <w:pStyle w:val="37"/>
            </w:pPr>
            <w:r>
              <w:t>4,340</w:t>
            </w:r>
          </w:p>
        </w:tc>
        <w:tc>
          <w:tcPr>
            <w:tcW w:w="1412" w:type="dxa"/>
          </w:tcPr>
          <w:p w14:paraId="3C8A0B7C">
            <w:pPr>
              <w:pStyle w:val="37"/>
            </w:pPr>
            <w:r>
              <w:t>5,811</w:t>
            </w:r>
          </w:p>
        </w:tc>
        <w:tc>
          <w:tcPr>
            <w:tcW w:w="1412" w:type="dxa"/>
          </w:tcPr>
          <w:p w14:paraId="16E776E1">
            <w:pPr>
              <w:pStyle w:val="37"/>
            </w:pPr>
            <w:r>
              <w:t>5,913</w:t>
            </w:r>
          </w:p>
        </w:tc>
        <w:tc>
          <w:tcPr>
            <w:tcW w:w="1412" w:type="dxa"/>
          </w:tcPr>
          <w:p w14:paraId="48C85F9E">
            <w:pPr>
              <w:pStyle w:val="37"/>
            </w:pPr>
            <w:r>
              <w:t>8,910</w:t>
            </w:r>
          </w:p>
        </w:tc>
        <w:tc>
          <w:tcPr>
            <w:tcW w:w="1412" w:type="dxa"/>
          </w:tcPr>
          <w:p w14:paraId="4A090DFC">
            <w:pPr>
              <w:pStyle w:val="37"/>
            </w:pPr>
            <w:r>
              <w:t>6,670</w:t>
            </w:r>
          </w:p>
        </w:tc>
      </w:tr>
      <w:tr w14:paraId="78F21A7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Borders>
              <w:bottom w:val="nil"/>
            </w:tcBorders>
          </w:tcPr>
          <w:p w14:paraId="01C04E4E">
            <w:pPr>
              <w:pStyle w:val="37"/>
            </w:pPr>
            <w:r>
              <w:t>High</w:t>
            </w:r>
          </w:p>
        </w:tc>
        <w:tc>
          <w:tcPr>
            <w:tcW w:w="1412" w:type="dxa"/>
            <w:tcBorders>
              <w:bottom w:val="nil"/>
            </w:tcBorders>
          </w:tcPr>
          <w:p w14:paraId="4988C0EE">
            <w:r>
              <w:t>Floor area</w:t>
            </w:r>
          </w:p>
        </w:tc>
        <w:tc>
          <w:tcPr>
            <w:tcW w:w="1412" w:type="dxa"/>
            <w:tcBorders>
              <w:bottom w:val="nil"/>
            </w:tcBorders>
          </w:tcPr>
          <w:p w14:paraId="1E5E45F4">
            <w:pPr>
              <w:pStyle w:val="37"/>
            </w:pPr>
            <w:r>
              <w:t>1.647</w:t>
            </w:r>
          </w:p>
        </w:tc>
        <w:tc>
          <w:tcPr>
            <w:tcW w:w="1412" w:type="dxa"/>
            <w:tcBorders>
              <w:bottom w:val="nil"/>
            </w:tcBorders>
          </w:tcPr>
          <w:p w14:paraId="21AE63CE">
            <w:pPr>
              <w:pStyle w:val="37"/>
            </w:pPr>
            <w:r>
              <w:t>0.815</w:t>
            </w:r>
          </w:p>
        </w:tc>
        <w:tc>
          <w:tcPr>
            <w:tcW w:w="1412" w:type="dxa"/>
            <w:tcBorders>
              <w:bottom w:val="nil"/>
            </w:tcBorders>
          </w:tcPr>
          <w:p w14:paraId="3A379839">
            <w:pPr>
              <w:pStyle w:val="37"/>
            </w:pPr>
            <w:r>
              <w:t>2.510</w:t>
            </w:r>
          </w:p>
        </w:tc>
        <w:tc>
          <w:tcPr>
            <w:tcW w:w="1412" w:type="dxa"/>
            <w:tcBorders>
              <w:bottom w:val="nil"/>
            </w:tcBorders>
          </w:tcPr>
          <w:p w14:paraId="01D79A01">
            <w:pPr>
              <w:pStyle w:val="37"/>
            </w:pPr>
            <w:r>
              <w:t>1.428</w:t>
            </w:r>
          </w:p>
        </w:tc>
        <w:tc>
          <w:tcPr>
            <w:tcW w:w="1412" w:type="dxa"/>
            <w:tcBorders>
              <w:bottom w:val="nil"/>
            </w:tcBorders>
          </w:tcPr>
          <w:p w14:paraId="473BBCEE">
            <w:pPr>
              <w:pStyle w:val="37"/>
            </w:pPr>
            <w:r>
              <w:t>1.690</w:t>
            </w:r>
          </w:p>
        </w:tc>
        <w:tc>
          <w:tcPr>
            <w:tcW w:w="1412" w:type="dxa"/>
            <w:tcBorders>
              <w:bottom w:val="nil"/>
            </w:tcBorders>
          </w:tcPr>
          <w:p w14:paraId="59CBC284">
            <w:pPr>
              <w:pStyle w:val="37"/>
            </w:pPr>
            <w:r>
              <w:t>1.377</w:t>
            </w:r>
          </w:p>
        </w:tc>
      </w:tr>
      <w:tr w14:paraId="77D6114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412" w:type="dxa"/>
            <w:tcBorders>
              <w:top w:val="nil"/>
              <w:bottom w:val="single" w:color="000000" w:sz="6" w:space="0"/>
            </w:tcBorders>
          </w:tcPr>
          <w:p w14:paraId="7AED4EBE">
            <w:pPr>
              <w:pStyle w:val="37"/>
            </w:pPr>
            <w:r>
              <w:t>High</w:t>
            </w:r>
          </w:p>
        </w:tc>
        <w:tc>
          <w:tcPr>
            <w:tcW w:w="1412" w:type="dxa"/>
            <w:tcBorders>
              <w:top w:val="nil"/>
              <w:bottom w:val="single" w:color="000000" w:sz="6" w:space="0"/>
            </w:tcBorders>
          </w:tcPr>
          <w:p w14:paraId="7CF2CC3A">
            <w:r>
              <w:t>Land area</w:t>
            </w:r>
          </w:p>
        </w:tc>
        <w:tc>
          <w:tcPr>
            <w:tcW w:w="1412" w:type="dxa"/>
            <w:tcBorders>
              <w:top w:val="nil"/>
              <w:bottom w:val="single" w:color="000000" w:sz="6" w:space="0"/>
            </w:tcBorders>
          </w:tcPr>
          <w:p w14:paraId="0991BAFE">
            <w:pPr>
              <w:pStyle w:val="37"/>
            </w:pPr>
            <w:r>
              <w:t>0.349</w:t>
            </w:r>
          </w:p>
        </w:tc>
        <w:tc>
          <w:tcPr>
            <w:tcW w:w="1412" w:type="dxa"/>
            <w:tcBorders>
              <w:top w:val="nil"/>
              <w:bottom w:val="single" w:color="000000" w:sz="6" w:space="0"/>
            </w:tcBorders>
          </w:tcPr>
          <w:p w14:paraId="36BF67BC">
            <w:pPr>
              <w:pStyle w:val="37"/>
            </w:pPr>
            <w:r>
              <w:t>0.335</w:t>
            </w:r>
          </w:p>
        </w:tc>
        <w:tc>
          <w:tcPr>
            <w:tcW w:w="1412" w:type="dxa"/>
            <w:tcBorders>
              <w:top w:val="nil"/>
              <w:bottom w:val="single" w:color="000000" w:sz="6" w:space="0"/>
            </w:tcBorders>
          </w:tcPr>
          <w:p w14:paraId="67FB5962">
            <w:pPr>
              <w:pStyle w:val="37"/>
            </w:pPr>
            <w:r>
              <w:t>0.340</w:t>
            </w:r>
          </w:p>
        </w:tc>
        <w:tc>
          <w:tcPr>
            <w:tcW w:w="1412" w:type="dxa"/>
            <w:tcBorders>
              <w:top w:val="nil"/>
              <w:bottom w:val="single" w:color="000000" w:sz="6" w:space="0"/>
            </w:tcBorders>
          </w:tcPr>
          <w:p w14:paraId="30A0E662">
            <w:pPr>
              <w:pStyle w:val="37"/>
            </w:pPr>
            <w:r>
              <w:t>0.317</w:t>
            </w:r>
          </w:p>
        </w:tc>
        <w:tc>
          <w:tcPr>
            <w:tcW w:w="1412" w:type="dxa"/>
            <w:tcBorders>
              <w:top w:val="nil"/>
              <w:bottom w:val="single" w:color="000000" w:sz="6" w:space="0"/>
            </w:tcBorders>
          </w:tcPr>
          <w:p w14:paraId="27B31904">
            <w:pPr>
              <w:pStyle w:val="37"/>
            </w:pPr>
            <w:r>
              <w:t>0.333</w:t>
            </w:r>
          </w:p>
        </w:tc>
        <w:tc>
          <w:tcPr>
            <w:tcW w:w="1412" w:type="dxa"/>
            <w:tcBorders>
              <w:top w:val="nil"/>
              <w:bottom w:val="single" w:color="000000" w:sz="6" w:space="0"/>
            </w:tcBorders>
          </w:tcPr>
          <w:p w14:paraId="1CD37902">
            <w:pPr>
              <w:pStyle w:val="37"/>
            </w:pPr>
            <w:r>
              <w:t>0.323</w:t>
            </w:r>
          </w:p>
        </w:tc>
      </w:tr>
    </w:tbl>
    <w:p w14:paraId="6A628D10">
      <w:pPr>
        <w:pStyle w:val="35"/>
        <w:keepLines/>
      </w:pPr>
      <w:r>
        <w:t>Note: Values are additions during each five-year interval rather than cumulative stocks. Floor area and land area are million m².</w:t>
      </w:r>
    </w:p>
    <w:p w14:paraId="61CA93C6">
      <w:pPr>
        <w:jc w:val="left"/>
        <w:rPr>
          <w:szCs w:val="19"/>
        </w:rPr>
      </w:pPr>
      <w:r>
        <w:br w:type="page"/>
      </w:r>
    </w:p>
    <w:p w14:paraId="33940186">
      <w:pPr>
        <w:pStyle w:val="33"/>
        <w:keepLines/>
      </w:pPr>
      <w:r>
        <w:t>Supplementary Table 9 | Projected cumulative urban renewal-pressure stock under three demographic scenarios, 2020–2050.</w:t>
      </w:r>
    </w:p>
    <w:tbl>
      <w:tblPr>
        <w:tblStyle w:val="6"/>
        <w:tblW w:w="0" w:type="auto"/>
        <w:tblInd w:w="0" w:type="dxa"/>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55"/>
        <w:gridCol w:w="1255"/>
        <w:gridCol w:w="1255"/>
        <w:gridCol w:w="1255"/>
        <w:gridCol w:w="1255"/>
        <w:gridCol w:w="1255"/>
        <w:gridCol w:w="1255"/>
        <w:gridCol w:w="1255"/>
        <w:gridCol w:w="1255"/>
      </w:tblGrid>
      <w:tr w14:paraId="4095B557">
        <w:trPr>
          <w:cantSplit/>
          <w:tblHeader/>
        </w:trPr>
        <w:tc>
          <w:tcPr>
            <w:tcW w:w="1255" w:type="dxa"/>
            <w:tcBorders>
              <w:top w:val="single" w:color="000000" w:sz="6" w:space="0"/>
              <w:bottom w:val="single" w:color="000000" w:sz="6" w:space="0"/>
            </w:tcBorders>
          </w:tcPr>
          <w:p w14:paraId="500B4F6A">
            <w:pPr>
              <w:pStyle w:val="36"/>
            </w:pPr>
            <w:r>
              <w:t>Scenario</w:t>
            </w:r>
          </w:p>
        </w:tc>
        <w:tc>
          <w:tcPr>
            <w:tcW w:w="1255" w:type="dxa"/>
            <w:tcBorders>
              <w:top w:val="single" w:color="000000" w:sz="6" w:space="0"/>
              <w:bottom w:val="single" w:color="000000" w:sz="6" w:space="0"/>
            </w:tcBorders>
          </w:tcPr>
          <w:p w14:paraId="5CF27843">
            <w:pPr>
              <w:pStyle w:val="36"/>
            </w:pPr>
            <w:r>
              <w:t>Indicator</w:t>
            </w:r>
          </w:p>
        </w:tc>
        <w:tc>
          <w:tcPr>
            <w:tcW w:w="1255" w:type="dxa"/>
            <w:tcBorders>
              <w:top w:val="single" w:color="000000" w:sz="6" w:space="0"/>
              <w:bottom w:val="single" w:color="000000" w:sz="6" w:space="0"/>
            </w:tcBorders>
          </w:tcPr>
          <w:p w14:paraId="5CFC8B9D">
            <w:pPr>
              <w:pStyle w:val="36"/>
            </w:pPr>
            <w:r>
              <w:t>2020</w:t>
            </w:r>
          </w:p>
        </w:tc>
        <w:tc>
          <w:tcPr>
            <w:tcW w:w="1255" w:type="dxa"/>
            <w:tcBorders>
              <w:top w:val="single" w:color="000000" w:sz="6" w:space="0"/>
              <w:bottom w:val="single" w:color="000000" w:sz="6" w:space="0"/>
            </w:tcBorders>
          </w:tcPr>
          <w:p w14:paraId="5F84E7BD">
            <w:pPr>
              <w:pStyle w:val="36"/>
            </w:pPr>
            <w:r>
              <w:t>2025</w:t>
            </w:r>
          </w:p>
        </w:tc>
        <w:tc>
          <w:tcPr>
            <w:tcW w:w="1255" w:type="dxa"/>
            <w:tcBorders>
              <w:top w:val="single" w:color="000000" w:sz="6" w:space="0"/>
              <w:bottom w:val="single" w:color="000000" w:sz="6" w:space="0"/>
            </w:tcBorders>
          </w:tcPr>
          <w:p w14:paraId="08BB3879">
            <w:pPr>
              <w:pStyle w:val="36"/>
            </w:pPr>
            <w:r>
              <w:t>2030</w:t>
            </w:r>
          </w:p>
        </w:tc>
        <w:tc>
          <w:tcPr>
            <w:tcW w:w="1255" w:type="dxa"/>
            <w:tcBorders>
              <w:top w:val="single" w:color="000000" w:sz="6" w:space="0"/>
              <w:bottom w:val="single" w:color="000000" w:sz="6" w:space="0"/>
            </w:tcBorders>
          </w:tcPr>
          <w:p w14:paraId="11722246">
            <w:pPr>
              <w:pStyle w:val="36"/>
            </w:pPr>
            <w:r>
              <w:t>2035</w:t>
            </w:r>
          </w:p>
        </w:tc>
        <w:tc>
          <w:tcPr>
            <w:tcW w:w="1255" w:type="dxa"/>
            <w:tcBorders>
              <w:top w:val="single" w:color="000000" w:sz="6" w:space="0"/>
              <w:bottom w:val="single" w:color="000000" w:sz="6" w:space="0"/>
            </w:tcBorders>
          </w:tcPr>
          <w:p w14:paraId="62998044">
            <w:pPr>
              <w:pStyle w:val="36"/>
            </w:pPr>
            <w:r>
              <w:t>2040</w:t>
            </w:r>
          </w:p>
        </w:tc>
        <w:tc>
          <w:tcPr>
            <w:tcW w:w="1255" w:type="dxa"/>
            <w:tcBorders>
              <w:top w:val="single" w:color="000000" w:sz="6" w:space="0"/>
              <w:bottom w:val="single" w:color="000000" w:sz="6" w:space="0"/>
            </w:tcBorders>
          </w:tcPr>
          <w:p w14:paraId="35DA8A51">
            <w:pPr>
              <w:pStyle w:val="36"/>
            </w:pPr>
            <w:r>
              <w:t>2045</w:t>
            </w:r>
          </w:p>
        </w:tc>
        <w:tc>
          <w:tcPr>
            <w:tcW w:w="1255" w:type="dxa"/>
            <w:tcBorders>
              <w:top w:val="single" w:color="000000" w:sz="6" w:space="0"/>
              <w:bottom w:val="single" w:color="000000" w:sz="6" w:space="0"/>
            </w:tcBorders>
          </w:tcPr>
          <w:p w14:paraId="1BF9288F">
            <w:pPr>
              <w:pStyle w:val="36"/>
            </w:pPr>
            <w:r>
              <w:t>2050</w:t>
            </w:r>
          </w:p>
        </w:tc>
      </w:tr>
      <w:tr w14:paraId="4674878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Borders>
              <w:top w:val="single" w:color="000000" w:sz="6" w:space="0"/>
            </w:tcBorders>
          </w:tcPr>
          <w:p w14:paraId="4A5A97B5">
            <w:pPr>
              <w:pStyle w:val="37"/>
            </w:pPr>
            <w:r>
              <w:t>Low</w:t>
            </w:r>
          </w:p>
        </w:tc>
        <w:tc>
          <w:tcPr>
            <w:tcW w:w="1255" w:type="dxa"/>
            <w:tcBorders>
              <w:top w:val="single" w:color="000000" w:sz="6" w:space="0"/>
            </w:tcBorders>
          </w:tcPr>
          <w:p w14:paraId="107AD113">
            <w:pPr>
              <w:pStyle w:val="37"/>
            </w:pPr>
            <w:r>
              <w:t>Buildings</w:t>
            </w:r>
          </w:p>
        </w:tc>
        <w:tc>
          <w:tcPr>
            <w:tcW w:w="1255" w:type="dxa"/>
            <w:tcBorders>
              <w:top w:val="single" w:color="000000" w:sz="6" w:space="0"/>
            </w:tcBorders>
          </w:tcPr>
          <w:p w14:paraId="52B382F8">
            <w:pPr>
              <w:pStyle w:val="37"/>
            </w:pPr>
            <w:r>
              <w:t>34,193</w:t>
            </w:r>
          </w:p>
        </w:tc>
        <w:tc>
          <w:tcPr>
            <w:tcW w:w="1255" w:type="dxa"/>
            <w:tcBorders>
              <w:top w:val="single" w:color="000000" w:sz="6" w:space="0"/>
            </w:tcBorders>
          </w:tcPr>
          <w:p w14:paraId="4BB43F5B">
            <w:pPr>
              <w:pStyle w:val="37"/>
            </w:pPr>
            <w:r>
              <w:t>34,209</w:t>
            </w:r>
          </w:p>
        </w:tc>
        <w:tc>
          <w:tcPr>
            <w:tcW w:w="1255" w:type="dxa"/>
            <w:tcBorders>
              <w:top w:val="single" w:color="000000" w:sz="6" w:space="0"/>
            </w:tcBorders>
          </w:tcPr>
          <w:p w14:paraId="5CEF690A">
            <w:pPr>
              <w:pStyle w:val="37"/>
            </w:pPr>
            <w:r>
              <w:t>34,232</w:t>
            </w:r>
          </w:p>
        </w:tc>
        <w:tc>
          <w:tcPr>
            <w:tcW w:w="1255" w:type="dxa"/>
            <w:tcBorders>
              <w:top w:val="single" w:color="000000" w:sz="6" w:space="0"/>
            </w:tcBorders>
          </w:tcPr>
          <w:p w14:paraId="679D7C72">
            <w:pPr>
              <w:pStyle w:val="37"/>
            </w:pPr>
            <w:r>
              <w:t>34,268</w:t>
            </w:r>
          </w:p>
        </w:tc>
        <w:tc>
          <w:tcPr>
            <w:tcW w:w="1255" w:type="dxa"/>
            <w:tcBorders>
              <w:top w:val="single" w:color="000000" w:sz="6" w:space="0"/>
            </w:tcBorders>
          </w:tcPr>
          <w:p w14:paraId="1FBC1D1F">
            <w:pPr>
              <w:pStyle w:val="37"/>
            </w:pPr>
            <w:r>
              <w:t>34,310</w:t>
            </w:r>
          </w:p>
        </w:tc>
        <w:tc>
          <w:tcPr>
            <w:tcW w:w="1255" w:type="dxa"/>
            <w:tcBorders>
              <w:top w:val="single" w:color="000000" w:sz="6" w:space="0"/>
            </w:tcBorders>
          </w:tcPr>
          <w:p w14:paraId="0EB603D5">
            <w:pPr>
              <w:pStyle w:val="37"/>
            </w:pPr>
            <w:r>
              <w:t>34,339</w:t>
            </w:r>
          </w:p>
        </w:tc>
        <w:tc>
          <w:tcPr>
            <w:tcW w:w="1255" w:type="dxa"/>
            <w:tcBorders>
              <w:top w:val="single" w:color="000000" w:sz="6" w:space="0"/>
            </w:tcBorders>
          </w:tcPr>
          <w:p w14:paraId="77BDC67C">
            <w:pPr>
              <w:pStyle w:val="37"/>
            </w:pPr>
            <w:r>
              <w:t>34,385</w:t>
            </w:r>
          </w:p>
        </w:tc>
      </w:tr>
      <w:tr w14:paraId="59910B5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7F7FD88C">
            <w:pPr>
              <w:pStyle w:val="37"/>
            </w:pPr>
            <w:r>
              <w:t>Low</w:t>
            </w:r>
          </w:p>
        </w:tc>
        <w:tc>
          <w:tcPr>
            <w:tcW w:w="1255" w:type="dxa"/>
          </w:tcPr>
          <w:p w14:paraId="66A36DE4">
            <w:pPr>
              <w:pStyle w:val="37"/>
            </w:pPr>
            <w:r>
              <w:t>Dwelling units</w:t>
            </w:r>
          </w:p>
        </w:tc>
        <w:tc>
          <w:tcPr>
            <w:tcW w:w="1255" w:type="dxa"/>
          </w:tcPr>
          <w:p w14:paraId="26BBA78F">
            <w:pPr>
              <w:pStyle w:val="37"/>
            </w:pPr>
            <w:r>
              <w:t>56,009</w:t>
            </w:r>
          </w:p>
        </w:tc>
        <w:tc>
          <w:tcPr>
            <w:tcW w:w="1255" w:type="dxa"/>
          </w:tcPr>
          <w:p w14:paraId="0817E9BA">
            <w:pPr>
              <w:pStyle w:val="37"/>
            </w:pPr>
            <w:r>
              <w:t>58,281</w:t>
            </w:r>
          </w:p>
        </w:tc>
        <w:tc>
          <w:tcPr>
            <w:tcW w:w="1255" w:type="dxa"/>
          </w:tcPr>
          <w:p w14:paraId="186E30B5">
            <w:pPr>
              <w:pStyle w:val="37"/>
            </w:pPr>
            <w:r>
              <w:t>60,803</w:t>
            </w:r>
          </w:p>
        </w:tc>
        <w:tc>
          <w:tcPr>
            <w:tcW w:w="1255" w:type="dxa"/>
          </w:tcPr>
          <w:p w14:paraId="564F42B4">
            <w:pPr>
              <w:pStyle w:val="37"/>
            </w:pPr>
            <w:r>
              <w:t>64,413</w:t>
            </w:r>
          </w:p>
        </w:tc>
        <w:tc>
          <w:tcPr>
            <w:tcW w:w="1255" w:type="dxa"/>
          </w:tcPr>
          <w:p w14:paraId="39BEE103">
            <w:pPr>
              <w:pStyle w:val="37"/>
            </w:pPr>
            <w:r>
              <w:t>69,033</w:t>
            </w:r>
          </w:p>
        </w:tc>
        <w:tc>
          <w:tcPr>
            <w:tcW w:w="1255" w:type="dxa"/>
          </w:tcPr>
          <w:p w14:paraId="6ACAFFF6">
            <w:pPr>
              <w:pStyle w:val="37"/>
            </w:pPr>
            <w:r>
              <w:t>74,792</w:t>
            </w:r>
          </w:p>
        </w:tc>
        <w:tc>
          <w:tcPr>
            <w:tcW w:w="1255" w:type="dxa"/>
          </w:tcPr>
          <w:p w14:paraId="08CA7256">
            <w:pPr>
              <w:pStyle w:val="37"/>
            </w:pPr>
            <w:r>
              <w:t>81,042</w:t>
            </w:r>
          </w:p>
        </w:tc>
      </w:tr>
      <w:tr w14:paraId="49C9B0D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2C6D9227">
            <w:pPr>
              <w:pStyle w:val="37"/>
            </w:pPr>
            <w:r>
              <w:t>Low</w:t>
            </w:r>
          </w:p>
        </w:tc>
        <w:tc>
          <w:tcPr>
            <w:tcW w:w="1255" w:type="dxa"/>
          </w:tcPr>
          <w:p w14:paraId="028CB1D2">
            <w:r>
              <w:t>Floor area</w:t>
            </w:r>
          </w:p>
        </w:tc>
        <w:tc>
          <w:tcPr>
            <w:tcW w:w="1255" w:type="dxa"/>
          </w:tcPr>
          <w:p w14:paraId="6A8E7BFC">
            <w:pPr>
              <w:pStyle w:val="37"/>
            </w:pPr>
            <w:r>
              <w:t>12.5</w:t>
            </w:r>
          </w:p>
        </w:tc>
        <w:tc>
          <w:tcPr>
            <w:tcW w:w="1255" w:type="dxa"/>
          </w:tcPr>
          <w:p w14:paraId="77376350">
            <w:pPr>
              <w:pStyle w:val="37"/>
            </w:pPr>
            <w:r>
              <w:t>13.7</w:t>
            </w:r>
          </w:p>
        </w:tc>
        <w:tc>
          <w:tcPr>
            <w:tcW w:w="1255" w:type="dxa"/>
          </w:tcPr>
          <w:p w14:paraId="22E9F311">
            <w:pPr>
              <w:pStyle w:val="37"/>
            </w:pPr>
            <w:r>
              <w:t>14.0</w:t>
            </w:r>
          </w:p>
        </w:tc>
        <w:tc>
          <w:tcPr>
            <w:tcW w:w="1255" w:type="dxa"/>
          </w:tcPr>
          <w:p w14:paraId="041EA886">
            <w:pPr>
              <w:pStyle w:val="37"/>
            </w:pPr>
            <w:r>
              <w:t>15.5</w:t>
            </w:r>
          </w:p>
        </w:tc>
        <w:tc>
          <w:tcPr>
            <w:tcW w:w="1255" w:type="dxa"/>
          </w:tcPr>
          <w:p w14:paraId="2733CBE3">
            <w:pPr>
              <w:pStyle w:val="37"/>
            </w:pPr>
            <w:r>
              <w:t>17.1</w:t>
            </w:r>
          </w:p>
        </w:tc>
        <w:tc>
          <w:tcPr>
            <w:tcW w:w="1255" w:type="dxa"/>
          </w:tcPr>
          <w:p w14:paraId="09218794">
            <w:pPr>
              <w:pStyle w:val="37"/>
            </w:pPr>
            <w:r>
              <w:t>17.9</w:t>
            </w:r>
          </w:p>
        </w:tc>
        <w:tc>
          <w:tcPr>
            <w:tcW w:w="1255" w:type="dxa"/>
          </w:tcPr>
          <w:p w14:paraId="665AF083">
            <w:pPr>
              <w:pStyle w:val="37"/>
            </w:pPr>
            <w:r>
              <w:t>19.2</w:t>
            </w:r>
          </w:p>
        </w:tc>
      </w:tr>
      <w:tr w14:paraId="7FD50D6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59916352">
            <w:pPr>
              <w:pStyle w:val="37"/>
            </w:pPr>
            <w:r>
              <w:t>Low</w:t>
            </w:r>
          </w:p>
        </w:tc>
        <w:tc>
          <w:tcPr>
            <w:tcW w:w="1255" w:type="dxa"/>
          </w:tcPr>
          <w:p w14:paraId="399C245F">
            <w:r>
              <w:t>Land area</w:t>
            </w:r>
          </w:p>
        </w:tc>
        <w:tc>
          <w:tcPr>
            <w:tcW w:w="1255" w:type="dxa"/>
          </w:tcPr>
          <w:p w14:paraId="362C1359">
            <w:pPr>
              <w:pStyle w:val="37"/>
            </w:pPr>
            <w:r>
              <w:t>4.8</w:t>
            </w:r>
          </w:p>
        </w:tc>
        <w:tc>
          <w:tcPr>
            <w:tcW w:w="1255" w:type="dxa"/>
          </w:tcPr>
          <w:p w14:paraId="53EF1812">
            <w:pPr>
              <w:pStyle w:val="37"/>
            </w:pPr>
            <w:r>
              <w:t>4.8</w:t>
            </w:r>
          </w:p>
        </w:tc>
        <w:tc>
          <w:tcPr>
            <w:tcW w:w="1255" w:type="dxa"/>
          </w:tcPr>
          <w:p w14:paraId="167B431B">
            <w:pPr>
              <w:pStyle w:val="37"/>
            </w:pPr>
            <w:r>
              <w:t>4.8</w:t>
            </w:r>
          </w:p>
        </w:tc>
        <w:tc>
          <w:tcPr>
            <w:tcW w:w="1255" w:type="dxa"/>
          </w:tcPr>
          <w:p w14:paraId="11CA311D">
            <w:pPr>
              <w:pStyle w:val="37"/>
            </w:pPr>
            <w:r>
              <w:t>4.9</w:t>
            </w:r>
          </w:p>
        </w:tc>
        <w:tc>
          <w:tcPr>
            <w:tcW w:w="1255" w:type="dxa"/>
          </w:tcPr>
          <w:p w14:paraId="14CAD1E5">
            <w:pPr>
              <w:pStyle w:val="37"/>
            </w:pPr>
            <w:r>
              <w:t>4.9</w:t>
            </w:r>
          </w:p>
        </w:tc>
        <w:tc>
          <w:tcPr>
            <w:tcW w:w="1255" w:type="dxa"/>
          </w:tcPr>
          <w:p w14:paraId="43E3060C">
            <w:pPr>
              <w:pStyle w:val="37"/>
            </w:pPr>
            <w:r>
              <w:t>4.9</w:t>
            </w:r>
          </w:p>
        </w:tc>
        <w:tc>
          <w:tcPr>
            <w:tcW w:w="1255" w:type="dxa"/>
          </w:tcPr>
          <w:p w14:paraId="776BDB9D">
            <w:pPr>
              <w:pStyle w:val="37"/>
            </w:pPr>
            <w:r>
              <w:t>4.9</w:t>
            </w:r>
          </w:p>
        </w:tc>
      </w:tr>
      <w:tr w14:paraId="0C374C9C">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2B6FC32B">
            <w:pPr>
              <w:pStyle w:val="37"/>
            </w:pPr>
            <w:r>
              <w:t>Medium</w:t>
            </w:r>
          </w:p>
        </w:tc>
        <w:tc>
          <w:tcPr>
            <w:tcW w:w="1255" w:type="dxa"/>
          </w:tcPr>
          <w:p w14:paraId="799F1C9D">
            <w:pPr>
              <w:pStyle w:val="37"/>
            </w:pPr>
            <w:r>
              <w:t>Buildings</w:t>
            </w:r>
          </w:p>
        </w:tc>
        <w:tc>
          <w:tcPr>
            <w:tcW w:w="1255" w:type="dxa"/>
          </w:tcPr>
          <w:p w14:paraId="6819A4A0">
            <w:pPr>
              <w:pStyle w:val="37"/>
            </w:pPr>
            <w:r>
              <w:t>34,193</w:t>
            </w:r>
          </w:p>
        </w:tc>
        <w:tc>
          <w:tcPr>
            <w:tcW w:w="1255" w:type="dxa"/>
          </w:tcPr>
          <w:p w14:paraId="3ACD760D">
            <w:pPr>
              <w:pStyle w:val="37"/>
            </w:pPr>
            <w:r>
              <w:t>34,210</w:t>
            </w:r>
          </w:p>
        </w:tc>
        <w:tc>
          <w:tcPr>
            <w:tcW w:w="1255" w:type="dxa"/>
          </w:tcPr>
          <w:p w14:paraId="7736A816">
            <w:pPr>
              <w:pStyle w:val="37"/>
            </w:pPr>
            <w:r>
              <w:t>34,233</w:t>
            </w:r>
          </w:p>
        </w:tc>
        <w:tc>
          <w:tcPr>
            <w:tcW w:w="1255" w:type="dxa"/>
          </w:tcPr>
          <w:p w14:paraId="06DB4C42">
            <w:pPr>
              <w:pStyle w:val="37"/>
            </w:pPr>
            <w:r>
              <w:t>34,271</w:t>
            </w:r>
          </w:p>
        </w:tc>
        <w:tc>
          <w:tcPr>
            <w:tcW w:w="1255" w:type="dxa"/>
          </w:tcPr>
          <w:p w14:paraId="2609219F">
            <w:pPr>
              <w:pStyle w:val="37"/>
            </w:pPr>
            <w:r>
              <w:t>34,310</w:t>
            </w:r>
          </w:p>
        </w:tc>
        <w:tc>
          <w:tcPr>
            <w:tcW w:w="1255" w:type="dxa"/>
          </w:tcPr>
          <w:p w14:paraId="475B9998">
            <w:pPr>
              <w:pStyle w:val="37"/>
            </w:pPr>
            <w:r>
              <w:t>34,348</w:t>
            </w:r>
          </w:p>
        </w:tc>
        <w:tc>
          <w:tcPr>
            <w:tcW w:w="1255" w:type="dxa"/>
          </w:tcPr>
          <w:p w14:paraId="202024FA">
            <w:pPr>
              <w:pStyle w:val="37"/>
            </w:pPr>
            <w:r>
              <w:t>34,389</w:t>
            </w:r>
          </w:p>
        </w:tc>
      </w:tr>
      <w:tr w14:paraId="5AF2245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4082C295">
            <w:pPr>
              <w:pStyle w:val="37"/>
            </w:pPr>
            <w:r>
              <w:t>Medium</w:t>
            </w:r>
          </w:p>
        </w:tc>
        <w:tc>
          <w:tcPr>
            <w:tcW w:w="1255" w:type="dxa"/>
          </w:tcPr>
          <w:p w14:paraId="736F93A9">
            <w:pPr>
              <w:pStyle w:val="37"/>
            </w:pPr>
            <w:r>
              <w:t>Dwelling units</w:t>
            </w:r>
          </w:p>
        </w:tc>
        <w:tc>
          <w:tcPr>
            <w:tcW w:w="1255" w:type="dxa"/>
          </w:tcPr>
          <w:p w14:paraId="1A80A9D1">
            <w:pPr>
              <w:pStyle w:val="37"/>
            </w:pPr>
            <w:r>
              <w:t>56,009</w:t>
            </w:r>
          </w:p>
        </w:tc>
        <w:tc>
          <w:tcPr>
            <w:tcW w:w="1255" w:type="dxa"/>
          </w:tcPr>
          <w:p w14:paraId="54FF6E4C">
            <w:pPr>
              <w:pStyle w:val="37"/>
            </w:pPr>
            <w:r>
              <w:t>58,381</w:t>
            </w:r>
          </w:p>
        </w:tc>
        <w:tc>
          <w:tcPr>
            <w:tcW w:w="1255" w:type="dxa"/>
          </w:tcPr>
          <w:p w14:paraId="66373C5D">
            <w:pPr>
              <w:pStyle w:val="37"/>
            </w:pPr>
            <w:r>
              <w:t>61,040</w:t>
            </w:r>
          </w:p>
        </w:tc>
        <w:tc>
          <w:tcPr>
            <w:tcW w:w="1255" w:type="dxa"/>
          </w:tcPr>
          <w:p w14:paraId="7013A50F">
            <w:pPr>
              <w:pStyle w:val="37"/>
            </w:pPr>
            <w:r>
              <w:t>64,856</w:t>
            </w:r>
          </w:p>
        </w:tc>
        <w:tc>
          <w:tcPr>
            <w:tcW w:w="1255" w:type="dxa"/>
          </w:tcPr>
          <w:p w14:paraId="3CB01228">
            <w:pPr>
              <w:pStyle w:val="37"/>
            </w:pPr>
            <w:r>
              <w:t>69,033</w:t>
            </w:r>
          </w:p>
        </w:tc>
        <w:tc>
          <w:tcPr>
            <w:tcW w:w="1255" w:type="dxa"/>
          </w:tcPr>
          <w:p w14:paraId="49B55CFA">
            <w:pPr>
              <w:pStyle w:val="37"/>
            </w:pPr>
            <w:r>
              <w:t>76,334</w:t>
            </w:r>
          </w:p>
        </w:tc>
        <w:tc>
          <w:tcPr>
            <w:tcW w:w="1255" w:type="dxa"/>
          </w:tcPr>
          <w:p w14:paraId="4DBCB17F">
            <w:pPr>
              <w:pStyle w:val="37"/>
            </w:pPr>
            <w:r>
              <w:t>81,446</w:t>
            </w:r>
          </w:p>
        </w:tc>
      </w:tr>
      <w:tr w14:paraId="378B98C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1668D0DC">
            <w:pPr>
              <w:pStyle w:val="37"/>
            </w:pPr>
            <w:r>
              <w:t>Medium</w:t>
            </w:r>
          </w:p>
        </w:tc>
        <w:tc>
          <w:tcPr>
            <w:tcW w:w="1255" w:type="dxa"/>
          </w:tcPr>
          <w:p w14:paraId="4E2144B0">
            <w:r>
              <w:t>Floor area</w:t>
            </w:r>
          </w:p>
        </w:tc>
        <w:tc>
          <w:tcPr>
            <w:tcW w:w="1255" w:type="dxa"/>
          </w:tcPr>
          <w:p w14:paraId="6D54F9B0">
            <w:pPr>
              <w:pStyle w:val="37"/>
            </w:pPr>
            <w:r>
              <w:t>12.5</w:t>
            </w:r>
          </w:p>
        </w:tc>
        <w:tc>
          <w:tcPr>
            <w:tcW w:w="1255" w:type="dxa"/>
          </w:tcPr>
          <w:p w14:paraId="6FFBC866">
            <w:pPr>
              <w:pStyle w:val="37"/>
            </w:pPr>
            <w:r>
              <w:t>13.7</w:t>
            </w:r>
          </w:p>
        </w:tc>
        <w:tc>
          <w:tcPr>
            <w:tcW w:w="1255" w:type="dxa"/>
          </w:tcPr>
          <w:p w14:paraId="2943EDD0">
            <w:pPr>
              <w:pStyle w:val="37"/>
            </w:pPr>
            <w:r>
              <w:t>14.1</w:t>
            </w:r>
          </w:p>
        </w:tc>
        <w:tc>
          <w:tcPr>
            <w:tcW w:w="1255" w:type="dxa"/>
          </w:tcPr>
          <w:p w14:paraId="2E0708AC">
            <w:pPr>
              <w:pStyle w:val="37"/>
            </w:pPr>
            <w:r>
              <w:t>16.0</w:t>
            </w:r>
          </w:p>
        </w:tc>
        <w:tc>
          <w:tcPr>
            <w:tcW w:w="1255" w:type="dxa"/>
          </w:tcPr>
          <w:p w14:paraId="5EE48C98">
            <w:pPr>
              <w:pStyle w:val="37"/>
            </w:pPr>
            <w:r>
              <w:t>17.1</w:t>
            </w:r>
          </w:p>
        </w:tc>
        <w:tc>
          <w:tcPr>
            <w:tcW w:w="1255" w:type="dxa"/>
          </w:tcPr>
          <w:p w14:paraId="00F28275">
            <w:pPr>
              <w:pStyle w:val="37"/>
            </w:pPr>
            <w:r>
              <w:t>18.1</w:t>
            </w:r>
          </w:p>
        </w:tc>
        <w:tc>
          <w:tcPr>
            <w:tcW w:w="1255" w:type="dxa"/>
          </w:tcPr>
          <w:p w14:paraId="728370CF">
            <w:pPr>
              <w:pStyle w:val="37"/>
            </w:pPr>
            <w:r>
              <w:t>19.3</w:t>
            </w:r>
          </w:p>
        </w:tc>
      </w:tr>
      <w:tr w14:paraId="5F264C0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0170FF1C">
            <w:pPr>
              <w:pStyle w:val="37"/>
            </w:pPr>
            <w:r>
              <w:t>Medium</w:t>
            </w:r>
          </w:p>
        </w:tc>
        <w:tc>
          <w:tcPr>
            <w:tcW w:w="1255" w:type="dxa"/>
          </w:tcPr>
          <w:p w14:paraId="66F78F77">
            <w:r>
              <w:t>Land area</w:t>
            </w:r>
          </w:p>
        </w:tc>
        <w:tc>
          <w:tcPr>
            <w:tcW w:w="1255" w:type="dxa"/>
          </w:tcPr>
          <w:p w14:paraId="4247AE36">
            <w:pPr>
              <w:pStyle w:val="37"/>
            </w:pPr>
            <w:r>
              <w:t>4.8</w:t>
            </w:r>
          </w:p>
        </w:tc>
        <w:tc>
          <w:tcPr>
            <w:tcW w:w="1255" w:type="dxa"/>
          </w:tcPr>
          <w:p w14:paraId="52F314B9">
            <w:pPr>
              <w:pStyle w:val="37"/>
            </w:pPr>
            <w:r>
              <w:t>4.8</w:t>
            </w:r>
          </w:p>
        </w:tc>
        <w:tc>
          <w:tcPr>
            <w:tcW w:w="1255" w:type="dxa"/>
          </w:tcPr>
          <w:p w14:paraId="526EE582">
            <w:pPr>
              <w:pStyle w:val="37"/>
            </w:pPr>
            <w:r>
              <w:t>4.8</w:t>
            </w:r>
          </w:p>
        </w:tc>
        <w:tc>
          <w:tcPr>
            <w:tcW w:w="1255" w:type="dxa"/>
          </w:tcPr>
          <w:p w14:paraId="03678013">
            <w:pPr>
              <w:pStyle w:val="37"/>
            </w:pPr>
            <w:r>
              <w:t>4.9</w:t>
            </w:r>
          </w:p>
        </w:tc>
        <w:tc>
          <w:tcPr>
            <w:tcW w:w="1255" w:type="dxa"/>
          </w:tcPr>
          <w:p w14:paraId="34A91632">
            <w:pPr>
              <w:pStyle w:val="37"/>
            </w:pPr>
            <w:r>
              <w:t>4.9</w:t>
            </w:r>
          </w:p>
        </w:tc>
        <w:tc>
          <w:tcPr>
            <w:tcW w:w="1255" w:type="dxa"/>
          </w:tcPr>
          <w:p w14:paraId="55C545F8">
            <w:pPr>
              <w:pStyle w:val="37"/>
            </w:pPr>
            <w:r>
              <w:t>4.9</w:t>
            </w:r>
          </w:p>
        </w:tc>
        <w:tc>
          <w:tcPr>
            <w:tcW w:w="1255" w:type="dxa"/>
          </w:tcPr>
          <w:p w14:paraId="0C1A11B7">
            <w:pPr>
              <w:pStyle w:val="37"/>
            </w:pPr>
            <w:r>
              <w:t>4.9</w:t>
            </w:r>
          </w:p>
        </w:tc>
      </w:tr>
      <w:tr w14:paraId="49B6ECFD">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5B40A63A">
            <w:pPr>
              <w:pStyle w:val="37"/>
            </w:pPr>
            <w:r>
              <w:t>High</w:t>
            </w:r>
          </w:p>
        </w:tc>
        <w:tc>
          <w:tcPr>
            <w:tcW w:w="1255" w:type="dxa"/>
          </w:tcPr>
          <w:p w14:paraId="5A35E38C">
            <w:pPr>
              <w:pStyle w:val="37"/>
            </w:pPr>
            <w:r>
              <w:t>Buildings</w:t>
            </w:r>
          </w:p>
        </w:tc>
        <w:tc>
          <w:tcPr>
            <w:tcW w:w="1255" w:type="dxa"/>
          </w:tcPr>
          <w:p w14:paraId="606761F3">
            <w:pPr>
              <w:pStyle w:val="37"/>
            </w:pPr>
            <w:r>
              <w:t>34,193</w:t>
            </w:r>
          </w:p>
        </w:tc>
        <w:tc>
          <w:tcPr>
            <w:tcW w:w="1255" w:type="dxa"/>
          </w:tcPr>
          <w:p w14:paraId="79259D49">
            <w:pPr>
              <w:pStyle w:val="37"/>
            </w:pPr>
            <w:r>
              <w:t>34,210</w:t>
            </w:r>
          </w:p>
        </w:tc>
        <w:tc>
          <w:tcPr>
            <w:tcW w:w="1255" w:type="dxa"/>
          </w:tcPr>
          <w:p w14:paraId="330FFCF2">
            <w:pPr>
              <w:pStyle w:val="37"/>
            </w:pPr>
            <w:r>
              <w:t>34,233</w:t>
            </w:r>
          </w:p>
        </w:tc>
        <w:tc>
          <w:tcPr>
            <w:tcW w:w="1255" w:type="dxa"/>
          </w:tcPr>
          <w:p w14:paraId="07679A79">
            <w:pPr>
              <w:pStyle w:val="37"/>
            </w:pPr>
            <w:r>
              <w:t>34,273</w:t>
            </w:r>
          </w:p>
        </w:tc>
        <w:tc>
          <w:tcPr>
            <w:tcW w:w="1255" w:type="dxa"/>
          </w:tcPr>
          <w:p w14:paraId="2C9DBD2B">
            <w:pPr>
              <w:pStyle w:val="37"/>
            </w:pPr>
            <w:r>
              <w:t>34,313</w:t>
            </w:r>
          </w:p>
        </w:tc>
        <w:tc>
          <w:tcPr>
            <w:tcW w:w="1255" w:type="dxa"/>
          </w:tcPr>
          <w:p w14:paraId="3A6EF0B7">
            <w:pPr>
              <w:pStyle w:val="37"/>
            </w:pPr>
            <w:r>
              <w:t>34,351</w:t>
            </w:r>
          </w:p>
        </w:tc>
        <w:tc>
          <w:tcPr>
            <w:tcW w:w="1255" w:type="dxa"/>
          </w:tcPr>
          <w:p w14:paraId="4D156B01">
            <w:pPr>
              <w:pStyle w:val="37"/>
            </w:pPr>
            <w:r>
              <w:t>34,394</w:t>
            </w:r>
          </w:p>
        </w:tc>
      </w:tr>
      <w:tr w14:paraId="56B16F3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09AE87C5">
            <w:pPr>
              <w:pStyle w:val="37"/>
            </w:pPr>
            <w:r>
              <w:t>High</w:t>
            </w:r>
          </w:p>
        </w:tc>
        <w:tc>
          <w:tcPr>
            <w:tcW w:w="1255" w:type="dxa"/>
          </w:tcPr>
          <w:p w14:paraId="079B4C96">
            <w:pPr>
              <w:pStyle w:val="37"/>
            </w:pPr>
            <w:r>
              <w:t>Dwelling units</w:t>
            </w:r>
          </w:p>
        </w:tc>
        <w:tc>
          <w:tcPr>
            <w:tcW w:w="1255" w:type="dxa"/>
          </w:tcPr>
          <w:p w14:paraId="6BD5DCEC">
            <w:pPr>
              <w:pStyle w:val="37"/>
            </w:pPr>
            <w:r>
              <w:t>56,009</w:t>
            </w:r>
          </w:p>
        </w:tc>
        <w:tc>
          <w:tcPr>
            <w:tcW w:w="1255" w:type="dxa"/>
          </w:tcPr>
          <w:p w14:paraId="0689400D">
            <w:pPr>
              <w:pStyle w:val="37"/>
            </w:pPr>
            <w:r>
              <w:t>58,381</w:t>
            </w:r>
          </w:p>
        </w:tc>
        <w:tc>
          <w:tcPr>
            <w:tcW w:w="1255" w:type="dxa"/>
          </w:tcPr>
          <w:p w14:paraId="5A6ADF01">
            <w:pPr>
              <w:pStyle w:val="37"/>
            </w:pPr>
            <w:r>
              <w:t>61,040</w:t>
            </w:r>
          </w:p>
        </w:tc>
        <w:tc>
          <w:tcPr>
            <w:tcW w:w="1255" w:type="dxa"/>
          </w:tcPr>
          <w:p w14:paraId="50FA109D">
            <w:pPr>
              <w:pStyle w:val="37"/>
            </w:pPr>
            <w:r>
              <w:t>65,208</w:t>
            </w:r>
          </w:p>
        </w:tc>
        <w:tc>
          <w:tcPr>
            <w:tcW w:w="1255" w:type="dxa"/>
          </w:tcPr>
          <w:p w14:paraId="245C3C6A">
            <w:pPr>
              <w:pStyle w:val="37"/>
            </w:pPr>
            <w:r>
              <w:t>69,577</w:t>
            </w:r>
          </w:p>
        </w:tc>
        <w:tc>
          <w:tcPr>
            <w:tcW w:w="1255" w:type="dxa"/>
          </w:tcPr>
          <w:p w14:paraId="01867F23">
            <w:pPr>
              <w:pStyle w:val="37"/>
            </w:pPr>
            <w:r>
              <w:t>76,774</w:t>
            </w:r>
          </w:p>
        </w:tc>
        <w:tc>
          <w:tcPr>
            <w:tcW w:w="1255" w:type="dxa"/>
          </w:tcPr>
          <w:p w14:paraId="1FC7FFEA">
            <w:pPr>
              <w:pStyle w:val="37"/>
            </w:pPr>
            <w:r>
              <w:t>81,977</w:t>
            </w:r>
          </w:p>
        </w:tc>
      </w:tr>
      <w:tr w14:paraId="78698E0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Borders>
              <w:bottom w:val="nil"/>
            </w:tcBorders>
          </w:tcPr>
          <w:p w14:paraId="7003EFE6">
            <w:pPr>
              <w:pStyle w:val="37"/>
            </w:pPr>
            <w:r>
              <w:t>High</w:t>
            </w:r>
          </w:p>
        </w:tc>
        <w:tc>
          <w:tcPr>
            <w:tcW w:w="1255" w:type="dxa"/>
            <w:tcBorders>
              <w:bottom w:val="nil"/>
            </w:tcBorders>
          </w:tcPr>
          <w:p w14:paraId="62173028">
            <w:r>
              <w:t>Floor area</w:t>
            </w:r>
          </w:p>
        </w:tc>
        <w:tc>
          <w:tcPr>
            <w:tcW w:w="1255" w:type="dxa"/>
            <w:tcBorders>
              <w:bottom w:val="nil"/>
            </w:tcBorders>
          </w:tcPr>
          <w:p w14:paraId="2E9F540F">
            <w:pPr>
              <w:pStyle w:val="37"/>
            </w:pPr>
            <w:r>
              <w:t>12.5</w:t>
            </w:r>
          </w:p>
        </w:tc>
        <w:tc>
          <w:tcPr>
            <w:tcW w:w="1255" w:type="dxa"/>
            <w:tcBorders>
              <w:bottom w:val="nil"/>
            </w:tcBorders>
          </w:tcPr>
          <w:p w14:paraId="3168A203">
            <w:pPr>
              <w:pStyle w:val="37"/>
            </w:pPr>
            <w:r>
              <w:t>13.7</w:t>
            </w:r>
          </w:p>
        </w:tc>
        <w:tc>
          <w:tcPr>
            <w:tcW w:w="1255" w:type="dxa"/>
            <w:tcBorders>
              <w:bottom w:val="nil"/>
            </w:tcBorders>
          </w:tcPr>
          <w:p w14:paraId="161C0969">
            <w:pPr>
              <w:pStyle w:val="37"/>
            </w:pPr>
            <w:r>
              <w:t>14.1</w:t>
            </w:r>
          </w:p>
        </w:tc>
        <w:tc>
          <w:tcPr>
            <w:tcW w:w="1255" w:type="dxa"/>
            <w:tcBorders>
              <w:bottom w:val="nil"/>
            </w:tcBorders>
          </w:tcPr>
          <w:p w14:paraId="4CA1BD16">
            <w:pPr>
              <w:pStyle w:val="37"/>
            </w:pPr>
            <w:r>
              <w:t>16.1</w:t>
            </w:r>
          </w:p>
        </w:tc>
        <w:tc>
          <w:tcPr>
            <w:tcW w:w="1255" w:type="dxa"/>
            <w:tcBorders>
              <w:bottom w:val="nil"/>
            </w:tcBorders>
          </w:tcPr>
          <w:p w14:paraId="73DFDAD1">
            <w:pPr>
              <w:pStyle w:val="37"/>
            </w:pPr>
            <w:r>
              <w:t>17.2</w:t>
            </w:r>
          </w:p>
        </w:tc>
        <w:tc>
          <w:tcPr>
            <w:tcW w:w="1255" w:type="dxa"/>
            <w:tcBorders>
              <w:bottom w:val="nil"/>
            </w:tcBorders>
          </w:tcPr>
          <w:p w14:paraId="6DDA7E5B">
            <w:pPr>
              <w:pStyle w:val="37"/>
            </w:pPr>
            <w:r>
              <w:t>18.4</w:t>
            </w:r>
          </w:p>
        </w:tc>
        <w:tc>
          <w:tcPr>
            <w:tcW w:w="1255" w:type="dxa"/>
            <w:tcBorders>
              <w:bottom w:val="nil"/>
            </w:tcBorders>
          </w:tcPr>
          <w:p w14:paraId="722E61C4">
            <w:pPr>
              <w:pStyle w:val="37"/>
            </w:pPr>
            <w:r>
              <w:t>19.4</w:t>
            </w:r>
          </w:p>
        </w:tc>
      </w:tr>
      <w:tr w14:paraId="53475D7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Borders>
              <w:top w:val="nil"/>
              <w:bottom w:val="single" w:color="000000" w:sz="6" w:space="0"/>
            </w:tcBorders>
          </w:tcPr>
          <w:p w14:paraId="047A2C5D">
            <w:pPr>
              <w:pStyle w:val="37"/>
            </w:pPr>
            <w:r>
              <w:t>High</w:t>
            </w:r>
          </w:p>
        </w:tc>
        <w:tc>
          <w:tcPr>
            <w:tcW w:w="1255" w:type="dxa"/>
            <w:tcBorders>
              <w:top w:val="nil"/>
              <w:bottom w:val="single" w:color="000000" w:sz="6" w:space="0"/>
            </w:tcBorders>
          </w:tcPr>
          <w:p w14:paraId="5E049778">
            <w:r>
              <w:t xml:space="preserve">Land area </w:t>
            </w:r>
          </w:p>
        </w:tc>
        <w:tc>
          <w:tcPr>
            <w:tcW w:w="1255" w:type="dxa"/>
            <w:tcBorders>
              <w:top w:val="nil"/>
              <w:bottom w:val="single" w:color="000000" w:sz="6" w:space="0"/>
            </w:tcBorders>
          </w:tcPr>
          <w:p w14:paraId="7133AC75">
            <w:pPr>
              <w:pStyle w:val="37"/>
            </w:pPr>
            <w:r>
              <w:t>4.8</w:t>
            </w:r>
          </w:p>
        </w:tc>
        <w:tc>
          <w:tcPr>
            <w:tcW w:w="1255" w:type="dxa"/>
            <w:tcBorders>
              <w:top w:val="nil"/>
              <w:bottom w:val="single" w:color="000000" w:sz="6" w:space="0"/>
            </w:tcBorders>
          </w:tcPr>
          <w:p w14:paraId="666C0AD9">
            <w:pPr>
              <w:pStyle w:val="37"/>
            </w:pPr>
            <w:r>
              <w:t>4.8</w:t>
            </w:r>
          </w:p>
        </w:tc>
        <w:tc>
          <w:tcPr>
            <w:tcW w:w="1255" w:type="dxa"/>
            <w:tcBorders>
              <w:top w:val="nil"/>
              <w:bottom w:val="single" w:color="000000" w:sz="6" w:space="0"/>
            </w:tcBorders>
          </w:tcPr>
          <w:p w14:paraId="59E91AE5">
            <w:pPr>
              <w:pStyle w:val="37"/>
            </w:pPr>
            <w:r>
              <w:t>4.8</w:t>
            </w:r>
          </w:p>
        </w:tc>
        <w:tc>
          <w:tcPr>
            <w:tcW w:w="1255" w:type="dxa"/>
            <w:tcBorders>
              <w:top w:val="nil"/>
              <w:bottom w:val="single" w:color="000000" w:sz="6" w:space="0"/>
            </w:tcBorders>
          </w:tcPr>
          <w:p w14:paraId="5EB9AAE4">
            <w:pPr>
              <w:pStyle w:val="37"/>
            </w:pPr>
            <w:r>
              <w:t>4.9</w:t>
            </w:r>
          </w:p>
        </w:tc>
        <w:tc>
          <w:tcPr>
            <w:tcW w:w="1255" w:type="dxa"/>
            <w:tcBorders>
              <w:top w:val="nil"/>
              <w:bottom w:val="single" w:color="000000" w:sz="6" w:space="0"/>
            </w:tcBorders>
          </w:tcPr>
          <w:p w14:paraId="13DDD5A8">
            <w:pPr>
              <w:pStyle w:val="37"/>
            </w:pPr>
            <w:r>
              <w:t>4.9</w:t>
            </w:r>
          </w:p>
        </w:tc>
        <w:tc>
          <w:tcPr>
            <w:tcW w:w="1255" w:type="dxa"/>
            <w:tcBorders>
              <w:top w:val="nil"/>
              <w:bottom w:val="single" w:color="000000" w:sz="6" w:space="0"/>
            </w:tcBorders>
          </w:tcPr>
          <w:p w14:paraId="405A45EE">
            <w:pPr>
              <w:pStyle w:val="37"/>
            </w:pPr>
            <w:r>
              <w:t>4.9</w:t>
            </w:r>
          </w:p>
        </w:tc>
        <w:tc>
          <w:tcPr>
            <w:tcW w:w="1255" w:type="dxa"/>
            <w:tcBorders>
              <w:top w:val="nil"/>
              <w:bottom w:val="single" w:color="000000" w:sz="6" w:space="0"/>
            </w:tcBorders>
          </w:tcPr>
          <w:p w14:paraId="62398244">
            <w:pPr>
              <w:pStyle w:val="37"/>
            </w:pPr>
            <w:r>
              <w:t>4.9</w:t>
            </w:r>
          </w:p>
        </w:tc>
      </w:tr>
    </w:tbl>
    <w:p w14:paraId="73DA8F19">
      <w:pPr>
        <w:pStyle w:val="35"/>
        <w:keepLines/>
      </w:pPr>
      <w:r>
        <w:t>Note: Urban results are policy-calibrated renewal demand. Floor area and land area are million m².</w:t>
      </w:r>
    </w:p>
    <w:p w14:paraId="22B0BA9A">
      <w:pPr>
        <w:jc w:val="left"/>
        <w:rPr>
          <w:b/>
          <w:bCs/>
        </w:rPr>
      </w:pPr>
      <w:r>
        <w:br w:type="page"/>
      </w:r>
    </w:p>
    <w:p w14:paraId="70F37DFC">
      <w:pPr>
        <w:pStyle w:val="33"/>
        <w:keepLines/>
      </w:pPr>
      <w:r>
        <w:t>Supplementary Table 10 | Projected cumulative rural renewal-pressure stock under three demographic scenarios, 2020–2050.</w:t>
      </w:r>
    </w:p>
    <w:tbl>
      <w:tblPr>
        <w:tblStyle w:val="6"/>
        <w:tblW w:w="0" w:type="auto"/>
        <w:tblInd w:w="0" w:type="dxa"/>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55"/>
        <w:gridCol w:w="1415"/>
        <w:gridCol w:w="1095"/>
        <w:gridCol w:w="1255"/>
        <w:gridCol w:w="1255"/>
        <w:gridCol w:w="1255"/>
        <w:gridCol w:w="1255"/>
        <w:gridCol w:w="1255"/>
        <w:gridCol w:w="1255"/>
      </w:tblGrid>
      <w:tr w14:paraId="650FF2B9">
        <w:trPr>
          <w:cantSplit/>
          <w:tblHeader/>
        </w:trPr>
        <w:tc>
          <w:tcPr>
            <w:tcW w:w="1255" w:type="dxa"/>
            <w:tcBorders>
              <w:top w:val="single" w:color="000000" w:sz="6" w:space="0"/>
              <w:bottom w:val="single" w:color="000000" w:sz="6" w:space="0"/>
            </w:tcBorders>
          </w:tcPr>
          <w:p w14:paraId="483516CC">
            <w:pPr>
              <w:pStyle w:val="36"/>
            </w:pPr>
            <w:r>
              <w:t>Scenario</w:t>
            </w:r>
          </w:p>
        </w:tc>
        <w:tc>
          <w:tcPr>
            <w:tcW w:w="1415" w:type="dxa"/>
            <w:tcBorders>
              <w:top w:val="single" w:color="000000" w:sz="6" w:space="0"/>
              <w:bottom w:val="single" w:color="000000" w:sz="6" w:space="0"/>
            </w:tcBorders>
          </w:tcPr>
          <w:p w14:paraId="37B85977">
            <w:pPr>
              <w:pStyle w:val="36"/>
            </w:pPr>
            <w:r>
              <w:t>Indicator</w:t>
            </w:r>
          </w:p>
        </w:tc>
        <w:tc>
          <w:tcPr>
            <w:tcW w:w="1095" w:type="dxa"/>
            <w:tcBorders>
              <w:top w:val="single" w:color="000000" w:sz="6" w:space="0"/>
              <w:bottom w:val="single" w:color="000000" w:sz="6" w:space="0"/>
            </w:tcBorders>
          </w:tcPr>
          <w:p w14:paraId="364CFD67">
            <w:pPr>
              <w:pStyle w:val="36"/>
            </w:pPr>
            <w:r>
              <w:t>2020</w:t>
            </w:r>
          </w:p>
        </w:tc>
        <w:tc>
          <w:tcPr>
            <w:tcW w:w="1255" w:type="dxa"/>
            <w:tcBorders>
              <w:top w:val="single" w:color="000000" w:sz="6" w:space="0"/>
              <w:bottom w:val="single" w:color="000000" w:sz="6" w:space="0"/>
            </w:tcBorders>
          </w:tcPr>
          <w:p w14:paraId="42A223B9">
            <w:pPr>
              <w:pStyle w:val="36"/>
            </w:pPr>
            <w:r>
              <w:t>2025</w:t>
            </w:r>
          </w:p>
        </w:tc>
        <w:tc>
          <w:tcPr>
            <w:tcW w:w="1255" w:type="dxa"/>
            <w:tcBorders>
              <w:top w:val="single" w:color="000000" w:sz="6" w:space="0"/>
              <w:bottom w:val="single" w:color="000000" w:sz="6" w:space="0"/>
            </w:tcBorders>
          </w:tcPr>
          <w:p w14:paraId="614138BC">
            <w:pPr>
              <w:pStyle w:val="36"/>
            </w:pPr>
            <w:r>
              <w:t>2030</w:t>
            </w:r>
          </w:p>
        </w:tc>
        <w:tc>
          <w:tcPr>
            <w:tcW w:w="1255" w:type="dxa"/>
            <w:tcBorders>
              <w:top w:val="single" w:color="000000" w:sz="6" w:space="0"/>
              <w:bottom w:val="single" w:color="000000" w:sz="6" w:space="0"/>
            </w:tcBorders>
          </w:tcPr>
          <w:p w14:paraId="1E2A7DE8">
            <w:pPr>
              <w:pStyle w:val="36"/>
            </w:pPr>
            <w:r>
              <w:t>2035</w:t>
            </w:r>
          </w:p>
        </w:tc>
        <w:tc>
          <w:tcPr>
            <w:tcW w:w="1255" w:type="dxa"/>
            <w:tcBorders>
              <w:top w:val="single" w:color="000000" w:sz="6" w:space="0"/>
              <w:bottom w:val="single" w:color="000000" w:sz="6" w:space="0"/>
            </w:tcBorders>
          </w:tcPr>
          <w:p w14:paraId="5F2CFF8D">
            <w:pPr>
              <w:pStyle w:val="36"/>
            </w:pPr>
            <w:r>
              <w:t>2040</w:t>
            </w:r>
          </w:p>
        </w:tc>
        <w:tc>
          <w:tcPr>
            <w:tcW w:w="1255" w:type="dxa"/>
            <w:tcBorders>
              <w:top w:val="single" w:color="000000" w:sz="6" w:space="0"/>
              <w:bottom w:val="single" w:color="000000" w:sz="6" w:space="0"/>
            </w:tcBorders>
          </w:tcPr>
          <w:p w14:paraId="5C54AEFE">
            <w:pPr>
              <w:pStyle w:val="36"/>
            </w:pPr>
            <w:r>
              <w:t>2045</w:t>
            </w:r>
          </w:p>
        </w:tc>
        <w:tc>
          <w:tcPr>
            <w:tcW w:w="1255" w:type="dxa"/>
            <w:tcBorders>
              <w:top w:val="single" w:color="000000" w:sz="6" w:space="0"/>
              <w:bottom w:val="single" w:color="000000" w:sz="6" w:space="0"/>
            </w:tcBorders>
          </w:tcPr>
          <w:p w14:paraId="37CA4042">
            <w:pPr>
              <w:pStyle w:val="36"/>
            </w:pPr>
            <w:r>
              <w:t>2050</w:t>
            </w:r>
          </w:p>
        </w:tc>
      </w:tr>
      <w:tr w14:paraId="7CCA026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Borders>
              <w:top w:val="single" w:color="000000" w:sz="6" w:space="0"/>
            </w:tcBorders>
          </w:tcPr>
          <w:p w14:paraId="2FDF9FBD">
            <w:pPr>
              <w:pStyle w:val="37"/>
            </w:pPr>
            <w:r>
              <w:t>Low</w:t>
            </w:r>
          </w:p>
        </w:tc>
        <w:tc>
          <w:tcPr>
            <w:tcW w:w="1415" w:type="dxa"/>
            <w:tcBorders>
              <w:top w:val="single" w:color="000000" w:sz="6" w:space="0"/>
            </w:tcBorders>
          </w:tcPr>
          <w:p w14:paraId="30FFEB28">
            <w:pPr>
              <w:pStyle w:val="37"/>
            </w:pPr>
            <w:r>
              <w:t>Buildings</w:t>
            </w:r>
          </w:p>
        </w:tc>
        <w:tc>
          <w:tcPr>
            <w:tcW w:w="1095" w:type="dxa"/>
            <w:tcBorders>
              <w:top w:val="single" w:color="000000" w:sz="6" w:space="0"/>
            </w:tcBorders>
          </w:tcPr>
          <w:p w14:paraId="64ED1AAC">
            <w:pPr>
              <w:pStyle w:val="37"/>
            </w:pPr>
            <w:r>
              <w:t>487,042</w:t>
            </w:r>
          </w:p>
        </w:tc>
        <w:tc>
          <w:tcPr>
            <w:tcW w:w="1255" w:type="dxa"/>
            <w:tcBorders>
              <w:top w:val="single" w:color="000000" w:sz="6" w:space="0"/>
            </w:tcBorders>
          </w:tcPr>
          <w:p w14:paraId="77251AB6">
            <w:pPr>
              <w:pStyle w:val="37"/>
            </w:pPr>
            <w:r>
              <w:t>488,836</w:t>
            </w:r>
          </w:p>
        </w:tc>
        <w:tc>
          <w:tcPr>
            <w:tcW w:w="1255" w:type="dxa"/>
            <w:tcBorders>
              <w:top w:val="single" w:color="000000" w:sz="6" w:space="0"/>
            </w:tcBorders>
          </w:tcPr>
          <w:p w14:paraId="657EBD56">
            <w:pPr>
              <w:pStyle w:val="37"/>
            </w:pPr>
            <w:r>
              <w:t>490,502</w:t>
            </w:r>
          </w:p>
        </w:tc>
        <w:tc>
          <w:tcPr>
            <w:tcW w:w="1255" w:type="dxa"/>
            <w:tcBorders>
              <w:top w:val="single" w:color="000000" w:sz="6" w:space="0"/>
            </w:tcBorders>
          </w:tcPr>
          <w:p w14:paraId="4A328AF2">
            <w:pPr>
              <w:pStyle w:val="37"/>
            </w:pPr>
            <w:r>
              <w:t>492,132</w:t>
            </w:r>
          </w:p>
        </w:tc>
        <w:tc>
          <w:tcPr>
            <w:tcW w:w="1255" w:type="dxa"/>
            <w:tcBorders>
              <w:top w:val="single" w:color="000000" w:sz="6" w:space="0"/>
            </w:tcBorders>
          </w:tcPr>
          <w:p w14:paraId="100945AD">
            <w:pPr>
              <w:pStyle w:val="37"/>
            </w:pPr>
            <w:r>
              <w:t>493,660</w:t>
            </w:r>
          </w:p>
        </w:tc>
        <w:tc>
          <w:tcPr>
            <w:tcW w:w="1255" w:type="dxa"/>
            <w:tcBorders>
              <w:top w:val="single" w:color="000000" w:sz="6" w:space="0"/>
            </w:tcBorders>
          </w:tcPr>
          <w:p w14:paraId="4EC2B691">
            <w:pPr>
              <w:pStyle w:val="37"/>
            </w:pPr>
            <w:r>
              <w:t>495,213</w:t>
            </w:r>
          </w:p>
        </w:tc>
        <w:tc>
          <w:tcPr>
            <w:tcW w:w="1255" w:type="dxa"/>
            <w:tcBorders>
              <w:top w:val="single" w:color="000000" w:sz="6" w:space="0"/>
            </w:tcBorders>
          </w:tcPr>
          <w:p w14:paraId="1EE2C5C6">
            <w:pPr>
              <w:pStyle w:val="37"/>
            </w:pPr>
            <w:r>
              <w:t>496,681</w:t>
            </w:r>
          </w:p>
        </w:tc>
      </w:tr>
      <w:tr w14:paraId="0C56877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6CCA786A">
            <w:pPr>
              <w:pStyle w:val="37"/>
            </w:pPr>
            <w:r>
              <w:t>Low</w:t>
            </w:r>
          </w:p>
        </w:tc>
        <w:tc>
          <w:tcPr>
            <w:tcW w:w="1415" w:type="dxa"/>
          </w:tcPr>
          <w:p w14:paraId="2E7A5C71">
            <w:pPr>
              <w:pStyle w:val="37"/>
            </w:pPr>
            <w:r>
              <w:t>Dwelling units</w:t>
            </w:r>
          </w:p>
        </w:tc>
        <w:tc>
          <w:tcPr>
            <w:tcW w:w="1095" w:type="dxa"/>
          </w:tcPr>
          <w:p w14:paraId="27391E1D">
            <w:pPr>
              <w:pStyle w:val="37"/>
            </w:pPr>
            <w:r>
              <w:t>488,164</w:t>
            </w:r>
          </w:p>
        </w:tc>
        <w:tc>
          <w:tcPr>
            <w:tcW w:w="1255" w:type="dxa"/>
          </w:tcPr>
          <w:p w14:paraId="554507D0">
            <w:pPr>
              <w:pStyle w:val="37"/>
            </w:pPr>
            <w:r>
              <w:t>489,962</w:t>
            </w:r>
          </w:p>
        </w:tc>
        <w:tc>
          <w:tcPr>
            <w:tcW w:w="1255" w:type="dxa"/>
          </w:tcPr>
          <w:p w14:paraId="5449A920">
            <w:pPr>
              <w:pStyle w:val="37"/>
            </w:pPr>
            <w:r>
              <w:t>491,643</w:t>
            </w:r>
          </w:p>
        </w:tc>
        <w:tc>
          <w:tcPr>
            <w:tcW w:w="1255" w:type="dxa"/>
          </w:tcPr>
          <w:p w14:paraId="28EA266A">
            <w:pPr>
              <w:pStyle w:val="37"/>
            </w:pPr>
            <w:r>
              <w:t>493,287</w:t>
            </w:r>
          </w:p>
        </w:tc>
        <w:tc>
          <w:tcPr>
            <w:tcW w:w="1255" w:type="dxa"/>
          </w:tcPr>
          <w:p w14:paraId="39D078AA">
            <w:pPr>
              <w:pStyle w:val="37"/>
            </w:pPr>
            <w:r>
              <w:t>494,826</w:t>
            </w:r>
          </w:p>
        </w:tc>
        <w:tc>
          <w:tcPr>
            <w:tcW w:w="1255" w:type="dxa"/>
          </w:tcPr>
          <w:p w14:paraId="0DB1E887">
            <w:pPr>
              <w:pStyle w:val="37"/>
            </w:pPr>
            <w:r>
              <w:t>496,537</w:t>
            </w:r>
          </w:p>
        </w:tc>
        <w:tc>
          <w:tcPr>
            <w:tcW w:w="1255" w:type="dxa"/>
          </w:tcPr>
          <w:p w14:paraId="7D32438E">
            <w:pPr>
              <w:pStyle w:val="37"/>
            </w:pPr>
            <w:r>
              <w:t>498,005</w:t>
            </w:r>
          </w:p>
        </w:tc>
      </w:tr>
      <w:tr w14:paraId="44A722E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6E988546">
            <w:pPr>
              <w:pStyle w:val="37"/>
            </w:pPr>
            <w:r>
              <w:t>Low</w:t>
            </w:r>
          </w:p>
        </w:tc>
        <w:tc>
          <w:tcPr>
            <w:tcW w:w="1415" w:type="dxa"/>
          </w:tcPr>
          <w:p w14:paraId="6C3DB77A">
            <w:r>
              <w:t>Floor area</w:t>
            </w:r>
          </w:p>
        </w:tc>
        <w:tc>
          <w:tcPr>
            <w:tcW w:w="1095" w:type="dxa"/>
          </w:tcPr>
          <w:p w14:paraId="16B4B6A3">
            <w:pPr>
              <w:pStyle w:val="37"/>
            </w:pPr>
            <w:r>
              <w:t>140.3</w:t>
            </w:r>
          </w:p>
        </w:tc>
        <w:tc>
          <w:tcPr>
            <w:tcW w:w="1255" w:type="dxa"/>
          </w:tcPr>
          <w:p w14:paraId="2DCF53AC">
            <w:pPr>
              <w:pStyle w:val="37"/>
            </w:pPr>
            <w:r>
              <w:t>140.7</w:t>
            </w:r>
          </w:p>
        </w:tc>
        <w:tc>
          <w:tcPr>
            <w:tcW w:w="1255" w:type="dxa"/>
          </w:tcPr>
          <w:p w14:paraId="05C9B9C4">
            <w:pPr>
              <w:pStyle w:val="37"/>
            </w:pPr>
            <w:r>
              <w:t>141.2</w:t>
            </w:r>
          </w:p>
        </w:tc>
        <w:tc>
          <w:tcPr>
            <w:tcW w:w="1255" w:type="dxa"/>
          </w:tcPr>
          <w:p w14:paraId="26E8443C">
            <w:pPr>
              <w:pStyle w:val="37"/>
            </w:pPr>
            <w:r>
              <w:t>141.6</w:t>
            </w:r>
          </w:p>
        </w:tc>
        <w:tc>
          <w:tcPr>
            <w:tcW w:w="1255" w:type="dxa"/>
          </w:tcPr>
          <w:p w14:paraId="378E75D5">
            <w:pPr>
              <w:pStyle w:val="37"/>
            </w:pPr>
            <w:r>
              <w:t>142.0</w:t>
            </w:r>
          </w:p>
        </w:tc>
        <w:tc>
          <w:tcPr>
            <w:tcW w:w="1255" w:type="dxa"/>
          </w:tcPr>
          <w:p w14:paraId="6F4B4385">
            <w:pPr>
              <w:pStyle w:val="37"/>
            </w:pPr>
            <w:r>
              <w:t>142.4</w:t>
            </w:r>
          </w:p>
        </w:tc>
        <w:tc>
          <w:tcPr>
            <w:tcW w:w="1255" w:type="dxa"/>
          </w:tcPr>
          <w:p w14:paraId="356A28AC">
            <w:pPr>
              <w:pStyle w:val="37"/>
            </w:pPr>
            <w:r>
              <w:t>142.8</w:t>
            </w:r>
          </w:p>
        </w:tc>
      </w:tr>
      <w:tr w14:paraId="38B6D85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5AF3D322">
            <w:pPr>
              <w:pStyle w:val="37"/>
            </w:pPr>
            <w:r>
              <w:t>Low</w:t>
            </w:r>
          </w:p>
        </w:tc>
        <w:tc>
          <w:tcPr>
            <w:tcW w:w="1415" w:type="dxa"/>
          </w:tcPr>
          <w:p w14:paraId="56F7B4EA">
            <w:r>
              <w:t>Land area</w:t>
            </w:r>
          </w:p>
        </w:tc>
        <w:tc>
          <w:tcPr>
            <w:tcW w:w="1095" w:type="dxa"/>
          </w:tcPr>
          <w:p w14:paraId="77E44E9E">
            <w:pPr>
              <w:pStyle w:val="37"/>
            </w:pPr>
            <w:r>
              <w:t>85.3</w:t>
            </w:r>
          </w:p>
        </w:tc>
        <w:tc>
          <w:tcPr>
            <w:tcW w:w="1255" w:type="dxa"/>
          </w:tcPr>
          <w:p w14:paraId="0CA90CE5">
            <w:pPr>
              <w:pStyle w:val="37"/>
            </w:pPr>
            <w:r>
              <w:t>85.7</w:t>
            </w:r>
          </w:p>
        </w:tc>
        <w:tc>
          <w:tcPr>
            <w:tcW w:w="1255" w:type="dxa"/>
          </w:tcPr>
          <w:p w14:paraId="4C606CA8">
            <w:pPr>
              <w:pStyle w:val="37"/>
            </w:pPr>
            <w:r>
              <w:t>86.0</w:t>
            </w:r>
          </w:p>
        </w:tc>
        <w:tc>
          <w:tcPr>
            <w:tcW w:w="1255" w:type="dxa"/>
          </w:tcPr>
          <w:p w14:paraId="2A353D1A">
            <w:pPr>
              <w:pStyle w:val="37"/>
            </w:pPr>
            <w:r>
              <w:t>86.3</w:t>
            </w:r>
          </w:p>
        </w:tc>
        <w:tc>
          <w:tcPr>
            <w:tcW w:w="1255" w:type="dxa"/>
          </w:tcPr>
          <w:p w14:paraId="5775E0A4">
            <w:pPr>
              <w:pStyle w:val="37"/>
            </w:pPr>
            <w:r>
              <w:t>86.6</w:t>
            </w:r>
          </w:p>
        </w:tc>
        <w:tc>
          <w:tcPr>
            <w:tcW w:w="1255" w:type="dxa"/>
          </w:tcPr>
          <w:p w14:paraId="6037D762">
            <w:pPr>
              <w:pStyle w:val="37"/>
            </w:pPr>
            <w:r>
              <w:t>86.9</w:t>
            </w:r>
          </w:p>
        </w:tc>
        <w:tc>
          <w:tcPr>
            <w:tcW w:w="1255" w:type="dxa"/>
          </w:tcPr>
          <w:p w14:paraId="594EA257">
            <w:pPr>
              <w:pStyle w:val="37"/>
            </w:pPr>
            <w:r>
              <w:t>87.2</w:t>
            </w:r>
          </w:p>
        </w:tc>
      </w:tr>
      <w:tr w14:paraId="0330C5F5">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599681A8">
            <w:pPr>
              <w:pStyle w:val="37"/>
            </w:pPr>
            <w:r>
              <w:t>Medium</w:t>
            </w:r>
          </w:p>
        </w:tc>
        <w:tc>
          <w:tcPr>
            <w:tcW w:w="1415" w:type="dxa"/>
          </w:tcPr>
          <w:p w14:paraId="7DF8F420">
            <w:pPr>
              <w:pStyle w:val="37"/>
            </w:pPr>
            <w:r>
              <w:t>Buildings</w:t>
            </w:r>
          </w:p>
        </w:tc>
        <w:tc>
          <w:tcPr>
            <w:tcW w:w="1095" w:type="dxa"/>
          </w:tcPr>
          <w:p w14:paraId="52BA779E">
            <w:pPr>
              <w:pStyle w:val="37"/>
            </w:pPr>
            <w:r>
              <w:t>487,042</w:t>
            </w:r>
          </w:p>
        </w:tc>
        <w:tc>
          <w:tcPr>
            <w:tcW w:w="1255" w:type="dxa"/>
          </w:tcPr>
          <w:p w14:paraId="568BDC50">
            <w:pPr>
              <w:pStyle w:val="37"/>
            </w:pPr>
            <w:r>
              <w:t>488,837</w:t>
            </w:r>
          </w:p>
        </w:tc>
        <w:tc>
          <w:tcPr>
            <w:tcW w:w="1255" w:type="dxa"/>
          </w:tcPr>
          <w:p w14:paraId="4E8FC2D3">
            <w:pPr>
              <w:pStyle w:val="37"/>
            </w:pPr>
            <w:r>
              <w:t>490,503</w:t>
            </w:r>
          </w:p>
        </w:tc>
        <w:tc>
          <w:tcPr>
            <w:tcW w:w="1255" w:type="dxa"/>
          </w:tcPr>
          <w:p w14:paraId="7C3209B7">
            <w:pPr>
              <w:pStyle w:val="37"/>
            </w:pPr>
            <w:r>
              <w:t>492,132</w:t>
            </w:r>
          </w:p>
        </w:tc>
        <w:tc>
          <w:tcPr>
            <w:tcW w:w="1255" w:type="dxa"/>
          </w:tcPr>
          <w:p w14:paraId="26ABB55B">
            <w:pPr>
              <w:pStyle w:val="37"/>
            </w:pPr>
            <w:r>
              <w:t>493,660</w:t>
            </w:r>
          </w:p>
        </w:tc>
        <w:tc>
          <w:tcPr>
            <w:tcW w:w="1255" w:type="dxa"/>
          </w:tcPr>
          <w:p w14:paraId="245931E9">
            <w:pPr>
              <w:pStyle w:val="37"/>
            </w:pPr>
            <w:r>
              <w:t>495,218</w:t>
            </w:r>
          </w:p>
        </w:tc>
        <w:tc>
          <w:tcPr>
            <w:tcW w:w="1255" w:type="dxa"/>
          </w:tcPr>
          <w:p w14:paraId="0CDC86EC">
            <w:pPr>
              <w:pStyle w:val="37"/>
            </w:pPr>
            <w:r>
              <w:t>496,683</w:t>
            </w:r>
          </w:p>
        </w:tc>
      </w:tr>
      <w:tr w14:paraId="1F2C3DA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012700A7">
            <w:pPr>
              <w:pStyle w:val="37"/>
            </w:pPr>
            <w:r>
              <w:t>Medium</w:t>
            </w:r>
          </w:p>
        </w:tc>
        <w:tc>
          <w:tcPr>
            <w:tcW w:w="1415" w:type="dxa"/>
          </w:tcPr>
          <w:p w14:paraId="5050C66F">
            <w:pPr>
              <w:pStyle w:val="37"/>
            </w:pPr>
            <w:r>
              <w:t>Dwelling units</w:t>
            </w:r>
          </w:p>
        </w:tc>
        <w:tc>
          <w:tcPr>
            <w:tcW w:w="1095" w:type="dxa"/>
          </w:tcPr>
          <w:p w14:paraId="45D970E7">
            <w:pPr>
              <w:pStyle w:val="37"/>
            </w:pPr>
            <w:r>
              <w:t>488,164</w:t>
            </w:r>
          </w:p>
        </w:tc>
        <w:tc>
          <w:tcPr>
            <w:tcW w:w="1255" w:type="dxa"/>
          </w:tcPr>
          <w:p w14:paraId="41CD19D2">
            <w:pPr>
              <w:pStyle w:val="37"/>
            </w:pPr>
            <w:r>
              <w:t>489,963</w:t>
            </w:r>
          </w:p>
        </w:tc>
        <w:tc>
          <w:tcPr>
            <w:tcW w:w="1255" w:type="dxa"/>
          </w:tcPr>
          <w:p w14:paraId="74646733">
            <w:pPr>
              <w:pStyle w:val="37"/>
            </w:pPr>
            <w:r>
              <w:t>491,644</w:t>
            </w:r>
          </w:p>
        </w:tc>
        <w:tc>
          <w:tcPr>
            <w:tcW w:w="1255" w:type="dxa"/>
          </w:tcPr>
          <w:p w14:paraId="4AD80E88">
            <w:pPr>
              <w:pStyle w:val="37"/>
            </w:pPr>
            <w:r>
              <w:t>493,287</w:t>
            </w:r>
          </w:p>
        </w:tc>
        <w:tc>
          <w:tcPr>
            <w:tcW w:w="1255" w:type="dxa"/>
          </w:tcPr>
          <w:p w14:paraId="5DB24CC0">
            <w:pPr>
              <w:pStyle w:val="37"/>
            </w:pPr>
            <w:r>
              <w:t>494,826</w:t>
            </w:r>
          </w:p>
        </w:tc>
        <w:tc>
          <w:tcPr>
            <w:tcW w:w="1255" w:type="dxa"/>
          </w:tcPr>
          <w:p w14:paraId="1C373752">
            <w:pPr>
              <w:pStyle w:val="37"/>
            </w:pPr>
            <w:r>
              <w:t>496,542</w:t>
            </w:r>
          </w:p>
        </w:tc>
        <w:tc>
          <w:tcPr>
            <w:tcW w:w="1255" w:type="dxa"/>
          </w:tcPr>
          <w:p w14:paraId="0D5208E7">
            <w:pPr>
              <w:pStyle w:val="37"/>
            </w:pPr>
            <w:r>
              <w:t>498,007</w:t>
            </w:r>
          </w:p>
        </w:tc>
      </w:tr>
      <w:tr w14:paraId="37C7DF7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7F4681FD">
            <w:pPr>
              <w:pStyle w:val="37"/>
            </w:pPr>
            <w:r>
              <w:t>Medium</w:t>
            </w:r>
          </w:p>
        </w:tc>
        <w:tc>
          <w:tcPr>
            <w:tcW w:w="1415" w:type="dxa"/>
          </w:tcPr>
          <w:p w14:paraId="4EF5C1F1">
            <w:r>
              <w:t>Floor area</w:t>
            </w:r>
          </w:p>
        </w:tc>
        <w:tc>
          <w:tcPr>
            <w:tcW w:w="1095" w:type="dxa"/>
          </w:tcPr>
          <w:p w14:paraId="451E1E48">
            <w:pPr>
              <w:pStyle w:val="37"/>
            </w:pPr>
            <w:r>
              <w:t>140.3</w:t>
            </w:r>
          </w:p>
        </w:tc>
        <w:tc>
          <w:tcPr>
            <w:tcW w:w="1255" w:type="dxa"/>
          </w:tcPr>
          <w:p w14:paraId="2F7C80EE">
            <w:pPr>
              <w:pStyle w:val="37"/>
            </w:pPr>
            <w:r>
              <w:t>140.7</w:t>
            </w:r>
          </w:p>
        </w:tc>
        <w:tc>
          <w:tcPr>
            <w:tcW w:w="1255" w:type="dxa"/>
          </w:tcPr>
          <w:p w14:paraId="566AFCF5">
            <w:pPr>
              <w:pStyle w:val="37"/>
            </w:pPr>
            <w:r>
              <w:t>141.2</w:t>
            </w:r>
          </w:p>
        </w:tc>
        <w:tc>
          <w:tcPr>
            <w:tcW w:w="1255" w:type="dxa"/>
          </w:tcPr>
          <w:p w14:paraId="61771C51">
            <w:pPr>
              <w:pStyle w:val="37"/>
            </w:pPr>
            <w:r>
              <w:t>141.6</w:t>
            </w:r>
          </w:p>
        </w:tc>
        <w:tc>
          <w:tcPr>
            <w:tcW w:w="1255" w:type="dxa"/>
          </w:tcPr>
          <w:p w14:paraId="31863D0C">
            <w:pPr>
              <w:pStyle w:val="37"/>
            </w:pPr>
            <w:r>
              <w:t>142.0</w:t>
            </w:r>
          </w:p>
        </w:tc>
        <w:tc>
          <w:tcPr>
            <w:tcW w:w="1255" w:type="dxa"/>
          </w:tcPr>
          <w:p w14:paraId="05E0C53D">
            <w:pPr>
              <w:pStyle w:val="37"/>
            </w:pPr>
            <w:r>
              <w:t>142.4</w:t>
            </w:r>
          </w:p>
        </w:tc>
        <w:tc>
          <w:tcPr>
            <w:tcW w:w="1255" w:type="dxa"/>
          </w:tcPr>
          <w:p w14:paraId="1AFB5A67">
            <w:pPr>
              <w:pStyle w:val="37"/>
            </w:pPr>
            <w:r>
              <w:t>142.8</w:t>
            </w:r>
          </w:p>
        </w:tc>
      </w:tr>
      <w:tr w14:paraId="2587A20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09D474A2">
            <w:pPr>
              <w:pStyle w:val="37"/>
            </w:pPr>
            <w:r>
              <w:t>Medium</w:t>
            </w:r>
          </w:p>
        </w:tc>
        <w:tc>
          <w:tcPr>
            <w:tcW w:w="1415" w:type="dxa"/>
          </w:tcPr>
          <w:p w14:paraId="368B1842">
            <w:r>
              <w:t>Land area</w:t>
            </w:r>
          </w:p>
        </w:tc>
        <w:tc>
          <w:tcPr>
            <w:tcW w:w="1095" w:type="dxa"/>
          </w:tcPr>
          <w:p w14:paraId="112E78AB">
            <w:pPr>
              <w:pStyle w:val="37"/>
            </w:pPr>
            <w:r>
              <w:t>85.3</w:t>
            </w:r>
          </w:p>
        </w:tc>
        <w:tc>
          <w:tcPr>
            <w:tcW w:w="1255" w:type="dxa"/>
          </w:tcPr>
          <w:p w14:paraId="3ED7DFAF">
            <w:pPr>
              <w:pStyle w:val="37"/>
            </w:pPr>
            <w:r>
              <w:t>85.7</w:t>
            </w:r>
          </w:p>
        </w:tc>
        <w:tc>
          <w:tcPr>
            <w:tcW w:w="1255" w:type="dxa"/>
          </w:tcPr>
          <w:p w14:paraId="7AAD12D0">
            <w:pPr>
              <w:pStyle w:val="37"/>
            </w:pPr>
            <w:r>
              <w:t>86.0</w:t>
            </w:r>
          </w:p>
        </w:tc>
        <w:tc>
          <w:tcPr>
            <w:tcW w:w="1255" w:type="dxa"/>
          </w:tcPr>
          <w:p w14:paraId="5CB7B863">
            <w:pPr>
              <w:pStyle w:val="37"/>
            </w:pPr>
            <w:r>
              <w:t>86.3</w:t>
            </w:r>
          </w:p>
        </w:tc>
        <w:tc>
          <w:tcPr>
            <w:tcW w:w="1255" w:type="dxa"/>
          </w:tcPr>
          <w:p w14:paraId="0F298D80">
            <w:pPr>
              <w:pStyle w:val="37"/>
            </w:pPr>
            <w:r>
              <w:t>86.6</w:t>
            </w:r>
          </w:p>
        </w:tc>
        <w:tc>
          <w:tcPr>
            <w:tcW w:w="1255" w:type="dxa"/>
          </w:tcPr>
          <w:p w14:paraId="482631AE">
            <w:pPr>
              <w:pStyle w:val="37"/>
            </w:pPr>
            <w:r>
              <w:t>86.9</w:t>
            </w:r>
          </w:p>
        </w:tc>
        <w:tc>
          <w:tcPr>
            <w:tcW w:w="1255" w:type="dxa"/>
          </w:tcPr>
          <w:p w14:paraId="7C4CB34E">
            <w:pPr>
              <w:pStyle w:val="37"/>
            </w:pPr>
            <w:r>
              <w:t>87.2</w:t>
            </w:r>
          </w:p>
        </w:tc>
      </w:tr>
      <w:tr w14:paraId="461C91A5">
        <w:tblPrEx>
          <w:tblBorders>
            <w:top w:val="single" w:color="000000" w:sz="4"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5F5FFFEB">
            <w:pPr>
              <w:pStyle w:val="37"/>
            </w:pPr>
            <w:r>
              <w:t>High</w:t>
            </w:r>
          </w:p>
        </w:tc>
        <w:tc>
          <w:tcPr>
            <w:tcW w:w="1415" w:type="dxa"/>
          </w:tcPr>
          <w:p w14:paraId="00E9D39C">
            <w:pPr>
              <w:pStyle w:val="37"/>
            </w:pPr>
            <w:r>
              <w:t>Buildings</w:t>
            </w:r>
          </w:p>
        </w:tc>
        <w:tc>
          <w:tcPr>
            <w:tcW w:w="1095" w:type="dxa"/>
          </w:tcPr>
          <w:p w14:paraId="2567B71A">
            <w:pPr>
              <w:pStyle w:val="37"/>
            </w:pPr>
            <w:r>
              <w:t>487,042</w:t>
            </w:r>
          </w:p>
        </w:tc>
        <w:tc>
          <w:tcPr>
            <w:tcW w:w="1255" w:type="dxa"/>
          </w:tcPr>
          <w:p w14:paraId="16E83977">
            <w:pPr>
              <w:pStyle w:val="37"/>
            </w:pPr>
            <w:r>
              <w:t>488,837</w:t>
            </w:r>
          </w:p>
        </w:tc>
        <w:tc>
          <w:tcPr>
            <w:tcW w:w="1255" w:type="dxa"/>
          </w:tcPr>
          <w:p w14:paraId="65F1411D">
            <w:pPr>
              <w:pStyle w:val="37"/>
            </w:pPr>
            <w:r>
              <w:t>490,503</w:t>
            </w:r>
          </w:p>
        </w:tc>
        <w:tc>
          <w:tcPr>
            <w:tcW w:w="1255" w:type="dxa"/>
          </w:tcPr>
          <w:p w14:paraId="735BE48A">
            <w:pPr>
              <w:pStyle w:val="37"/>
            </w:pPr>
            <w:r>
              <w:t>492,132</w:t>
            </w:r>
          </w:p>
        </w:tc>
        <w:tc>
          <w:tcPr>
            <w:tcW w:w="1255" w:type="dxa"/>
          </w:tcPr>
          <w:p w14:paraId="275B72FA">
            <w:pPr>
              <w:pStyle w:val="37"/>
            </w:pPr>
            <w:r>
              <w:t>493,665</w:t>
            </w:r>
          </w:p>
        </w:tc>
        <w:tc>
          <w:tcPr>
            <w:tcW w:w="1255" w:type="dxa"/>
          </w:tcPr>
          <w:p w14:paraId="7A56A993">
            <w:pPr>
              <w:pStyle w:val="37"/>
            </w:pPr>
            <w:r>
              <w:t>495,220</w:t>
            </w:r>
          </w:p>
        </w:tc>
        <w:tc>
          <w:tcPr>
            <w:tcW w:w="1255" w:type="dxa"/>
          </w:tcPr>
          <w:p w14:paraId="69B4548D">
            <w:pPr>
              <w:pStyle w:val="37"/>
            </w:pPr>
            <w:r>
              <w:t>496,687</w:t>
            </w:r>
          </w:p>
        </w:tc>
      </w:tr>
      <w:tr w14:paraId="062DD1E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Pr>
          <w:p w14:paraId="510C3A69">
            <w:pPr>
              <w:pStyle w:val="37"/>
            </w:pPr>
            <w:r>
              <w:t>High</w:t>
            </w:r>
          </w:p>
        </w:tc>
        <w:tc>
          <w:tcPr>
            <w:tcW w:w="1415" w:type="dxa"/>
          </w:tcPr>
          <w:p w14:paraId="5D29B552">
            <w:pPr>
              <w:pStyle w:val="37"/>
            </w:pPr>
            <w:r>
              <w:t>Dwelling units</w:t>
            </w:r>
          </w:p>
        </w:tc>
        <w:tc>
          <w:tcPr>
            <w:tcW w:w="1095" w:type="dxa"/>
          </w:tcPr>
          <w:p w14:paraId="241DE933">
            <w:pPr>
              <w:pStyle w:val="37"/>
            </w:pPr>
            <w:r>
              <w:t>488,164</w:t>
            </w:r>
          </w:p>
        </w:tc>
        <w:tc>
          <w:tcPr>
            <w:tcW w:w="1255" w:type="dxa"/>
          </w:tcPr>
          <w:p w14:paraId="2A881E46">
            <w:pPr>
              <w:pStyle w:val="37"/>
            </w:pPr>
            <w:r>
              <w:t>489,963</w:t>
            </w:r>
          </w:p>
        </w:tc>
        <w:tc>
          <w:tcPr>
            <w:tcW w:w="1255" w:type="dxa"/>
          </w:tcPr>
          <w:p w14:paraId="42FE279D">
            <w:pPr>
              <w:pStyle w:val="37"/>
            </w:pPr>
            <w:r>
              <w:t>491,644</w:t>
            </w:r>
          </w:p>
        </w:tc>
        <w:tc>
          <w:tcPr>
            <w:tcW w:w="1255" w:type="dxa"/>
          </w:tcPr>
          <w:p w14:paraId="2B42971D">
            <w:pPr>
              <w:pStyle w:val="37"/>
            </w:pPr>
            <w:r>
              <w:t>493,287</w:t>
            </w:r>
          </w:p>
        </w:tc>
        <w:tc>
          <w:tcPr>
            <w:tcW w:w="1255" w:type="dxa"/>
          </w:tcPr>
          <w:p w14:paraId="34AC0EA6">
            <w:pPr>
              <w:pStyle w:val="37"/>
            </w:pPr>
            <w:r>
              <w:t>494,831</w:t>
            </w:r>
          </w:p>
        </w:tc>
        <w:tc>
          <w:tcPr>
            <w:tcW w:w="1255" w:type="dxa"/>
          </w:tcPr>
          <w:p w14:paraId="47BACB59">
            <w:pPr>
              <w:pStyle w:val="37"/>
            </w:pPr>
            <w:r>
              <w:t>496,544</w:t>
            </w:r>
          </w:p>
        </w:tc>
        <w:tc>
          <w:tcPr>
            <w:tcW w:w="1255" w:type="dxa"/>
          </w:tcPr>
          <w:p w14:paraId="6417F563">
            <w:pPr>
              <w:pStyle w:val="37"/>
            </w:pPr>
            <w:r>
              <w:t>498,011</w:t>
            </w:r>
          </w:p>
        </w:tc>
      </w:tr>
      <w:tr w14:paraId="0BBBB9B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Borders>
              <w:bottom w:val="nil"/>
            </w:tcBorders>
          </w:tcPr>
          <w:p w14:paraId="26DB2759">
            <w:pPr>
              <w:pStyle w:val="37"/>
            </w:pPr>
            <w:r>
              <w:t>High</w:t>
            </w:r>
          </w:p>
        </w:tc>
        <w:tc>
          <w:tcPr>
            <w:tcW w:w="1415" w:type="dxa"/>
            <w:tcBorders>
              <w:bottom w:val="nil"/>
            </w:tcBorders>
          </w:tcPr>
          <w:p w14:paraId="4081484A">
            <w:r>
              <w:t>Floor area</w:t>
            </w:r>
          </w:p>
        </w:tc>
        <w:tc>
          <w:tcPr>
            <w:tcW w:w="1095" w:type="dxa"/>
            <w:tcBorders>
              <w:bottom w:val="nil"/>
            </w:tcBorders>
          </w:tcPr>
          <w:p w14:paraId="3ABF193F">
            <w:pPr>
              <w:pStyle w:val="37"/>
            </w:pPr>
            <w:r>
              <w:t>140.3</w:t>
            </w:r>
          </w:p>
        </w:tc>
        <w:tc>
          <w:tcPr>
            <w:tcW w:w="1255" w:type="dxa"/>
            <w:tcBorders>
              <w:bottom w:val="nil"/>
            </w:tcBorders>
          </w:tcPr>
          <w:p w14:paraId="503861F9">
            <w:pPr>
              <w:pStyle w:val="37"/>
            </w:pPr>
            <w:r>
              <w:t>140.7</w:t>
            </w:r>
          </w:p>
        </w:tc>
        <w:tc>
          <w:tcPr>
            <w:tcW w:w="1255" w:type="dxa"/>
            <w:tcBorders>
              <w:bottom w:val="nil"/>
            </w:tcBorders>
          </w:tcPr>
          <w:p w14:paraId="1E13705D">
            <w:pPr>
              <w:pStyle w:val="37"/>
            </w:pPr>
            <w:r>
              <w:t>141.2</w:t>
            </w:r>
          </w:p>
        </w:tc>
        <w:tc>
          <w:tcPr>
            <w:tcW w:w="1255" w:type="dxa"/>
            <w:tcBorders>
              <w:bottom w:val="nil"/>
            </w:tcBorders>
          </w:tcPr>
          <w:p w14:paraId="6ACA70A1">
            <w:pPr>
              <w:pStyle w:val="37"/>
            </w:pPr>
            <w:r>
              <w:t>141.6</w:t>
            </w:r>
          </w:p>
        </w:tc>
        <w:tc>
          <w:tcPr>
            <w:tcW w:w="1255" w:type="dxa"/>
            <w:tcBorders>
              <w:bottom w:val="nil"/>
            </w:tcBorders>
          </w:tcPr>
          <w:p w14:paraId="734FD050">
            <w:pPr>
              <w:pStyle w:val="37"/>
            </w:pPr>
            <w:r>
              <w:t>142.0</w:t>
            </w:r>
          </w:p>
        </w:tc>
        <w:tc>
          <w:tcPr>
            <w:tcW w:w="1255" w:type="dxa"/>
            <w:tcBorders>
              <w:bottom w:val="nil"/>
            </w:tcBorders>
          </w:tcPr>
          <w:p w14:paraId="57F788C5">
            <w:pPr>
              <w:pStyle w:val="37"/>
            </w:pPr>
            <w:r>
              <w:t>142.4</w:t>
            </w:r>
          </w:p>
        </w:tc>
        <w:tc>
          <w:tcPr>
            <w:tcW w:w="1255" w:type="dxa"/>
            <w:tcBorders>
              <w:bottom w:val="nil"/>
            </w:tcBorders>
          </w:tcPr>
          <w:p w14:paraId="4E46C335">
            <w:pPr>
              <w:pStyle w:val="37"/>
            </w:pPr>
            <w:r>
              <w:t>142.8</w:t>
            </w:r>
          </w:p>
        </w:tc>
      </w:tr>
      <w:tr w14:paraId="7AB0996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255" w:type="dxa"/>
            <w:tcBorders>
              <w:top w:val="nil"/>
              <w:bottom w:val="single" w:color="000000" w:sz="6" w:space="0"/>
            </w:tcBorders>
          </w:tcPr>
          <w:p w14:paraId="3BCFBBA7">
            <w:pPr>
              <w:pStyle w:val="37"/>
            </w:pPr>
            <w:r>
              <w:t>High</w:t>
            </w:r>
          </w:p>
        </w:tc>
        <w:tc>
          <w:tcPr>
            <w:tcW w:w="1415" w:type="dxa"/>
            <w:tcBorders>
              <w:top w:val="nil"/>
              <w:bottom w:val="single" w:color="000000" w:sz="6" w:space="0"/>
            </w:tcBorders>
          </w:tcPr>
          <w:p w14:paraId="2B5ED547">
            <w:r>
              <w:t xml:space="preserve">Land area </w:t>
            </w:r>
          </w:p>
        </w:tc>
        <w:tc>
          <w:tcPr>
            <w:tcW w:w="1095" w:type="dxa"/>
            <w:tcBorders>
              <w:top w:val="nil"/>
              <w:bottom w:val="single" w:color="000000" w:sz="6" w:space="0"/>
            </w:tcBorders>
          </w:tcPr>
          <w:p w14:paraId="7028D5F0">
            <w:pPr>
              <w:pStyle w:val="37"/>
            </w:pPr>
            <w:r>
              <w:t>85.3</w:t>
            </w:r>
          </w:p>
        </w:tc>
        <w:tc>
          <w:tcPr>
            <w:tcW w:w="1255" w:type="dxa"/>
            <w:tcBorders>
              <w:top w:val="nil"/>
              <w:bottom w:val="single" w:color="000000" w:sz="6" w:space="0"/>
            </w:tcBorders>
          </w:tcPr>
          <w:p w14:paraId="69A44D86">
            <w:pPr>
              <w:pStyle w:val="37"/>
            </w:pPr>
            <w:r>
              <w:t>85.7</w:t>
            </w:r>
          </w:p>
        </w:tc>
        <w:tc>
          <w:tcPr>
            <w:tcW w:w="1255" w:type="dxa"/>
            <w:tcBorders>
              <w:top w:val="nil"/>
              <w:bottom w:val="single" w:color="000000" w:sz="6" w:space="0"/>
            </w:tcBorders>
          </w:tcPr>
          <w:p w14:paraId="5F3EF8E7">
            <w:pPr>
              <w:pStyle w:val="37"/>
            </w:pPr>
            <w:r>
              <w:t>86.0</w:t>
            </w:r>
          </w:p>
        </w:tc>
        <w:tc>
          <w:tcPr>
            <w:tcW w:w="1255" w:type="dxa"/>
            <w:tcBorders>
              <w:top w:val="nil"/>
              <w:bottom w:val="single" w:color="000000" w:sz="6" w:space="0"/>
            </w:tcBorders>
          </w:tcPr>
          <w:p w14:paraId="0DDF8CFD">
            <w:pPr>
              <w:pStyle w:val="37"/>
            </w:pPr>
            <w:r>
              <w:t>86.3</w:t>
            </w:r>
          </w:p>
        </w:tc>
        <w:tc>
          <w:tcPr>
            <w:tcW w:w="1255" w:type="dxa"/>
            <w:tcBorders>
              <w:top w:val="nil"/>
              <w:bottom w:val="single" w:color="000000" w:sz="6" w:space="0"/>
            </w:tcBorders>
          </w:tcPr>
          <w:p w14:paraId="54307BEF">
            <w:pPr>
              <w:pStyle w:val="37"/>
            </w:pPr>
            <w:r>
              <w:t>86.6</w:t>
            </w:r>
          </w:p>
        </w:tc>
        <w:tc>
          <w:tcPr>
            <w:tcW w:w="1255" w:type="dxa"/>
            <w:tcBorders>
              <w:top w:val="nil"/>
              <w:bottom w:val="single" w:color="000000" w:sz="6" w:space="0"/>
            </w:tcBorders>
          </w:tcPr>
          <w:p w14:paraId="630F583D">
            <w:pPr>
              <w:pStyle w:val="37"/>
            </w:pPr>
            <w:r>
              <w:t>86.9</w:t>
            </w:r>
          </w:p>
        </w:tc>
        <w:tc>
          <w:tcPr>
            <w:tcW w:w="1255" w:type="dxa"/>
            <w:tcBorders>
              <w:top w:val="nil"/>
              <w:bottom w:val="single" w:color="000000" w:sz="6" w:space="0"/>
            </w:tcBorders>
          </w:tcPr>
          <w:p w14:paraId="5EB902E3">
            <w:pPr>
              <w:pStyle w:val="37"/>
            </w:pPr>
            <w:r>
              <w:t>87.2</w:t>
            </w:r>
          </w:p>
        </w:tc>
      </w:tr>
    </w:tbl>
    <w:p w14:paraId="63FAD811">
      <w:pPr>
        <w:pStyle w:val="35"/>
        <w:keepLines/>
      </w:pPr>
      <w:r>
        <w:t>Note: Rural results are latent settlement-renewal pressure under the common building diagnostic and do not imply formal programme inclusion. Floor area and land area are million m².</w:t>
      </w:r>
    </w:p>
    <w:p w14:paraId="293FEC8D">
      <w:pPr>
        <w:jc w:val="left"/>
        <w:rPr>
          <w:szCs w:val="19"/>
        </w:rPr>
      </w:pPr>
      <w:r>
        <w:br w:type="page"/>
      </w:r>
    </w:p>
    <w:p w14:paraId="1462B80A">
      <w:pPr>
        <w:pStyle w:val="33"/>
        <w:keepLines/>
      </w:pPr>
      <w:r>
        <w:t>Supplementary Table 11 | Crosswalk between census structure types and official rural replacement-value categories.</w:t>
      </w:r>
    </w:p>
    <w:tbl>
      <w:tblPr>
        <w:tblStyle w:val="6"/>
        <w:tblW w:w="0" w:type="auto"/>
        <w:tblCellSpacing w:w="15" w:type="dxa"/>
        <w:tblInd w:w="0" w:type="dxa"/>
        <w:tblBorders>
          <w:top w:val="single" w:color="000000" w:sz="6" w:space="0"/>
          <w:left w:val="none" w:color="auto" w:sz="0" w:space="0"/>
          <w:bottom w:val="single" w:color="000000" w:sz="6" w:space="0"/>
          <w:right w:val="none" w:color="auto" w:sz="0" w:space="0"/>
          <w:insideH w:val="none" w:color="auto" w:sz="0" w:space="0"/>
          <w:insideV w:val="none" w:color="auto" w:sz="0" w:space="0"/>
        </w:tblBorders>
        <w:tblLayout w:type="autofit"/>
        <w:tblCellMar>
          <w:top w:w="40" w:type="dxa"/>
          <w:left w:w="40" w:type="dxa"/>
          <w:bottom w:w="40" w:type="dxa"/>
          <w:right w:w="40" w:type="dxa"/>
        </w:tblCellMar>
      </w:tblPr>
      <w:tblGrid>
        <w:gridCol w:w="1335"/>
        <w:gridCol w:w="6049"/>
        <w:gridCol w:w="2017"/>
        <w:gridCol w:w="2032"/>
      </w:tblGrid>
      <w:tr w14:paraId="65409499">
        <w:trPr>
          <w:cantSplit/>
          <w:tblHeader/>
          <w:tblCellSpacing w:w="15" w:type="dxa"/>
        </w:trPr>
        <w:tc>
          <w:tcPr>
            <w:tcW w:w="1300" w:type="dxa"/>
            <w:tcBorders>
              <w:top w:val="nil"/>
              <w:bottom w:val="single" w:color="000000" w:sz="6" w:space="0"/>
            </w:tcBorders>
            <w:vAlign w:val="center"/>
          </w:tcPr>
          <w:p w14:paraId="2A3B10CE">
            <w:pPr>
              <w:pStyle w:val="36"/>
            </w:pPr>
            <w:r>
              <w:t>Census code</w:t>
            </w:r>
          </w:p>
        </w:tc>
        <w:tc>
          <w:tcPr>
            <w:tcW w:w="6100" w:type="dxa"/>
            <w:tcBorders>
              <w:top w:val="nil"/>
              <w:bottom w:val="single" w:color="000000" w:sz="6" w:space="0"/>
            </w:tcBorders>
            <w:vAlign w:val="center"/>
          </w:tcPr>
          <w:p w14:paraId="37007904">
            <w:pPr>
              <w:pStyle w:val="36"/>
            </w:pPr>
            <w:r>
              <w:t>Structure type</w:t>
            </w:r>
          </w:p>
        </w:tc>
        <w:tc>
          <w:tcPr>
            <w:tcW w:w="2000" w:type="dxa"/>
            <w:tcBorders>
              <w:top w:val="nil"/>
              <w:bottom w:val="single" w:color="000000" w:sz="6" w:space="0"/>
            </w:tcBorders>
            <w:vAlign w:val="center"/>
          </w:tcPr>
          <w:p w14:paraId="282F618D">
            <w:pPr>
              <w:pStyle w:val="36"/>
            </w:pPr>
            <w:r>
              <w:t>Lower replacement value, CNY m⁻²</w:t>
            </w:r>
          </w:p>
        </w:tc>
        <w:tc>
          <w:tcPr>
            <w:tcW w:w="2000" w:type="dxa"/>
            <w:tcBorders>
              <w:top w:val="nil"/>
              <w:bottom w:val="single" w:color="000000" w:sz="6" w:space="0"/>
            </w:tcBorders>
            <w:vAlign w:val="center"/>
          </w:tcPr>
          <w:p w14:paraId="3CBE228F">
            <w:pPr>
              <w:pStyle w:val="36"/>
            </w:pPr>
            <w:r>
              <w:t>Upper replacement value, CNY m⁻²</w:t>
            </w:r>
          </w:p>
        </w:tc>
      </w:tr>
      <w:tr w14:paraId="7A467F5E">
        <w:trPr>
          <w:cantSplit/>
          <w:tblCellSpacing w:w="15" w:type="dxa"/>
        </w:trPr>
        <w:tc>
          <w:tcPr>
            <w:tcW w:w="1300" w:type="dxa"/>
            <w:vAlign w:val="center"/>
          </w:tcPr>
          <w:p w14:paraId="7991AAD0">
            <w:pPr>
              <w:pStyle w:val="37"/>
            </w:pPr>
            <w:r>
              <w:t>1100</w:t>
            </w:r>
          </w:p>
        </w:tc>
        <w:tc>
          <w:tcPr>
            <w:tcW w:w="6100" w:type="dxa"/>
            <w:vAlign w:val="center"/>
          </w:tcPr>
          <w:p w14:paraId="6452E9B7">
            <w:pPr>
              <w:pStyle w:val="37"/>
            </w:pPr>
            <w:r>
              <w:t>Brick–concrete, stone–concrete and stone structures</w:t>
            </w:r>
          </w:p>
        </w:tc>
        <w:tc>
          <w:tcPr>
            <w:tcW w:w="2000" w:type="dxa"/>
            <w:vAlign w:val="center"/>
          </w:tcPr>
          <w:p w14:paraId="5BDD10EF">
            <w:pPr>
              <w:pStyle w:val="37"/>
            </w:pPr>
            <w:r>
              <w:t>650</w:t>
            </w:r>
          </w:p>
        </w:tc>
        <w:tc>
          <w:tcPr>
            <w:tcW w:w="2000" w:type="dxa"/>
            <w:vAlign w:val="center"/>
          </w:tcPr>
          <w:p w14:paraId="4ADF798A">
            <w:pPr>
              <w:pStyle w:val="37"/>
            </w:pPr>
            <w:r>
              <w:t>930</w:t>
            </w:r>
          </w:p>
        </w:tc>
      </w:tr>
      <w:tr w14:paraId="0049EAD5">
        <w:trPr>
          <w:cantSplit/>
          <w:tblCellSpacing w:w="15" w:type="dxa"/>
        </w:trPr>
        <w:tc>
          <w:tcPr>
            <w:tcW w:w="1300" w:type="dxa"/>
            <w:vAlign w:val="center"/>
          </w:tcPr>
          <w:p w14:paraId="7D9129FD">
            <w:pPr>
              <w:pStyle w:val="37"/>
            </w:pPr>
            <w:r>
              <w:t>1200</w:t>
            </w:r>
          </w:p>
        </w:tc>
        <w:tc>
          <w:tcPr>
            <w:tcW w:w="6100" w:type="dxa"/>
            <w:vAlign w:val="center"/>
          </w:tcPr>
          <w:p w14:paraId="4504BE07">
            <w:pPr>
              <w:pStyle w:val="37"/>
            </w:pPr>
            <w:r>
              <w:t>Brick–timber, stone–timber and earth–timber structures</w:t>
            </w:r>
          </w:p>
        </w:tc>
        <w:tc>
          <w:tcPr>
            <w:tcW w:w="2000" w:type="dxa"/>
            <w:vAlign w:val="center"/>
          </w:tcPr>
          <w:p w14:paraId="61FAFAC4">
            <w:pPr>
              <w:pStyle w:val="37"/>
            </w:pPr>
            <w:r>
              <w:t>520</w:t>
            </w:r>
          </w:p>
        </w:tc>
        <w:tc>
          <w:tcPr>
            <w:tcW w:w="2000" w:type="dxa"/>
            <w:vAlign w:val="center"/>
          </w:tcPr>
          <w:p w14:paraId="74732471">
            <w:pPr>
              <w:pStyle w:val="37"/>
            </w:pPr>
            <w:r>
              <w:t>720</w:t>
            </w:r>
          </w:p>
        </w:tc>
      </w:tr>
      <w:tr w14:paraId="3CACA2EE">
        <w:trPr>
          <w:cantSplit/>
          <w:tblCellSpacing w:w="15" w:type="dxa"/>
        </w:trPr>
        <w:tc>
          <w:tcPr>
            <w:tcW w:w="1300" w:type="dxa"/>
            <w:vAlign w:val="center"/>
          </w:tcPr>
          <w:p w14:paraId="2EC29086">
            <w:pPr>
              <w:pStyle w:val="37"/>
            </w:pPr>
            <w:r>
              <w:t>1300</w:t>
            </w:r>
          </w:p>
        </w:tc>
        <w:tc>
          <w:tcPr>
            <w:tcW w:w="6100" w:type="dxa"/>
            <w:vAlign w:val="center"/>
          </w:tcPr>
          <w:p w14:paraId="792F1F6C">
            <w:pPr>
              <w:pStyle w:val="37"/>
            </w:pPr>
            <w:r>
              <w:t>Earth–timber and stone–timber structures</w:t>
            </w:r>
          </w:p>
        </w:tc>
        <w:tc>
          <w:tcPr>
            <w:tcW w:w="2000" w:type="dxa"/>
            <w:vAlign w:val="center"/>
          </w:tcPr>
          <w:p w14:paraId="1FD56A0C">
            <w:pPr>
              <w:pStyle w:val="37"/>
            </w:pPr>
            <w:r>
              <w:t>540</w:t>
            </w:r>
          </w:p>
        </w:tc>
        <w:tc>
          <w:tcPr>
            <w:tcW w:w="2000" w:type="dxa"/>
            <w:vAlign w:val="center"/>
          </w:tcPr>
          <w:p w14:paraId="595212EB">
            <w:pPr>
              <w:pStyle w:val="37"/>
            </w:pPr>
            <w:r>
              <w:t>720</w:t>
            </w:r>
          </w:p>
        </w:tc>
      </w:tr>
      <w:tr w14:paraId="20FC395D">
        <w:trPr>
          <w:cantSplit/>
          <w:tblCellSpacing w:w="15" w:type="dxa"/>
        </w:trPr>
        <w:tc>
          <w:tcPr>
            <w:tcW w:w="1300" w:type="dxa"/>
            <w:vAlign w:val="center"/>
          </w:tcPr>
          <w:p w14:paraId="45F34AF8">
            <w:pPr>
              <w:pStyle w:val="37"/>
            </w:pPr>
            <w:r>
              <w:t>1400</w:t>
            </w:r>
          </w:p>
        </w:tc>
        <w:tc>
          <w:tcPr>
            <w:tcW w:w="6100" w:type="dxa"/>
            <w:vAlign w:val="center"/>
          </w:tcPr>
          <w:p w14:paraId="218FE303">
            <w:pPr>
              <w:pStyle w:val="37"/>
            </w:pPr>
            <w:r>
              <w:t>Brick–timber, earth–timber, stone–timber, stone–concrete and brick–concrete structures</w:t>
            </w:r>
          </w:p>
        </w:tc>
        <w:tc>
          <w:tcPr>
            <w:tcW w:w="2000" w:type="dxa"/>
            <w:vAlign w:val="center"/>
          </w:tcPr>
          <w:p w14:paraId="2804B88B">
            <w:pPr>
              <w:pStyle w:val="37"/>
            </w:pPr>
            <w:r>
              <w:t>520</w:t>
            </w:r>
          </w:p>
        </w:tc>
        <w:tc>
          <w:tcPr>
            <w:tcW w:w="2000" w:type="dxa"/>
            <w:vAlign w:val="center"/>
          </w:tcPr>
          <w:p w14:paraId="582866CA">
            <w:pPr>
              <w:pStyle w:val="37"/>
            </w:pPr>
            <w:r>
              <w:t>930</w:t>
            </w:r>
          </w:p>
        </w:tc>
      </w:tr>
      <w:tr w14:paraId="1E7C059F">
        <w:trPr>
          <w:cantSplit/>
          <w:tblCellSpacing w:w="15" w:type="dxa"/>
        </w:trPr>
        <w:tc>
          <w:tcPr>
            <w:tcW w:w="1300" w:type="dxa"/>
            <w:vAlign w:val="center"/>
          </w:tcPr>
          <w:p w14:paraId="0731606F">
            <w:pPr>
              <w:pStyle w:val="37"/>
            </w:pPr>
            <w:r>
              <w:t>1500</w:t>
            </w:r>
          </w:p>
        </w:tc>
        <w:tc>
          <w:tcPr>
            <w:tcW w:w="6100" w:type="dxa"/>
            <w:vAlign w:val="center"/>
          </w:tcPr>
          <w:p w14:paraId="0C4D25EB">
            <w:pPr>
              <w:pStyle w:val="37"/>
            </w:pPr>
            <w:r>
              <w:t>Earth–timber structure</w:t>
            </w:r>
          </w:p>
        </w:tc>
        <w:tc>
          <w:tcPr>
            <w:tcW w:w="2000" w:type="dxa"/>
            <w:vAlign w:val="center"/>
          </w:tcPr>
          <w:p w14:paraId="06B46691">
            <w:pPr>
              <w:pStyle w:val="37"/>
            </w:pPr>
            <w:r>
              <w:t>540</w:t>
            </w:r>
          </w:p>
        </w:tc>
        <w:tc>
          <w:tcPr>
            <w:tcW w:w="2000" w:type="dxa"/>
            <w:vAlign w:val="center"/>
          </w:tcPr>
          <w:p w14:paraId="51CF7302">
            <w:pPr>
              <w:pStyle w:val="37"/>
            </w:pPr>
            <w:r>
              <w:t>620</w:t>
            </w:r>
          </w:p>
        </w:tc>
      </w:tr>
      <w:tr w14:paraId="2A554536">
        <w:trPr>
          <w:cantSplit/>
          <w:tblCellSpacing w:w="15" w:type="dxa"/>
        </w:trPr>
        <w:tc>
          <w:tcPr>
            <w:tcW w:w="1300" w:type="dxa"/>
            <w:vAlign w:val="center"/>
          </w:tcPr>
          <w:p w14:paraId="16F05BD6">
            <w:pPr>
              <w:pStyle w:val="37"/>
            </w:pPr>
            <w:r>
              <w:t>1600</w:t>
            </w:r>
          </w:p>
        </w:tc>
        <w:tc>
          <w:tcPr>
            <w:tcW w:w="6100" w:type="dxa"/>
            <w:vAlign w:val="center"/>
          </w:tcPr>
          <w:p w14:paraId="1DFFE7A0">
            <w:pPr>
              <w:pStyle w:val="37"/>
            </w:pPr>
            <w:r>
              <w:t>Frame structure</w:t>
            </w:r>
          </w:p>
        </w:tc>
        <w:tc>
          <w:tcPr>
            <w:tcW w:w="2000" w:type="dxa"/>
            <w:vAlign w:val="center"/>
          </w:tcPr>
          <w:p w14:paraId="7D65B884">
            <w:pPr>
              <w:pStyle w:val="37"/>
            </w:pPr>
            <w:r>
              <w:t>710</w:t>
            </w:r>
          </w:p>
        </w:tc>
        <w:tc>
          <w:tcPr>
            <w:tcW w:w="2000" w:type="dxa"/>
            <w:vAlign w:val="center"/>
          </w:tcPr>
          <w:p w14:paraId="4264A686">
            <w:pPr>
              <w:pStyle w:val="37"/>
            </w:pPr>
            <w:r>
              <w:t>1030</w:t>
            </w:r>
          </w:p>
        </w:tc>
      </w:tr>
      <w:tr w14:paraId="5C72F947">
        <w:trPr>
          <w:cantSplit/>
          <w:tblCellSpacing w:w="15" w:type="dxa"/>
        </w:trPr>
        <w:tc>
          <w:tcPr>
            <w:tcW w:w="1300" w:type="dxa"/>
            <w:vAlign w:val="center"/>
          </w:tcPr>
          <w:p w14:paraId="244CFCFD">
            <w:pPr>
              <w:pStyle w:val="37"/>
            </w:pPr>
            <w:r>
              <w:t>1700</w:t>
            </w:r>
          </w:p>
        </w:tc>
        <w:tc>
          <w:tcPr>
            <w:tcW w:w="6100" w:type="dxa"/>
            <w:vAlign w:val="center"/>
          </w:tcPr>
          <w:p w14:paraId="38923D9E">
            <w:pPr>
              <w:pStyle w:val="37"/>
            </w:pPr>
            <w:r>
              <w:t>Frame structure</w:t>
            </w:r>
          </w:p>
        </w:tc>
        <w:tc>
          <w:tcPr>
            <w:tcW w:w="2000" w:type="dxa"/>
            <w:vAlign w:val="center"/>
          </w:tcPr>
          <w:p w14:paraId="5D52A9B8">
            <w:pPr>
              <w:pStyle w:val="37"/>
            </w:pPr>
            <w:r>
              <w:t>710</w:t>
            </w:r>
          </w:p>
        </w:tc>
        <w:tc>
          <w:tcPr>
            <w:tcW w:w="2000" w:type="dxa"/>
            <w:vAlign w:val="center"/>
          </w:tcPr>
          <w:p w14:paraId="4745D115">
            <w:pPr>
              <w:pStyle w:val="37"/>
            </w:pPr>
            <w:r>
              <w:t>1030</w:t>
            </w:r>
          </w:p>
        </w:tc>
      </w:tr>
      <w:tr w14:paraId="6747B119">
        <w:trPr>
          <w:cantSplit/>
          <w:tblCellSpacing w:w="15" w:type="dxa"/>
        </w:trPr>
        <w:tc>
          <w:tcPr>
            <w:tcW w:w="1300" w:type="dxa"/>
            <w:vAlign w:val="center"/>
          </w:tcPr>
          <w:p w14:paraId="41D21327">
            <w:pPr>
              <w:pStyle w:val="37"/>
            </w:pPr>
            <w:r>
              <w:t>9999</w:t>
            </w:r>
          </w:p>
        </w:tc>
        <w:tc>
          <w:tcPr>
            <w:tcW w:w="6100" w:type="dxa"/>
            <w:vAlign w:val="center"/>
          </w:tcPr>
          <w:p w14:paraId="33358A66">
            <w:pPr>
              <w:pStyle w:val="37"/>
            </w:pPr>
            <w:r>
              <w:t>Full ordinary residential structure range</w:t>
            </w:r>
          </w:p>
        </w:tc>
        <w:tc>
          <w:tcPr>
            <w:tcW w:w="2000" w:type="dxa"/>
            <w:vAlign w:val="center"/>
          </w:tcPr>
          <w:p w14:paraId="280B2C9E">
            <w:pPr>
              <w:pStyle w:val="37"/>
            </w:pPr>
            <w:r>
              <w:t>520</w:t>
            </w:r>
          </w:p>
        </w:tc>
        <w:tc>
          <w:tcPr>
            <w:tcW w:w="2000" w:type="dxa"/>
            <w:vAlign w:val="center"/>
          </w:tcPr>
          <w:p w14:paraId="4FBB80C4">
            <w:pPr>
              <w:pStyle w:val="37"/>
            </w:pPr>
            <w:r>
              <w:t>1030</w:t>
            </w:r>
          </w:p>
        </w:tc>
      </w:tr>
    </w:tbl>
    <w:p w14:paraId="4461FA60">
      <w:pPr>
        <w:pStyle w:val="35"/>
        <w:keepLines/>
      </w:pPr>
      <w:r>
        <w:t>Note: Official replacement-value intervals are used to construct lower and upper rural demolition-compensation bounds.</w:t>
      </w:r>
    </w:p>
    <w:p w14:paraId="7DCF1D19">
      <w:pPr>
        <w:jc w:val="left"/>
        <w:rPr>
          <w:szCs w:val="19"/>
        </w:rPr>
      </w:pPr>
      <w:r>
        <w:br w:type="page"/>
      </w:r>
    </w:p>
    <w:p w14:paraId="0D9C3B53">
      <w:pPr>
        <w:pStyle w:val="33"/>
        <w:keepLines/>
      </w:pPr>
      <w:r>
        <w:t>Supplementary Table 12 | Building newness coefficients used in rural residential compensation.</w:t>
      </w:r>
    </w:p>
    <w:tbl>
      <w:tblPr>
        <w:tblStyle w:val="6"/>
        <w:tblW w:w="5000" w:type="pct"/>
        <w:tblCellSpacing w:w="15" w:type="dxa"/>
        <w:tblInd w:w="0" w:type="dxa"/>
        <w:tblBorders>
          <w:top w:val="single" w:color="000000" w:sz="6" w:space="0"/>
          <w:left w:val="none" w:color="auto" w:sz="0" w:space="0"/>
          <w:bottom w:val="single" w:color="000000" w:sz="6" w:space="0"/>
          <w:right w:val="none" w:color="auto" w:sz="0" w:space="0"/>
          <w:insideH w:val="none" w:color="auto" w:sz="0" w:space="0"/>
          <w:insideV w:val="none" w:color="auto" w:sz="0" w:space="0"/>
        </w:tblBorders>
        <w:tblLayout w:type="autofit"/>
        <w:tblCellMar>
          <w:top w:w="40" w:type="dxa"/>
          <w:left w:w="40" w:type="dxa"/>
          <w:bottom w:w="40" w:type="dxa"/>
          <w:right w:w="40" w:type="dxa"/>
        </w:tblCellMar>
      </w:tblPr>
      <w:tblGrid>
        <w:gridCol w:w="4571"/>
        <w:gridCol w:w="6862"/>
      </w:tblGrid>
      <w:tr w14:paraId="54D94DBA">
        <w:trPr>
          <w:cantSplit/>
          <w:tblHeader/>
          <w:tblCellSpacing w:w="15" w:type="dxa"/>
        </w:trPr>
        <w:tc>
          <w:tcPr>
            <w:tcW w:w="1940" w:type="pct"/>
            <w:tcBorders>
              <w:top w:val="nil"/>
              <w:bottom w:val="single" w:color="000000" w:sz="6" w:space="0"/>
            </w:tcBorders>
            <w:vAlign w:val="center"/>
          </w:tcPr>
          <w:p w14:paraId="3D9CA0B7">
            <w:pPr>
              <w:pStyle w:val="36"/>
            </w:pPr>
            <w:r>
              <w:t>Building age</w:t>
            </w:r>
          </w:p>
        </w:tc>
        <w:tc>
          <w:tcPr>
            <w:tcW w:w="2922" w:type="pct"/>
            <w:tcBorders>
              <w:top w:val="nil"/>
              <w:bottom w:val="single" w:color="000000" w:sz="6" w:space="0"/>
            </w:tcBorders>
            <w:vAlign w:val="center"/>
          </w:tcPr>
          <w:p w14:paraId="3CCE63D9">
            <w:pPr>
              <w:pStyle w:val="36"/>
            </w:pPr>
            <w:r>
              <w:t>Newness coefficient</w:t>
            </w:r>
          </w:p>
        </w:tc>
      </w:tr>
      <w:tr w14:paraId="18851278">
        <w:trPr>
          <w:cantSplit/>
          <w:tblCellSpacing w:w="15" w:type="dxa"/>
        </w:trPr>
        <w:tc>
          <w:tcPr>
            <w:tcW w:w="1940" w:type="pct"/>
            <w:vAlign w:val="center"/>
          </w:tcPr>
          <w:p w14:paraId="2F87C6DE">
            <w:pPr>
              <w:pStyle w:val="37"/>
            </w:pPr>
            <w:r>
              <w:t>1–5</w:t>
            </w:r>
          </w:p>
        </w:tc>
        <w:tc>
          <w:tcPr>
            <w:tcW w:w="2922" w:type="pct"/>
            <w:vAlign w:val="center"/>
          </w:tcPr>
          <w:p w14:paraId="06E4F484">
            <w:pPr>
              <w:pStyle w:val="37"/>
            </w:pPr>
            <w:r>
              <w:t>1.00</w:t>
            </w:r>
          </w:p>
        </w:tc>
      </w:tr>
      <w:tr w14:paraId="266C95AC">
        <w:trPr>
          <w:cantSplit/>
          <w:tblCellSpacing w:w="15" w:type="dxa"/>
        </w:trPr>
        <w:tc>
          <w:tcPr>
            <w:tcW w:w="1940" w:type="pct"/>
            <w:vAlign w:val="center"/>
          </w:tcPr>
          <w:p w14:paraId="44224702">
            <w:pPr>
              <w:pStyle w:val="37"/>
            </w:pPr>
            <w:r>
              <w:t>6–10</w:t>
            </w:r>
          </w:p>
        </w:tc>
        <w:tc>
          <w:tcPr>
            <w:tcW w:w="2922" w:type="pct"/>
            <w:vAlign w:val="center"/>
          </w:tcPr>
          <w:p w14:paraId="720AE127">
            <w:pPr>
              <w:pStyle w:val="37"/>
            </w:pPr>
            <w:r>
              <w:t>0.97</w:t>
            </w:r>
          </w:p>
        </w:tc>
      </w:tr>
      <w:tr w14:paraId="77C30927">
        <w:trPr>
          <w:cantSplit/>
          <w:tblCellSpacing w:w="15" w:type="dxa"/>
        </w:trPr>
        <w:tc>
          <w:tcPr>
            <w:tcW w:w="1940" w:type="pct"/>
            <w:vAlign w:val="center"/>
          </w:tcPr>
          <w:p w14:paraId="2EB6AEBE">
            <w:pPr>
              <w:pStyle w:val="37"/>
            </w:pPr>
            <w:r>
              <w:t>11–20</w:t>
            </w:r>
          </w:p>
        </w:tc>
        <w:tc>
          <w:tcPr>
            <w:tcW w:w="2922" w:type="pct"/>
            <w:vAlign w:val="center"/>
          </w:tcPr>
          <w:p w14:paraId="315A7EE6">
            <w:pPr>
              <w:pStyle w:val="37"/>
            </w:pPr>
            <w:r>
              <w:t>0.95</w:t>
            </w:r>
          </w:p>
        </w:tc>
      </w:tr>
      <w:tr w14:paraId="28DF120D">
        <w:trPr>
          <w:cantSplit/>
          <w:tblCellSpacing w:w="15" w:type="dxa"/>
        </w:trPr>
        <w:tc>
          <w:tcPr>
            <w:tcW w:w="1940" w:type="pct"/>
            <w:vAlign w:val="center"/>
          </w:tcPr>
          <w:p w14:paraId="104327F0">
            <w:pPr>
              <w:pStyle w:val="37"/>
            </w:pPr>
            <w:r>
              <w:t>21–30</w:t>
            </w:r>
          </w:p>
        </w:tc>
        <w:tc>
          <w:tcPr>
            <w:tcW w:w="2922" w:type="pct"/>
            <w:vAlign w:val="center"/>
          </w:tcPr>
          <w:p w14:paraId="7B5FE4F2">
            <w:pPr>
              <w:pStyle w:val="37"/>
            </w:pPr>
            <w:r>
              <w:t>0.90</w:t>
            </w:r>
          </w:p>
        </w:tc>
      </w:tr>
      <w:tr w14:paraId="0781978C">
        <w:trPr>
          <w:cantSplit/>
          <w:tblCellSpacing w:w="15" w:type="dxa"/>
        </w:trPr>
        <w:tc>
          <w:tcPr>
            <w:tcW w:w="1940" w:type="pct"/>
            <w:vAlign w:val="center"/>
          </w:tcPr>
          <w:p w14:paraId="10C43333">
            <w:pPr>
              <w:pStyle w:val="37"/>
            </w:pPr>
            <w:r>
              <w:t>More than 30</w:t>
            </w:r>
          </w:p>
        </w:tc>
        <w:tc>
          <w:tcPr>
            <w:tcW w:w="2922" w:type="pct"/>
            <w:vAlign w:val="center"/>
          </w:tcPr>
          <w:p w14:paraId="51ECE106">
            <w:pPr>
              <w:pStyle w:val="37"/>
            </w:pPr>
            <w:r>
              <w:t>0.85</w:t>
            </w:r>
          </w:p>
        </w:tc>
      </w:tr>
    </w:tbl>
    <w:p w14:paraId="119F8CB6">
      <w:pPr>
        <w:pStyle w:val="35"/>
        <w:keepLines/>
      </w:pPr>
      <w:r>
        <w:t>Note: The coefficient ηᵢ adjusts the rural structural replacement-cost component for building age.</w:t>
      </w:r>
    </w:p>
    <w:p w14:paraId="30E5D418">
      <w:pPr>
        <w:jc w:val="left"/>
        <w:rPr>
          <w:szCs w:val="19"/>
        </w:rPr>
      </w:pPr>
      <w:r>
        <w:br w:type="page"/>
      </w:r>
    </w:p>
    <w:p w14:paraId="7C067C79">
      <w:pPr>
        <w:pStyle w:val="33"/>
        <w:keepLines/>
      </w:pPr>
      <w:r>
        <w:t>Supplementary Table 13 | Cumulative and five-year pathway costs under demolition and in situ renewal, 2020–2050.</w:t>
      </w:r>
    </w:p>
    <w:tbl>
      <w:tblPr>
        <w:tblStyle w:val="6"/>
        <w:tblW w:w="0" w:type="auto"/>
        <w:tblInd w:w="0" w:type="dxa"/>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13"/>
        <w:gridCol w:w="1613"/>
        <w:gridCol w:w="1613"/>
        <w:gridCol w:w="1613"/>
        <w:gridCol w:w="1613"/>
        <w:gridCol w:w="1613"/>
        <w:gridCol w:w="1613"/>
      </w:tblGrid>
      <w:tr w14:paraId="43DAE397">
        <w:trPr>
          <w:cantSplit/>
          <w:tblHeader/>
        </w:trPr>
        <w:tc>
          <w:tcPr>
            <w:tcW w:w="11291" w:type="dxa"/>
            <w:gridSpan w:val="7"/>
            <w:tcBorders>
              <w:top w:val="single" w:color="000000" w:sz="6" w:space="0"/>
              <w:bottom w:val="single" w:color="000000" w:sz="6" w:space="0"/>
            </w:tcBorders>
          </w:tcPr>
          <w:p w14:paraId="1FE23368">
            <w:pPr>
              <w:pStyle w:val="34"/>
              <w:keepLines/>
            </w:pPr>
            <w:r>
              <w:t>Panel A. Cumulative pathway cost exposure by benchmark year (billion yuan)</w:t>
            </w:r>
          </w:p>
        </w:tc>
      </w:tr>
      <w:tr w14:paraId="3A32B483">
        <w:trPr>
          <w:cantSplit/>
        </w:trPr>
        <w:tc>
          <w:tcPr>
            <w:tcW w:w="1613" w:type="dxa"/>
            <w:tcBorders>
              <w:top w:val="single" w:color="000000" w:sz="6" w:space="0"/>
              <w:bottom w:val="single" w:color="000000" w:sz="6" w:space="0"/>
            </w:tcBorders>
          </w:tcPr>
          <w:p w14:paraId="3F59E448">
            <w:r>
              <w:t>Year/interval</w:t>
            </w:r>
          </w:p>
        </w:tc>
        <w:tc>
          <w:tcPr>
            <w:tcW w:w="1613" w:type="dxa"/>
            <w:tcBorders>
              <w:top w:val="single" w:color="000000" w:sz="6" w:space="0"/>
              <w:bottom w:val="single" w:color="000000" w:sz="6" w:space="0"/>
            </w:tcBorders>
          </w:tcPr>
          <w:p w14:paraId="7697827B">
            <w:r>
              <w:t>Low demolition</w:t>
            </w:r>
          </w:p>
        </w:tc>
        <w:tc>
          <w:tcPr>
            <w:tcW w:w="1613" w:type="dxa"/>
            <w:tcBorders>
              <w:top w:val="single" w:color="000000" w:sz="6" w:space="0"/>
              <w:bottom w:val="single" w:color="000000" w:sz="6" w:space="0"/>
            </w:tcBorders>
          </w:tcPr>
          <w:p w14:paraId="2D75B134">
            <w:r>
              <w:t>Low in situ</w:t>
            </w:r>
          </w:p>
        </w:tc>
        <w:tc>
          <w:tcPr>
            <w:tcW w:w="1613" w:type="dxa"/>
            <w:tcBorders>
              <w:top w:val="single" w:color="000000" w:sz="6" w:space="0"/>
              <w:bottom w:val="single" w:color="000000" w:sz="6" w:space="0"/>
            </w:tcBorders>
          </w:tcPr>
          <w:p w14:paraId="171BEFEF">
            <w:r>
              <w:t>Medium demolition</w:t>
            </w:r>
          </w:p>
        </w:tc>
        <w:tc>
          <w:tcPr>
            <w:tcW w:w="1613" w:type="dxa"/>
            <w:tcBorders>
              <w:top w:val="single" w:color="000000" w:sz="6" w:space="0"/>
              <w:bottom w:val="single" w:color="000000" w:sz="6" w:space="0"/>
            </w:tcBorders>
          </w:tcPr>
          <w:p w14:paraId="25D067B6">
            <w:r>
              <w:t>Medium in situ</w:t>
            </w:r>
          </w:p>
        </w:tc>
        <w:tc>
          <w:tcPr>
            <w:tcW w:w="1613" w:type="dxa"/>
            <w:tcBorders>
              <w:top w:val="single" w:color="000000" w:sz="6" w:space="0"/>
              <w:bottom w:val="single" w:color="000000" w:sz="6" w:space="0"/>
            </w:tcBorders>
          </w:tcPr>
          <w:p w14:paraId="47277A52">
            <w:r>
              <w:t>High demolition</w:t>
            </w:r>
          </w:p>
        </w:tc>
        <w:tc>
          <w:tcPr>
            <w:tcW w:w="1613" w:type="dxa"/>
            <w:tcBorders>
              <w:top w:val="single" w:color="000000" w:sz="6" w:space="0"/>
              <w:bottom w:val="single" w:color="000000" w:sz="6" w:space="0"/>
            </w:tcBorders>
          </w:tcPr>
          <w:p w14:paraId="508C8763">
            <w:r>
              <w:t>High in situ</w:t>
            </w:r>
          </w:p>
        </w:tc>
      </w:tr>
      <w:tr w14:paraId="173F7CB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Borders>
              <w:top w:val="single" w:color="000000" w:sz="6" w:space="0"/>
            </w:tcBorders>
          </w:tcPr>
          <w:p w14:paraId="4643CD5F">
            <w:r>
              <w:t>2020</w:t>
            </w:r>
          </w:p>
        </w:tc>
        <w:tc>
          <w:tcPr>
            <w:tcW w:w="1613" w:type="dxa"/>
            <w:tcBorders>
              <w:top w:val="single" w:color="000000" w:sz="6" w:space="0"/>
            </w:tcBorders>
          </w:tcPr>
          <w:p w14:paraId="322A8FCD">
            <w:r>
              <w:t>281.9–475.3</w:t>
            </w:r>
          </w:p>
        </w:tc>
        <w:tc>
          <w:tcPr>
            <w:tcW w:w="1613" w:type="dxa"/>
            <w:tcBorders>
              <w:top w:val="single" w:color="000000" w:sz="6" w:space="0"/>
            </w:tcBorders>
          </w:tcPr>
          <w:p w14:paraId="25DB8098">
            <w:r>
              <w:t>7.2–17.9</w:t>
            </w:r>
          </w:p>
        </w:tc>
        <w:tc>
          <w:tcPr>
            <w:tcW w:w="1613" w:type="dxa"/>
            <w:tcBorders>
              <w:top w:val="single" w:color="000000" w:sz="6" w:space="0"/>
            </w:tcBorders>
          </w:tcPr>
          <w:p w14:paraId="70E107E1">
            <w:r>
              <w:t>281.9–475.3</w:t>
            </w:r>
          </w:p>
        </w:tc>
        <w:tc>
          <w:tcPr>
            <w:tcW w:w="1613" w:type="dxa"/>
            <w:tcBorders>
              <w:top w:val="single" w:color="000000" w:sz="6" w:space="0"/>
            </w:tcBorders>
          </w:tcPr>
          <w:p w14:paraId="03F83994">
            <w:r>
              <w:t>7.2–17.9</w:t>
            </w:r>
          </w:p>
        </w:tc>
        <w:tc>
          <w:tcPr>
            <w:tcW w:w="1613" w:type="dxa"/>
            <w:tcBorders>
              <w:top w:val="single" w:color="000000" w:sz="6" w:space="0"/>
            </w:tcBorders>
          </w:tcPr>
          <w:p w14:paraId="64C59989">
            <w:r>
              <w:t>281.9–475.3</w:t>
            </w:r>
          </w:p>
        </w:tc>
        <w:tc>
          <w:tcPr>
            <w:tcW w:w="1613" w:type="dxa"/>
            <w:tcBorders>
              <w:top w:val="single" w:color="000000" w:sz="6" w:space="0"/>
            </w:tcBorders>
          </w:tcPr>
          <w:p w14:paraId="0BA01482">
            <w:r>
              <w:t>7.2–17.9</w:t>
            </w:r>
          </w:p>
        </w:tc>
      </w:tr>
      <w:tr w14:paraId="4B54538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Pr>
          <w:p w14:paraId="79A163BB">
            <w:r>
              <w:t>2025</w:t>
            </w:r>
          </w:p>
        </w:tc>
        <w:tc>
          <w:tcPr>
            <w:tcW w:w="1613" w:type="dxa"/>
          </w:tcPr>
          <w:p w14:paraId="3F7BED8D">
            <w:r>
              <w:t>291.8–486.8</w:t>
            </w:r>
          </w:p>
        </w:tc>
        <w:tc>
          <w:tcPr>
            <w:tcW w:w="1613" w:type="dxa"/>
          </w:tcPr>
          <w:p w14:paraId="1055145D">
            <w:r>
              <w:t>7.3–18.1</w:t>
            </w:r>
          </w:p>
        </w:tc>
        <w:tc>
          <w:tcPr>
            <w:tcW w:w="1613" w:type="dxa"/>
          </w:tcPr>
          <w:p w14:paraId="2AFAFAF8">
            <w:r>
              <w:t>292.1–487.0</w:t>
            </w:r>
          </w:p>
        </w:tc>
        <w:tc>
          <w:tcPr>
            <w:tcW w:w="1613" w:type="dxa"/>
          </w:tcPr>
          <w:p w14:paraId="797AC4FF">
            <w:r>
              <w:t>7.3–18.1</w:t>
            </w:r>
          </w:p>
        </w:tc>
        <w:tc>
          <w:tcPr>
            <w:tcW w:w="1613" w:type="dxa"/>
          </w:tcPr>
          <w:p w14:paraId="75E460B9">
            <w:r>
              <w:t>292.1–487.0</w:t>
            </w:r>
          </w:p>
        </w:tc>
        <w:tc>
          <w:tcPr>
            <w:tcW w:w="1613" w:type="dxa"/>
          </w:tcPr>
          <w:p w14:paraId="555F7D3C">
            <w:r>
              <w:t>7.3–18.1</w:t>
            </w:r>
          </w:p>
        </w:tc>
      </w:tr>
      <w:tr w14:paraId="5E1A2AA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Pr>
          <w:p w14:paraId="7D14DE4B">
            <w:r>
              <w:t>2030</w:t>
            </w:r>
          </w:p>
        </w:tc>
        <w:tc>
          <w:tcPr>
            <w:tcW w:w="1613" w:type="dxa"/>
          </w:tcPr>
          <w:p w14:paraId="24A0E04E">
            <w:r>
              <w:t>297.7–493.7</w:t>
            </w:r>
          </w:p>
        </w:tc>
        <w:tc>
          <w:tcPr>
            <w:tcW w:w="1613" w:type="dxa"/>
          </w:tcPr>
          <w:p w14:paraId="4AC9C9F5">
            <w:r>
              <w:t>7.3–18.2</w:t>
            </w:r>
          </w:p>
        </w:tc>
        <w:tc>
          <w:tcPr>
            <w:tcW w:w="1613" w:type="dxa"/>
          </w:tcPr>
          <w:p w14:paraId="3A5589A1">
            <w:r>
              <w:t>298.0–494.0</w:t>
            </w:r>
          </w:p>
        </w:tc>
        <w:tc>
          <w:tcPr>
            <w:tcW w:w="1613" w:type="dxa"/>
          </w:tcPr>
          <w:p w14:paraId="7E8DC638">
            <w:r>
              <w:t>7.3–18.2</w:t>
            </w:r>
          </w:p>
        </w:tc>
        <w:tc>
          <w:tcPr>
            <w:tcW w:w="1613" w:type="dxa"/>
          </w:tcPr>
          <w:p w14:paraId="1FFA3F4B">
            <w:r>
              <w:t>298.0–494.0</w:t>
            </w:r>
          </w:p>
        </w:tc>
        <w:tc>
          <w:tcPr>
            <w:tcW w:w="1613" w:type="dxa"/>
          </w:tcPr>
          <w:p w14:paraId="5E5AD7EB">
            <w:r>
              <w:t>7.3–18.2</w:t>
            </w:r>
          </w:p>
        </w:tc>
      </w:tr>
      <w:tr w14:paraId="1AF548A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Pr>
          <w:p w14:paraId="2CE28802">
            <w:r>
              <w:t>2035</w:t>
            </w:r>
          </w:p>
        </w:tc>
        <w:tc>
          <w:tcPr>
            <w:tcW w:w="1613" w:type="dxa"/>
          </w:tcPr>
          <w:p w14:paraId="09887192">
            <w:r>
              <w:t>315.3–513.5</w:t>
            </w:r>
          </w:p>
        </w:tc>
        <w:tc>
          <w:tcPr>
            <w:tcW w:w="1613" w:type="dxa"/>
          </w:tcPr>
          <w:p w14:paraId="5279B465">
            <w:r>
              <w:t>7.4–18.4</w:t>
            </w:r>
          </w:p>
        </w:tc>
        <w:tc>
          <w:tcPr>
            <w:tcW w:w="1613" w:type="dxa"/>
          </w:tcPr>
          <w:p w14:paraId="220A7609">
            <w:r>
              <w:t>317.8–516.3</w:t>
            </w:r>
          </w:p>
        </w:tc>
        <w:tc>
          <w:tcPr>
            <w:tcW w:w="1613" w:type="dxa"/>
          </w:tcPr>
          <w:p w14:paraId="065F0DF7">
            <w:r>
              <w:t>7.4–18.4</w:t>
            </w:r>
          </w:p>
        </w:tc>
        <w:tc>
          <w:tcPr>
            <w:tcW w:w="1613" w:type="dxa"/>
          </w:tcPr>
          <w:p w14:paraId="07A77647">
            <w:r>
              <w:t>320.3–519.0</w:t>
            </w:r>
          </w:p>
        </w:tc>
        <w:tc>
          <w:tcPr>
            <w:tcW w:w="1613" w:type="dxa"/>
          </w:tcPr>
          <w:p w14:paraId="3E714873">
            <w:r>
              <w:t>7.4–18.5</w:t>
            </w:r>
          </w:p>
        </w:tc>
      </w:tr>
      <w:tr w14:paraId="3CBA541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Pr>
          <w:p w14:paraId="4EF0350F">
            <w:r>
              <w:t>2040</w:t>
            </w:r>
          </w:p>
        </w:tc>
        <w:tc>
          <w:tcPr>
            <w:tcW w:w="1613" w:type="dxa"/>
          </w:tcPr>
          <w:p w14:paraId="703061DA">
            <w:r>
              <w:t>332.0–532.4</w:t>
            </w:r>
          </w:p>
        </w:tc>
        <w:tc>
          <w:tcPr>
            <w:tcW w:w="1613" w:type="dxa"/>
          </w:tcPr>
          <w:p w14:paraId="0B26ED7F">
            <w:r>
              <w:t>7.5–18.6</w:t>
            </w:r>
          </w:p>
        </w:tc>
        <w:tc>
          <w:tcPr>
            <w:tcW w:w="1613" w:type="dxa"/>
          </w:tcPr>
          <w:p w14:paraId="6F71DA01">
            <w:r>
              <w:t>332.0–532.4</w:t>
            </w:r>
          </w:p>
        </w:tc>
        <w:tc>
          <w:tcPr>
            <w:tcW w:w="1613" w:type="dxa"/>
          </w:tcPr>
          <w:p w14:paraId="7DC55364">
            <w:r>
              <w:t>7.5–18.6</w:t>
            </w:r>
          </w:p>
        </w:tc>
        <w:tc>
          <w:tcPr>
            <w:tcW w:w="1613" w:type="dxa"/>
          </w:tcPr>
          <w:p w14:paraId="161D2D6D">
            <w:r>
              <w:t>333.1–533.6</w:t>
            </w:r>
          </w:p>
        </w:tc>
        <w:tc>
          <w:tcPr>
            <w:tcW w:w="1613" w:type="dxa"/>
          </w:tcPr>
          <w:p w14:paraId="78645914">
            <w:r>
              <w:t>7.5–18.6</w:t>
            </w:r>
          </w:p>
        </w:tc>
      </w:tr>
      <w:tr w14:paraId="588BC07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Borders>
              <w:bottom w:val="nil"/>
            </w:tcBorders>
          </w:tcPr>
          <w:p w14:paraId="5338F210">
            <w:r>
              <w:t>2045</w:t>
            </w:r>
          </w:p>
        </w:tc>
        <w:tc>
          <w:tcPr>
            <w:tcW w:w="1613" w:type="dxa"/>
            <w:tcBorders>
              <w:bottom w:val="nil"/>
            </w:tcBorders>
          </w:tcPr>
          <w:p w14:paraId="4AAB2561">
            <w:r>
              <w:t>346.8–549.1</w:t>
            </w:r>
          </w:p>
        </w:tc>
        <w:tc>
          <w:tcPr>
            <w:tcW w:w="1613" w:type="dxa"/>
            <w:tcBorders>
              <w:bottom w:val="nil"/>
            </w:tcBorders>
          </w:tcPr>
          <w:p w14:paraId="22C5E4B7">
            <w:r>
              <w:t>7.5–18.8</w:t>
            </w:r>
          </w:p>
        </w:tc>
        <w:tc>
          <w:tcPr>
            <w:tcW w:w="1613" w:type="dxa"/>
            <w:tcBorders>
              <w:bottom w:val="nil"/>
            </w:tcBorders>
          </w:tcPr>
          <w:p w14:paraId="1CE3F83B">
            <w:r>
              <w:t>349.8–552.4</w:t>
            </w:r>
          </w:p>
        </w:tc>
        <w:tc>
          <w:tcPr>
            <w:tcW w:w="1613" w:type="dxa"/>
            <w:tcBorders>
              <w:bottom w:val="nil"/>
            </w:tcBorders>
          </w:tcPr>
          <w:p w14:paraId="70B6A84D">
            <w:r>
              <w:t>7.5–18.8</w:t>
            </w:r>
          </w:p>
        </w:tc>
        <w:tc>
          <w:tcPr>
            <w:tcW w:w="1613" w:type="dxa"/>
            <w:tcBorders>
              <w:bottom w:val="nil"/>
            </w:tcBorders>
          </w:tcPr>
          <w:p w14:paraId="2A638D02">
            <w:r>
              <w:t>351.9–554.7</w:t>
            </w:r>
          </w:p>
        </w:tc>
        <w:tc>
          <w:tcPr>
            <w:tcW w:w="1613" w:type="dxa"/>
            <w:tcBorders>
              <w:bottom w:val="nil"/>
            </w:tcBorders>
          </w:tcPr>
          <w:p w14:paraId="48254318">
            <w:r>
              <w:t>7.6–18.8</w:t>
            </w:r>
          </w:p>
        </w:tc>
      </w:tr>
      <w:tr w14:paraId="6FD391D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Borders>
              <w:top w:val="nil"/>
              <w:bottom w:val="single" w:color="000000" w:sz="6" w:space="0"/>
            </w:tcBorders>
          </w:tcPr>
          <w:p w14:paraId="04647446">
            <w:r>
              <w:t>2050</w:t>
            </w:r>
          </w:p>
        </w:tc>
        <w:tc>
          <w:tcPr>
            <w:tcW w:w="1613" w:type="dxa"/>
            <w:tcBorders>
              <w:top w:val="nil"/>
              <w:bottom w:val="single" w:color="000000" w:sz="6" w:space="0"/>
            </w:tcBorders>
          </w:tcPr>
          <w:p w14:paraId="1CCD5462">
            <w:r>
              <w:t>363.6–568.0</w:t>
            </w:r>
          </w:p>
        </w:tc>
        <w:tc>
          <w:tcPr>
            <w:tcW w:w="1613" w:type="dxa"/>
            <w:tcBorders>
              <w:top w:val="nil"/>
              <w:bottom w:val="single" w:color="000000" w:sz="6" w:space="0"/>
            </w:tcBorders>
          </w:tcPr>
          <w:p w14:paraId="0C2AFADD">
            <w:r>
              <w:t>7.6–19.0</w:t>
            </w:r>
          </w:p>
        </w:tc>
        <w:tc>
          <w:tcPr>
            <w:tcW w:w="1613" w:type="dxa"/>
            <w:tcBorders>
              <w:top w:val="nil"/>
              <w:bottom w:val="single" w:color="000000" w:sz="6" w:space="0"/>
            </w:tcBorders>
          </w:tcPr>
          <w:p w14:paraId="67E699CB">
            <w:r>
              <w:t>364.4–568.9</w:t>
            </w:r>
          </w:p>
        </w:tc>
        <w:tc>
          <w:tcPr>
            <w:tcW w:w="1613" w:type="dxa"/>
            <w:tcBorders>
              <w:top w:val="nil"/>
              <w:bottom w:val="single" w:color="000000" w:sz="6" w:space="0"/>
            </w:tcBorders>
          </w:tcPr>
          <w:p w14:paraId="14A6F2B7">
            <w:r>
              <w:t>7.6–19.0</w:t>
            </w:r>
          </w:p>
        </w:tc>
        <w:tc>
          <w:tcPr>
            <w:tcW w:w="1613" w:type="dxa"/>
            <w:tcBorders>
              <w:top w:val="nil"/>
              <w:bottom w:val="single" w:color="000000" w:sz="6" w:space="0"/>
            </w:tcBorders>
          </w:tcPr>
          <w:p w14:paraId="63BA1485">
            <w:r>
              <w:t>366.5–571.3</w:t>
            </w:r>
          </w:p>
        </w:tc>
        <w:tc>
          <w:tcPr>
            <w:tcW w:w="1613" w:type="dxa"/>
            <w:tcBorders>
              <w:top w:val="nil"/>
              <w:bottom w:val="single" w:color="000000" w:sz="6" w:space="0"/>
            </w:tcBorders>
          </w:tcPr>
          <w:p w14:paraId="74B21B70">
            <w:r>
              <w:t>7.6–19.0</w:t>
            </w:r>
          </w:p>
        </w:tc>
      </w:tr>
    </w:tbl>
    <w:p w14:paraId="228E0221">
      <w:pPr>
        <w:pStyle w:val="34"/>
        <w:keepLines/>
      </w:pPr>
      <w:r>
        <w:t>Panel B | Five-year cost exposure for newly entering cohorts (billion yuan)</w:t>
      </w:r>
    </w:p>
    <w:tbl>
      <w:tblPr>
        <w:tblStyle w:val="6"/>
        <w:tblW w:w="0" w:type="auto"/>
        <w:tblInd w:w="0" w:type="dxa"/>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13"/>
        <w:gridCol w:w="1613"/>
        <w:gridCol w:w="1613"/>
        <w:gridCol w:w="1613"/>
        <w:gridCol w:w="1613"/>
        <w:gridCol w:w="1613"/>
        <w:gridCol w:w="1613"/>
      </w:tblGrid>
      <w:tr w14:paraId="43A8A504">
        <w:trPr>
          <w:cantSplit/>
          <w:tblHeader/>
        </w:trPr>
        <w:tc>
          <w:tcPr>
            <w:tcW w:w="1613" w:type="dxa"/>
            <w:tcBorders>
              <w:top w:val="single" w:color="000000" w:sz="6" w:space="0"/>
              <w:bottom w:val="single" w:color="000000" w:sz="6" w:space="0"/>
            </w:tcBorders>
          </w:tcPr>
          <w:p w14:paraId="3CF46190">
            <w:r>
              <w:t>Year/interval</w:t>
            </w:r>
          </w:p>
        </w:tc>
        <w:tc>
          <w:tcPr>
            <w:tcW w:w="1613" w:type="dxa"/>
            <w:tcBorders>
              <w:top w:val="single" w:color="000000" w:sz="6" w:space="0"/>
              <w:bottom w:val="single" w:color="000000" w:sz="6" w:space="0"/>
            </w:tcBorders>
          </w:tcPr>
          <w:p w14:paraId="064FA649">
            <w:r>
              <w:t>Low demolition</w:t>
            </w:r>
          </w:p>
        </w:tc>
        <w:tc>
          <w:tcPr>
            <w:tcW w:w="1613" w:type="dxa"/>
            <w:tcBorders>
              <w:top w:val="single" w:color="000000" w:sz="6" w:space="0"/>
              <w:bottom w:val="single" w:color="000000" w:sz="6" w:space="0"/>
            </w:tcBorders>
          </w:tcPr>
          <w:p w14:paraId="38AAF13F">
            <w:r>
              <w:t>Low in situ</w:t>
            </w:r>
          </w:p>
        </w:tc>
        <w:tc>
          <w:tcPr>
            <w:tcW w:w="1613" w:type="dxa"/>
            <w:tcBorders>
              <w:top w:val="single" w:color="000000" w:sz="6" w:space="0"/>
              <w:bottom w:val="single" w:color="000000" w:sz="6" w:space="0"/>
            </w:tcBorders>
          </w:tcPr>
          <w:p w14:paraId="10F5D69B">
            <w:r>
              <w:t>Medium demolition</w:t>
            </w:r>
          </w:p>
        </w:tc>
        <w:tc>
          <w:tcPr>
            <w:tcW w:w="1613" w:type="dxa"/>
            <w:tcBorders>
              <w:top w:val="single" w:color="000000" w:sz="6" w:space="0"/>
              <w:bottom w:val="single" w:color="000000" w:sz="6" w:space="0"/>
            </w:tcBorders>
          </w:tcPr>
          <w:p w14:paraId="4236AE2F">
            <w:r>
              <w:t>Medium in situ</w:t>
            </w:r>
          </w:p>
        </w:tc>
        <w:tc>
          <w:tcPr>
            <w:tcW w:w="1613" w:type="dxa"/>
            <w:tcBorders>
              <w:top w:val="single" w:color="000000" w:sz="6" w:space="0"/>
              <w:bottom w:val="single" w:color="000000" w:sz="6" w:space="0"/>
            </w:tcBorders>
          </w:tcPr>
          <w:p w14:paraId="46C50B8E">
            <w:r>
              <w:t>High demolition</w:t>
            </w:r>
          </w:p>
        </w:tc>
        <w:tc>
          <w:tcPr>
            <w:tcW w:w="1613" w:type="dxa"/>
            <w:tcBorders>
              <w:top w:val="single" w:color="000000" w:sz="6" w:space="0"/>
              <w:bottom w:val="single" w:color="000000" w:sz="6" w:space="0"/>
            </w:tcBorders>
          </w:tcPr>
          <w:p w14:paraId="10590F32">
            <w:r>
              <w:t>High in situ</w:t>
            </w:r>
          </w:p>
        </w:tc>
      </w:tr>
      <w:tr w14:paraId="58D92CA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Borders>
              <w:top w:val="single" w:color="000000" w:sz="6" w:space="0"/>
            </w:tcBorders>
          </w:tcPr>
          <w:p w14:paraId="37CF589B">
            <w:r>
              <w:t>2020–2025</w:t>
            </w:r>
          </w:p>
        </w:tc>
        <w:tc>
          <w:tcPr>
            <w:tcW w:w="1613" w:type="dxa"/>
            <w:tcBorders>
              <w:top w:val="single" w:color="000000" w:sz="6" w:space="0"/>
            </w:tcBorders>
          </w:tcPr>
          <w:p w14:paraId="2886F718">
            <w:r>
              <w:t>9.95–11.47</w:t>
            </w:r>
          </w:p>
        </w:tc>
        <w:tc>
          <w:tcPr>
            <w:tcW w:w="1613" w:type="dxa"/>
            <w:tcBorders>
              <w:top w:val="single" w:color="000000" w:sz="6" w:space="0"/>
            </w:tcBorders>
          </w:tcPr>
          <w:p w14:paraId="5CC223D1">
            <w:r>
              <w:t>0.08–0.19</w:t>
            </w:r>
          </w:p>
        </w:tc>
        <w:tc>
          <w:tcPr>
            <w:tcW w:w="1613" w:type="dxa"/>
            <w:tcBorders>
              <w:top w:val="single" w:color="000000" w:sz="6" w:space="0"/>
            </w:tcBorders>
          </w:tcPr>
          <w:p w14:paraId="1EE4E970">
            <w:r>
              <w:t>10.21–11.76</w:t>
            </w:r>
          </w:p>
        </w:tc>
        <w:tc>
          <w:tcPr>
            <w:tcW w:w="1613" w:type="dxa"/>
            <w:tcBorders>
              <w:top w:val="single" w:color="000000" w:sz="6" w:space="0"/>
            </w:tcBorders>
          </w:tcPr>
          <w:p w14:paraId="4EDC1F5D">
            <w:r>
              <w:t>0.08–0.19</w:t>
            </w:r>
          </w:p>
        </w:tc>
        <w:tc>
          <w:tcPr>
            <w:tcW w:w="1613" w:type="dxa"/>
            <w:tcBorders>
              <w:top w:val="single" w:color="000000" w:sz="6" w:space="0"/>
            </w:tcBorders>
          </w:tcPr>
          <w:p w14:paraId="6DAC1D08">
            <w:r>
              <w:t>10.21–11.76</w:t>
            </w:r>
          </w:p>
        </w:tc>
        <w:tc>
          <w:tcPr>
            <w:tcW w:w="1613" w:type="dxa"/>
            <w:tcBorders>
              <w:top w:val="single" w:color="000000" w:sz="6" w:space="0"/>
            </w:tcBorders>
          </w:tcPr>
          <w:p w14:paraId="7EE2AB79">
            <w:r>
              <w:t>0.08–0.19</w:t>
            </w:r>
          </w:p>
        </w:tc>
      </w:tr>
      <w:tr w14:paraId="738A0F9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Pr>
          <w:p w14:paraId="1E91F714">
            <w:r>
              <w:t>2025–2030</w:t>
            </w:r>
          </w:p>
        </w:tc>
        <w:tc>
          <w:tcPr>
            <w:tcW w:w="1613" w:type="dxa"/>
          </w:tcPr>
          <w:p w14:paraId="60C084E4">
            <w:r>
              <w:t>5.83–6.91</w:t>
            </w:r>
          </w:p>
        </w:tc>
        <w:tc>
          <w:tcPr>
            <w:tcW w:w="1613" w:type="dxa"/>
          </w:tcPr>
          <w:p w14:paraId="54B71BBC">
            <w:r>
              <w:t>0.04–0.09</w:t>
            </w:r>
          </w:p>
        </w:tc>
        <w:tc>
          <w:tcPr>
            <w:tcW w:w="1613" w:type="dxa"/>
          </w:tcPr>
          <w:p w14:paraId="0FAFCD46">
            <w:r>
              <w:t>5.91–7.01</w:t>
            </w:r>
          </w:p>
        </w:tc>
        <w:tc>
          <w:tcPr>
            <w:tcW w:w="1613" w:type="dxa"/>
          </w:tcPr>
          <w:p w14:paraId="66629EF7">
            <w:r>
              <w:t>0.04–0.10</w:t>
            </w:r>
          </w:p>
        </w:tc>
        <w:tc>
          <w:tcPr>
            <w:tcW w:w="1613" w:type="dxa"/>
          </w:tcPr>
          <w:p w14:paraId="70794DD5">
            <w:r>
              <w:t>5.91–7.01</w:t>
            </w:r>
          </w:p>
        </w:tc>
        <w:tc>
          <w:tcPr>
            <w:tcW w:w="1613" w:type="dxa"/>
          </w:tcPr>
          <w:p w14:paraId="78ABD7FD">
            <w:r>
              <w:t>0.04–0.10</w:t>
            </w:r>
          </w:p>
        </w:tc>
      </w:tr>
      <w:tr w14:paraId="6F2F8C9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Pr>
          <w:p w14:paraId="1285692E">
            <w:r>
              <w:t>2030–2035</w:t>
            </w:r>
          </w:p>
        </w:tc>
        <w:tc>
          <w:tcPr>
            <w:tcW w:w="1613" w:type="dxa"/>
          </w:tcPr>
          <w:p w14:paraId="2320C249">
            <w:r>
              <w:t>17.62–19.88</w:t>
            </w:r>
          </w:p>
        </w:tc>
        <w:tc>
          <w:tcPr>
            <w:tcW w:w="1613" w:type="dxa"/>
          </w:tcPr>
          <w:p w14:paraId="3ACA2351">
            <w:r>
              <w:t>0.09–0.23</w:t>
            </w:r>
          </w:p>
        </w:tc>
        <w:tc>
          <w:tcPr>
            <w:tcW w:w="1613" w:type="dxa"/>
          </w:tcPr>
          <w:p w14:paraId="77B9A820">
            <w:r>
              <w:t>19.78–22.27</w:t>
            </w:r>
          </w:p>
        </w:tc>
        <w:tc>
          <w:tcPr>
            <w:tcW w:w="1613" w:type="dxa"/>
          </w:tcPr>
          <w:p w14:paraId="2873BB54">
            <w:r>
              <w:t>0.11–0.28</w:t>
            </w:r>
          </w:p>
        </w:tc>
        <w:tc>
          <w:tcPr>
            <w:tcW w:w="1613" w:type="dxa"/>
          </w:tcPr>
          <w:p w14:paraId="7AE647F9">
            <w:r>
              <w:t>22.24–24.97</w:t>
            </w:r>
          </w:p>
        </w:tc>
        <w:tc>
          <w:tcPr>
            <w:tcW w:w="1613" w:type="dxa"/>
          </w:tcPr>
          <w:p w14:paraId="6F642014">
            <w:r>
              <w:t>0.12–0.29</w:t>
            </w:r>
          </w:p>
        </w:tc>
      </w:tr>
      <w:tr w14:paraId="5041D71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Pr>
          <w:p w14:paraId="0E3130EF">
            <w:r>
              <w:t>2035–2040</w:t>
            </w:r>
          </w:p>
        </w:tc>
        <w:tc>
          <w:tcPr>
            <w:tcW w:w="1613" w:type="dxa"/>
          </w:tcPr>
          <w:p w14:paraId="102EFD98">
            <w:r>
              <w:t>16.71–18.82</w:t>
            </w:r>
          </w:p>
        </w:tc>
        <w:tc>
          <w:tcPr>
            <w:tcW w:w="1613" w:type="dxa"/>
          </w:tcPr>
          <w:p w14:paraId="75C36F9B">
            <w:r>
              <w:t>0.09–0.23</w:t>
            </w:r>
          </w:p>
        </w:tc>
        <w:tc>
          <w:tcPr>
            <w:tcW w:w="1613" w:type="dxa"/>
          </w:tcPr>
          <w:p w14:paraId="659D80C5">
            <w:r>
              <w:t>14.20–16.06</w:t>
            </w:r>
          </w:p>
        </w:tc>
        <w:tc>
          <w:tcPr>
            <w:tcW w:w="1613" w:type="dxa"/>
          </w:tcPr>
          <w:p w14:paraId="66620252">
            <w:r>
              <w:t>0.07–0.18</w:t>
            </w:r>
          </w:p>
        </w:tc>
        <w:tc>
          <w:tcPr>
            <w:tcW w:w="1613" w:type="dxa"/>
          </w:tcPr>
          <w:p w14:paraId="58FFEE30">
            <w:r>
              <w:t>12.81–14.54</w:t>
            </w:r>
          </w:p>
        </w:tc>
        <w:tc>
          <w:tcPr>
            <w:tcW w:w="1613" w:type="dxa"/>
          </w:tcPr>
          <w:p w14:paraId="6D617E94">
            <w:r>
              <w:t>0.07–0.17</w:t>
            </w:r>
          </w:p>
        </w:tc>
      </w:tr>
      <w:tr w14:paraId="47469F1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Borders>
              <w:bottom w:val="nil"/>
            </w:tcBorders>
          </w:tcPr>
          <w:p w14:paraId="08E694B6">
            <w:r>
              <w:t>2040–2045</w:t>
            </w:r>
          </w:p>
        </w:tc>
        <w:tc>
          <w:tcPr>
            <w:tcW w:w="1613" w:type="dxa"/>
            <w:tcBorders>
              <w:bottom w:val="nil"/>
            </w:tcBorders>
          </w:tcPr>
          <w:p w14:paraId="10E3B26F">
            <w:r>
              <w:t>14.81–16.75</w:t>
            </w:r>
          </w:p>
        </w:tc>
        <w:tc>
          <w:tcPr>
            <w:tcW w:w="1613" w:type="dxa"/>
            <w:tcBorders>
              <w:bottom w:val="nil"/>
            </w:tcBorders>
          </w:tcPr>
          <w:p w14:paraId="0A40F52A">
            <w:r>
              <w:t>0.05–0.14</w:t>
            </w:r>
          </w:p>
        </w:tc>
        <w:tc>
          <w:tcPr>
            <w:tcW w:w="1613" w:type="dxa"/>
            <w:tcBorders>
              <w:bottom w:val="nil"/>
            </w:tcBorders>
          </w:tcPr>
          <w:p w14:paraId="7909FF81">
            <w:r>
              <w:t>17.80–20.04</w:t>
            </w:r>
          </w:p>
        </w:tc>
        <w:tc>
          <w:tcPr>
            <w:tcW w:w="1613" w:type="dxa"/>
            <w:tcBorders>
              <w:bottom w:val="nil"/>
            </w:tcBorders>
          </w:tcPr>
          <w:p w14:paraId="0F9C015C">
            <w:r>
              <w:t>0.07–0.16</w:t>
            </w:r>
          </w:p>
        </w:tc>
        <w:tc>
          <w:tcPr>
            <w:tcW w:w="1613" w:type="dxa"/>
            <w:tcBorders>
              <w:bottom w:val="nil"/>
            </w:tcBorders>
          </w:tcPr>
          <w:p w14:paraId="6EECE5E2">
            <w:r>
              <w:t>18.82–21.17</w:t>
            </w:r>
          </w:p>
        </w:tc>
        <w:tc>
          <w:tcPr>
            <w:tcW w:w="1613" w:type="dxa"/>
            <w:tcBorders>
              <w:bottom w:val="nil"/>
            </w:tcBorders>
          </w:tcPr>
          <w:p w14:paraId="113C098A">
            <w:r>
              <w:t>0.08–0.20</w:t>
            </w:r>
          </w:p>
        </w:tc>
      </w:tr>
      <w:tr w14:paraId="7265ABA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cantSplit/>
        </w:trPr>
        <w:tc>
          <w:tcPr>
            <w:tcW w:w="1613" w:type="dxa"/>
            <w:tcBorders>
              <w:top w:val="nil"/>
              <w:bottom w:val="single" w:color="000000" w:sz="6" w:space="0"/>
            </w:tcBorders>
          </w:tcPr>
          <w:p w14:paraId="7B530D46">
            <w:r>
              <w:t>2045–2050</w:t>
            </w:r>
          </w:p>
        </w:tc>
        <w:tc>
          <w:tcPr>
            <w:tcW w:w="1613" w:type="dxa"/>
            <w:tcBorders>
              <w:top w:val="nil"/>
              <w:bottom w:val="single" w:color="000000" w:sz="6" w:space="0"/>
            </w:tcBorders>
          </w:tcPr>
          <w:p w14:paraId="3C312C4B">
            <w:r>
              <w:t>16.76–18.88</w:t>
            </w:r>
          </w:p>
        </w:tc>
        <w:tc>
          <w:tcPr>
            <w:tcW w:w="1613" w:type="dxa"/>
            <w:tcBorders>
              <w:top w:val="nil"/>
              <w:bottom w:val="single" w:color="000000" w:sz="6" w:space="0"/>
            </w:tcBorders>
          </w:tcPr>
          <w:p w14:paraId="457D0872">
            <w:r>
              <w:t>0.08–0.21</w:t>
            </w:r>
          </w:p>
        </w:tc>
        <w:tc>
          <w:tcPr>
            <w:tcW w:w="1613" w:type="dxa"/>
            <w:tcBorders>
              <w:top w:val="nil"/>
              <w:bottom w:val="single" w:color="000000" w:sz="6" w:space="0"/>
            </w:tcBorders>
          </w:tcPr>
          <w:p w14:paraId="68B9D707">
            <w:r>
              <w:t>14.56–16.46</w:t>
            </w:r>
          </w:p>
        </w:tc>
        <w:tc>
          <w:tcPr>
            <w:tcW w:w="1613" w:type="dxa"/>
            <w:tcBorders>
              <w:top w:val="nil"/>
              <w:bottom w:val="single" w:color="000000" w:sz="6" w:space="0"/>
            </w:tcBorders>
          </w:tcPr>
          <w:p w14:paraId="3C7B0AAC">
            <w:r>
              <w:t>0.08–0.19</w:t>
            </w:r>
          </w:p>
        </w:tc>
        <w:tc>
          <w:tcPr>
            <w:tcW w:w="1613" w:type="dxa"/>
            <w:tcBorders>
              <w:top w:val="nil"/>
              <w:bottom w:val="single" w:color="000000" w:sz="6" w:space="0"/>
            </w:tcBorders>
          </w:tcPr>
          <w:p w14:paraId="57554E3C">
            <w:r>
              <w:t>14.65–16.55</w:t>
            </w:r>
          </w:p>
        </w:tc>
        <w:tc>
          <w:tcPr>
            <w:tcW w:w="1613" w:type="dxa"/>
            <w:tcBorders>
              <w:top w:val="nil"/>
              <w:bottom w:val="single" w:color="000000" w:sz="6" w:space="0"/>
            </w:tcBorders>
          </w:tcPr>
          <w:p w14:paraId="7EA74742">
            <w:r>
              <w:t>0.06–0.16</w:t>
            </w:r>
          </w:p>
        </w:tc>
      </w:tr>
    </w:tbl>
    <w:p w14:paraId="41772F76">
      <w:pPr>
        <w:pStyle w:val="35"/>
        <w:keepLines/>
      </w:pPr>
      <w:r>
        <w:t>Note: Values are lower–upper cost bounds. Low, medium and high denote demographic scenarios, not cost assumptions. Panel A reports cumulative exposure at each benchmark year; Panel B reports cohorts newly entering during the preceding five-year interval. Demolition values are compensation exposure and in situ values are direct engineering investment; they are not equivalent life-cycle costs.</w:t>
      </w:r>
    </w:p>
    <w:p w14:paraId="14649D35">
      <w:pPr>
        <w:pStyle w:val="33"/>
        <w:keepLines/>
      </w:pPr>
      <w:r>
        <w:t>Supplementary Table 14 | Carbon exposure of newly entering renewal-pressure cohorts by demographic scenario and urban–rural group.</w:t>
      </w:r>
    </w:p>
    <w:p w14:paraId="72EFBDD6">
      <w:pPr>
        <w:pStyle w:val="34"/>
        <w:keepLines/>
      </w:pPr>
      <w:r>
        <w:t>Panel A | Low-population scenario</w:t>
      </w:r>
    </w:p>
    <w:tbl>
      <w:tblPr>
        <w:tblStyle w:val="6"/>
        <w:tblW w:w="0" w:type="auto"/>
        <w:tblCellSpacing w:w="15" w:type="dxa"/>
        <w:tblInd w:w="0" w:type="dxa"/>
        <w:tblLayout w:type="autofit"/>
        <w:tblCellMar>
          <w:top w:w="15" w:type="dxa"/>
          <w:left w:w="15" w:type="dxa"/>
          <w:bottom w:w="15" w:type="dxa"/>
          <w:right w:w="15" w:type="dxa"/>
        </w:tblCellMar>
      </w:tblPr>
      <w:tblGrid>
        <w:gridCol w:w="1679"/>
        <w:gridCol w:w="1856"/>
        <w:gridCol w:w="2693"/>
        <w:gridCol w:w="2835"/>
        <w:gridCol w:w="2221"/>
      </w:tblGrid>
      <w:tr w14:paraId="50E4784A">
        <w:trPr>
          <w:cantSplit/>
          <w:tblHeader/>
          <w:tblCellSpacing w:w="15" w:type="dxa"/>
        </w:trPr>
        <w:tc>
          <w:tcPr>
            <w:tcW w:w="0" w:type="auto"/>
            <w:tcBorders>
              <w:top w:val="single" w:color="auto" w:sz="8" w:space="0"/>
              <w:bottom w:val="single" w:color="auto" w:sz="6" w:space="0"/>
            </w:tcBorders>
            <w:vAlign w:val="center"/>
          </w:tcPr>
          <w:p w14:paraId="7252B4CC">
            <w:pPr>
              <w:pStyle w:val="36"/>
              <w:rPr>
                <w:sz w:val="21"/>
                <w:szCs w:val="21"/>
              </w:rPr>
            </w:pPr>
            <w:r>
              <w:rPr>
                <w:sz w:val="21"/>
                <w:szCs w:val="21"/>
              </w:rPr>
              <w:t>Five-year interval</w:t>
            </w:r>
          </w:p>
        </w:tc>
        <w:tc>
          <w:tcPr>
            <w:tcW w:w="1826" w:type="dxa"/>
            <w:tcBorders>
              <w:top w:val="single" w:color="auto" w:sz="8" w:space="0"/>
              <w:bottom w:val="single" w:color="auto" w:sz="6" w:space="0"/>
            </w:tcBorders>
            <w:vAlign w:val="center"/>
          </w:tcPr>
          <w:p w14:paraId="69EEF243">
            <w:pPr>
              <w:pStyle w:val="36"/>
              <w:rPr>
                <w:sz w:val="21"/>
                <w:szCs w:val="21"/>
              </w:rPr>
            </w:pPr>
            <w:r>
              <w:rPr>
                <w:sz w:val="21"/>
                <w:szCs w:val="21"/>
              </w:rPr>
              <w:t>Group</w:t>
            </w:r>
          </w:p>
        </w:tc>
        <w:tc>
          <w:tcPr>
            <w:tcW w:w="2663" w:type="dxa"/>
            <w:tcBorders>
              <w:top w:val="single" w:color="auto" w:sz="8" w:space="0"/>
              <w:bottom w:val="single" w:color="auto" w:sz="6" w:space="0"/>
            </w:tcBorders>
            <w:vAlign w:val="center"/>
          </w:tcPr>
          <w:p w14:paraId="0ED0F3CC">
            <w:pPr>
              <w:pStyle w:val="36"/>
              <w:rPr>
                <w:sz w:val="21"/>
                <w:szCs w:val="21"/>
              </w:rPr>
            </w:pPr>
            <w:r>
              <w:rPr>
                <w:sz w:val="21"/>
                <w:szCs w:val="21"/>
              </w:rPr>
              <w:t>Newly entering buildings</w:t>
            </w:r>
          </w:p>
        </w:tc>
        <w:tc>
          <w:tcPr>
            <w:tcW w:w="2805" w:type="dxa"/>
            <w:tcBorders>
              <w:top w:val="single" w:color="auto" w:sz="8" w:space="0"/>
              <w:bottom w:val="single" w:color="auto" w:sz="6" w:space="0"/>
            </w:tcBorders>
            <w:vAlign w:val="center"/>
          </w:tcPr>
          <w:p w14:paraId="01258B77">
            <w:pPr>
              <w:pStyle w:val="36"/>
              <w:rPr>
                <w:sz w:val="21"/>
                <w:szCs w:val="21"/>
              </w:rPr>
            </w:pPr>
            <w:r>
              <w:rPr>
                <w:sz w:val="21"/>
                <w:szCs w:val="21"/>
              </w:rPr>
              <w:t>Demolition emissions (ktCO</w:t>
            </w:r>
            <w:r>
              <w:rPr>
                <w:rFonts w:ascii="Cambria Math" w:hAnsi="Cambria Math" w:cs="Cambria Math"/>
                <w:sz w:val="21"/>
                <w:szCs w:val="21"/>
              </w:rPr>
              <w:t>₂</w:t>
            </w:r>
            <w:r>
              <w:rPr>
                <w:sz w:val="21"/>
                <w:szCs w:val="21"/>
              </w:rPr>
              <w:t>)</w:t>
            </w:r>
          </w:p>
        </w:tc>
        <w:tc>
          <w:tcPr>
            <w:tcW w:w="2176" w:type="dxa"/>
            <w:tcBorders>
              <w:top w:val="single" w:color="auto" w:sz="8" w:space="0"/>
              <w:bottom w:val="single" w:color="auto" w:sz="6" w:space="0"/>
            </w:tcBorders>
            <w:vAlign w:val="center"/>
          </w:tcPr>
          <w:p w14:paraId="18640A1B">
            <w:pPr>
              <w:pStyle w:val="36"/>
              <w:rPr>
                <w:sz w:val="21"/>
                <w:szCs w:val="21"/>
              </w:rPr>
            </w:pPr>
            <w:r>
              <w:rPr>
                <w:sz w:val="21"/>
                <w:szCs w:val="21"/>
              </w:rPr>
              <w:t>Annual operational emissions (ktCO</w:t>
            </w:r>
            <w:r>
              <w:rPr>
                <w:rFonts w:ascii="Cambria Math" w:hAnsi="Cambria Math" w:cs="Cambria Math"/>
                <w:sz w:val="21"/>
                <w:szCs w:val="21"/>
              </w:rPr>
              <w:t>₂</w:t>
            </w:r>
            <w:r>
              <w:rPr>
                <w:sz w:val="21"/>
                <w:szCs w:val="21"/>
              </w:rPr>
              <w:t xml:space="preserve"> yr</w:t>
            </w:r>
            <w:r>
              <w:rPr>
                <w:rFonts w:ascii="Cambria Math" w:hAnsi="Cambria Math" w:cs="Cambria Math"/>
                <w:sz w:val="21"/>
                <w:szCs w:val="21"/>
              </w:rPr>
              <w:t>⁻</w:t>
            </w:r>
            <w:r>
              <w:rPr>
                <w:sz w:val="21"/>
                <w:szCs w:val="21"/>
              </w:rPr>
              <w:t>¹)</w:t>
            </w:r>
          </w:p>
        </w:tc>
      </w:tr>
      <w:tr w14:paraId="5E9CD19D">
        <w:trPr>
          <w:cantSplit/>
          <w:tblHeader/>
          <w:tblCellSpacing w:w="15" w:type="dxa"/>
        </w:trPr>
        <w:tc>
          <w:tcPr>
            <w:tcW w:w="0" w:type="auto"/>
            <w:vAlign w:val="center"/>
          </w:tcPr>
          <w:p w14:paraId="67E782FD">
            <w:pPr>
              <w:pStyle w:val="37"/>
              <w:rPr>
                <w:sz w:val="21"/>
                <w:szCs w:val="21"/>
              </w:rPr>
            </w:pPr>
            <w:r>
              <w:rPr>
                <w:sz w:val="21"/>
                <w:szCs w:val="21"/>
              </w:rPr>
              <w:t>2020–2025</w:t>
            </w:r>
          </w:p>
        </w:tc>
        <w:tc>
          <w:tcPr>
            <w:tcW w:w="1826" w:type="dxa"/>
            <w:vAlign w:val="center"/>
          </w:tcPr>
          <w:p w14:paraId="37990CD0">
            <w:pPr>
              <w:pStyle w:val="37"/>
              <w:rPr>
                <w:sz w:val="21"/>
                <w:szCs w:val="21"/>
              </w:rPr>
            </w:pPr>
            <w:r>
              <w:rPr>
                <w:sz w:val="21"/>
                <w:szCs w:val="21"/>
              </w:rPr>
              <w:t>Urban</w:t>
            </w:r>
          </w:p>
        </w:tc>
        <w:tc>
          <w:tcPr>
            <w:tcW w:w="2663" w:type="dxa"/>
            <w:vAlign w:val="center"/>
          </w:tcPr>
          <w:p w14:paraId="058D466E">
            <w:pPr>
              <w:pStyle w:val="37"/>
              <w:rPr>
                <w:sz w:val="21"/>
                <w:szCs w:val="21"/>
              </w:rPr>
            </w:pPr>
            <w:r>
              <w:rPr>
                <w:sz w:val="21"/>
                <w:szCs w:val="21"/>
              </w:rPr>
              <w:t>16</w:t>
            </w:r>
          </w:p>
        </w:tc>
        <w:tc>
          <w:tcPr>
            <w:tcW w:w="2805" w:type="dxa"/>
            <w:vAlign w:val="center"/>
          </w:tcPr>
          <w:p w14:paraId="17D3ACA6">
            <w:pPr>
              <w:pStyle w:val="37"/>
              <w:rPr>
                <w:sz w:val="21"/>
                <w:szCs w:val="21"/>
              </w:rPr>
            </w:pPr>
            <w:r>
              <w:rPr>
                <w:sz w:val="21"/>
                <w:szCs w:val="21"/>
              </w:rPr>
              <w:t>37.90</w:t>
            </w:r>
          </w:p>
        </w:tc>
        <w:tc>
          <w:tcPr>
            <w:tcW w:w="2176" w:type="dxa"/>
            <w:vAlign w:val="center"/>
          </w:tcPr>
          <w:p w14:paraId="2E93291C">
            <w:pPr>
              <w:pStyle w:val="37"/>
              <w:rPr>
                <w:sz w:val="21"/>
                <w:szCs w:val="21"/>
              </w:rPr>
            </w:pPr>
            <w:r>
              <w:rPr>
                <w:sz w:val="21"/>
                <w:szCs w:val="21"/>
              </w:rPr>
              <w:t>28.51</w:t>
            </w:r>
          </w:p>
        </w:tc>
      </w:tr>
      <w:tr w14:paraId="149180D3">
        <w:trPr>
          <w:cantSplit/>
          <w:tblHeader/>
          <w:tblCellSpacing w:w="15" w:type="dxa"/>
        </w:trPr>
        <w:tc>
          <w:tcPr>
            <w:tcW w:w="0" w:type="auto"/>
            <w:vAlign w:val="center"/>
          </w:tcPr>
          <w:p w14:paraId="412267F3">
            <w:pPr>
              <w:pStyle w:val="37"/>
              <w:rPr>
                <w:sz w:val="21"/>
                <w:szCs w:val="21"/>
              </w:rPr>
            </w:pPr>
          </w:p>
        </w:tc>
        <w:tc>
          <w:tcPr>
            <w:tcW w:w="1826" w:type="dxa"/>
            <w:vAlign w:val="center"/>
          </w:tcPr>
          <w:p w14:paraId="5FFAAF0A">
            <w:pPr>
              <w:pStyle w:val="37"/>
              <w:rPr>
                <w:rFonts w:ascii="宋体" w:hAnsi="宋体" w:eastAsia="宋体" w:cs="宋体"/>
                <w:sz w:val="21"/>
                <w:szCs w:val="21"/>
              </w:rPr>
            </w:pPr>
            <w:r>
              <w:rPr>
                <w:sz w:val="21"/>
                <w:szCs w:val="21"/>
              </w:rPr>
              <w:t>Rural</w:t>
            </w:r>
          </w:p>
        </w:tc>
        <w:tc>
          <w:tcPr>
            <w:tcW w:w="2663" w:type="dxa"/>
            <w:vAlign w:val="center"/>
          </w:tcPr>
          <w:p w14:paraId="2F1A03B3">
            <w:pPr>
              <w:pStyle w:val="37"/>
              <w:rPr>
                <w:sz w:val="21"/>
                <w:szCs w:val="21"/>
              </w:rPr>
            </w:pPr>
            <w:r>
              <w:rPr>
                <w:sz w:val="21"/>
                <w:szCs w:val="21"/>
              </w:rPr>
              <w:t>1,794</w:t>
            </w:r>
          </w:p>
        </w:tc>
        <w:tc>
          <w:tcPr>
            <w:tcW w:w="2805" w:type="dxa"/>
            <w:vAlign w:val="center"/>
          </w:tcPr>
          <w:p w14:paraId="140CC78A">
            <w:pPr>
              <w:pStyle w:val="37"/>
              <w:rPr>
                <w:sz w:val="21"/>
                <w:szCs w:val="21"/>
              </w:rPr>
            </w:pPr>
            <w:r>
              <w:rPr>
                <w:sz w:val="21"/>
                <w:szCs w:val="21"/>
              </w:rPr>
              <w:t>1.77</w:t>
            </w:r>
          </w:p>
        </w:tc>
        <w:tc>
          <w:tcPr>
            <w:tcW w:w="2176" w:type="dxa"/>
            <w:vAlign w:val="center"/>
          </w:tcPr>
          <w:p w14:paraId="494FC6FC">
            <w:pPr>
              <w:pStyle w:val="37"/>
              <w:rPr>
                <w:sz w:val="21"/>
                <w:szCs w:val="21"/>
              </w:rPr>
            </w:pPr>
            <w:r>
              <w:rPr>
                <w:sz w:val="21"/>
                <w:szCs w:val="21"/>
              </w:rPr>
              <w:t>10.02</w:t>
            </w:r>
          </w:p>
        </w:tc>
      </w:tr>
      <w:tr w14:paraId="734B3F22">
        <w:trPr>
          <w:cantSplit/>
          <w:tblHeader/>
          <w:tblCellSpacing w:w="15" w:type="dxa"/>
        </w:trPr>
        <w:tc>
          <w:tcPr>
            <w:tcW w:w="0" w:type="auto"/>
            <w:vAlign w:val="center"/>
          </w:tcPr>
          <w:p w14:paraId="2D07D8E0">
            <w:pPr>
              <w:pStyle w:val="37"/>
              <w:rPr>
                <w:sz w:val="21"/>
                <w:szCs w:val="21"/>
              </w:rPr>
            </w:pPr>
          </w:p>
        </w:tc>
        <w:tc>
          <w:tcPr>
            <w:tcW w:w="1826" w:type="dxa"/>
            <w:vAlign w:val="center"/>
          </w:tcPr>
          <w:p w14:paraId="2117C206">
            <w:pPr>
              <w:pStyle w:val="37"/>
              <w:rPr>
                <w:rFonts w:ascii="宋体" w:hAnsi="宋体" w:eastAsia="宋体" w:cs="宋体"/>
                <w:sz w:val="21"/>
                <w:szCs w:val="21"/>
              </w:rPr>
            </w:pPr>
            <w:r>
              <w:rPr>
                <w:sz w:val="21"/>
                <w:szCs w:val="21"/>
              </w:rPr>
              <w:t>Total</w:t>
            </w:r>
          </w:p>
        </w:tc>
        <w:tc>
          <w:tcPr>
            <w:tcW w:w="2663" w:type="dxa"/>
            <w:vAlign w:val="center"/>
          </w:tcPr>
          <w:p w14:paraId="277B1FF2">
            <w:pPr>
              <w:pStyle w:val="37"/>
              <w:rPr>
                <w:sz w:val="21"/>
                <w:szCs w:val="21"/>
              </w:rPr>
            </w:pPr>
            <w:r>
              <w:rPr>
                <w:sz w:val="21"/>
                <w:szCs w:val="21"/>
              </w:rPr>
              <w:t>1,810</w:t>
            </w:r>
          </w:p>
        </w:tc>
        <w:tc>
          <w:tcPr>
            <w:tcW w:w="2805" w:type="dxa"/>
            <w:vAlign w:val="center"/>
          </w:tcPr>
          <w:p w14:paraId="3985507F">
            <w:pPr>
              <w:pStyle w:val="37"/>
              <w:rPr>
                <w:sz w:val="21"/>
                <w:szCs w:val="21"/>
              </w:rPr>
            </w:pPr>
            <w:r>
              <w:rPr>
                <w:sz w:val="21"/>
                <w:szCs w:val="21"/>
              </w:rPr>
              <w:t>39.68</w:t>
            </w:r>
          </w:p>
        </w:tc>
        <w:tc>
          <w:tcPr>
            <w:tcW w:w="2176" w:type="dxa"/>
            <w:vAlign w:val="center"/>
          </w:tcPr>
          <w:p w14:paraId="4A6DD9D9">
            <w:pPr>
              <w:pStyle w:val="37"/>
              <w:rPr>
                <w:sz w:val="21"/>
                <w:szCs w:val="21"/>
              </w:rPr>
            </w:pPr>
            <w:r>
              <w:rPr>
                <w:sz w:val="21"/>
                <w:szCs w:val="21"/>
              </w:rPr>
              <w:t>38.53</w:t>
            </w:r>
          </w:p>
        </w:tc>
      </w:tr>
      <w:tr w14:paraId="068D62EB">
        <w:trPr>
          <w:cantSplit/>
          <w:tblHeader/>
          <w:tblCellSpacing w:w="15" w:type="dxa"/>
        </w:trPr>
        <w:tc>
          <w:tcPr>
            <w:tcW w:w="0" w:type="auto"/>
            <w:vAlign w:val="center"/>
          </w:tcPr>
          <w:p w14:paraId="28C1EB5F">
            <w:pPr>
              <w:pStyle w:val="37"/>
              <w:rPr>
                <w:sz w:val="21"/>
                <w:szCs w:val="21"/>
              </w:rPr>
            </w:pPr>
            <w:r>
              <w:rPr>
                <w:sz w:val="21"/>
                <w:szCs w:val="21"/>
              </w:rPr>
              <w:t>2025–2030</w:t>
            </w:r>
          </w:p>
        </w:tc>
        <w:tc>
          <w:tcPr>
            <w:tcW w:w="1826" w:type="dxa"/>
            <w:vAlign w:val="center"/>
          </w:tcPr>
          <w:p w14:paraId="326F6445">
            <w:pPr>
              <w:pStyle w:val="37"/>
              <w:rPr>
                <w:sz w:val="21"/>
                <w:szCs w:val="21"/>
              </w:rPr>
            </w:pPr>
            <w:r>
              <w:rPr>
                <w:sz w:val="21"/>
                <w:szCs w:val="21"/>
              </w:rPr>
              <w:t>Urban</w:t>
            </w:r>
          </w:p>
        </w:tc>
        <w:tc>
          <w:tcPr>
            <w:tcW w:w="2663" w:type="dxa"/>
            <w:vAlign w:val="center"/>
          </w:tcPr>
          <w:p w14:paraId="76666CDA">
            <w:pPr>
              <w:pStyle w:val="37"/>
              <w:rPr>
                <w:sz w:val="21"/>
                <w:szCs w:val="21"/>
              </w:rPr>
            </w:pPr>
            <w:r>
              <w:rPr>
                <w:sz w:val="21"/>
                <w:szCs w:val="21"/>
              </w:rPr>
              <w:t>23</w:t>
            </w:r>
          </w:p>
        </w:tc>
        <w:tc>
          <w:tcPr>
            <w:tcW w:w="2805" w:type="dxa"/>
            <w:vAlign w:val="center"/>
          </w:tcPr>
          <w:p w14:paraId="526AD377">
            <w:pPr>
              <w:pStyle w:val="37"/>
              <w:rPr>
                <w:sz w:val="21"/>
                <w:szCs w:val="21"/>
              </w:rPr>
            </w:pPr>
            <w:r>
              <w:rPr>
                <w:sz w:val="21"/>
                <w:szCs w:val="21"/>
              </w:rPr>
              <w:t>13.12</w:t>
            </w:r>
          </w:p>
        </w:tc>
        <w:tc>
          <w:tcPr>
            <w:tcW w:w="2176" w:type="dxa"/>
            <w:vAlign w:val="center"/>
          </w:tcPr>
          <w:p w14:paraId="673F6833">
            <w:pPr>
              <w:pStyle w:val="37"/>
              <w:rPr>
                <w:sz w:val="21"/>
                <w:szCs w:val="21"/>
              </w:rPr>
            </w:pPr>
            <w:r>
              <w:rPr>
                <w:sz w:val="21"/>
                <w:szCs w:val="21"/>
              </w:rPr>
              <w:t>40.05</w:t>
            </w:r>
          </w:p>
        </w:tc>
      </w:tr>
      <w:tr w14:paraId="441BE2C1">
        <w:trPr>
          <w:cantSplit/>
          <w:tblHeader/>
          <w:tblCellSpacing w:w="15" w:type="dxa"/>
        </w:trPr>
        <w:tc>
          <w:tcPr>
            <w:tcW w:w="0" w:type="auto"/>
            <w:vAlign w:val="center"/>
          </w:tcPr>
          <w:p w14:paraId="7918848B">
            <w:pPr>
              <w:pStyle w:val="37"/>
              <w:rPr>
                <w:sz w:val="21"/>
                <w:szCs w:val="21"/>
              </w:rPr>
            </w:pPr>
          </w:p>
        </w:tc>
        <w:tc>
          <w:tcPr>
            <w:tcW w:w="1826" w:type="dxa"/>
            <w:vAlign w:val="center"/>
          </w:tcPr>
          <w:p w14:paraId="3CA1CB06">
            <w:pPr>
              <w:pStyle w:val="37"/>
              <w:rPr>
                <w:rFonts w:ascii="宋体" w:hAnsi="宋体" w:eastAsia="宋体" w:cs="宋体"/>
                <w:sz w:val="21"/>
                <w:szCs w:val="21"/>
              </w:rPr>
            </w:pPr>
            <w:r>
              <w:rPr>
                <w:sz w:val="21"/>
                <w:szCs w:val="21"/>
              </w:rPr>
              <w:t>Rural</w:t>
            </w:r>
          </w:p>
        </w:tc>
        <w:tc>
          <w:tcPr>
            <w:tcW w:w="2663" w:type="dxa"/>
            <w:vAlign w:val="center"/>
          </w:tcPr>
          <w:p w14:paraId="25F668D8">
            <w:pPr>
              <w:pStyle w:val="37"/>
              <w:rPr>
                <w:sz w:val="21"/>
                <w:szCs w:val="21"/>
              </w:rPr>
            </w:pPr>
            <w:r>
              <w:rPr>
                <w:sz w:val="21"/>
                <w:szCs w:val="21"/>
              </w:rPr>
              <w:t>1,666</w:t>
            </w:r>
          </w:p>
        </w:tc>
        <w:tc>
          <w:tcPr>
            <w:tcW w:w="2805" w:type="dxa"/>
            <w:vAlign w:val="center"/>
          </w:tcPr>
          <w:p w14:paraId="7920DAC4">
            <w:pPr>
              <w:pStyle w:val="37"/>
              <w:rPr>
                <w:sz w:val="21"/>
                <w:szCs w:val="21"/>
              </w:rPr>
            </w:pPr>
            <w:r>
              <w:rPr>
                <w:sz w:val="21"/>
                <w:szCs w:val="21"/>
              </w:rPr>
              <w:t>1.72</w:t>
            </w:r>
          </w:p>
        </w:tc>
        <w:tc>
          <w:tcPr>
            <w:tcW w:w="2176" w:type="dxa"/>
            <w:vAlign w:val="center"/>
          </w:tcPr>
          <w:p w14:paraId="7C758929">
            <w:pPr>
              <w:pStyle w:val="37"/>
              <w:rPr>
                <w:sz w:val="21"/>
                <w:szCs w:val="21"/>
              </w:rPr>
            </w:pPr>
            <w:r>
              <w:rPr>
                <w:sz w:val="21"/>
                <w:szCs w:val="21"/>
              </w:rPr>
              <w:t>8.59</w:t>
            </w:r>
          </w:p>
        </w:tc>
      </w:tr>
      <w:tr w14:paraId="3632E875">
        <w:trPr>
          <w:cantSplit/>
          <w:tblHeader/>
          <w:tblCellSpacing w:w="15" w:type="dxa"/>
        </w:trPr>
        <w:tc>
          <w:tcPr>
            <w:tcW w:w="0" w:type="auto"/>
            <w:vAlign w:val="center"/>
          </w:tcPr>
          <w:p w14:paraId="7CD6DF80">
            <w:pPr>
              <w:pStyle w:val="37"/>
              <w:rPr>
                <w:sz w:val="21"/>
                <w:szCs w:val="21"/>
              </w:rPr>
            </w:pPr>
          </w:p>
        </w:tc>
        <w:tc>
          <w:tcPr>
            <w:tcW w:w="1826" w:type="dxa"/>
            <w:vAlign w:val="center"/>
          </w:tcPr>
          <w:p w14:paraId="5A492616">
            <w:pPr>
              <w:pStyle w:val="37"/>
              <w:rPr>
                <w:rFonts w:ascii="宋体" w:hAnsi="宋体" w:eastAsia="宋体" w:cs="宋体"/>
                <w:sz w:val="21"/>
                <w:szCs w:val="21"/>
              </w:rPr>
            </w:pPr>
            <w:r>
              <w:rPr>
                <w:sz w:val="21"/>
                <w:szCs w:val="21"/>
              </w:rPr>
              <w:t>Total</w:t>
            </w:r>
          </w:p>
        </w:tc>
        <w:tc>
          <w:tcPr>
            <w:tcW w:w="2663" w:type="dxa"/>
            <w:vAlign w:val="center"/>
          </w:tcPr>
          <w:p w14:paraId="43470C1C">
            <w:pPr>
              <w:pStyle w:val="37"/>
              <w:rPr>
                <w:sz w:val="21"/>
                <w:szCs w:val="21"/>
              </w:rPr>
            </w:pPr>
            <w:r>
              <w:rPr>
                <w:sz w:val="21"/>
                <w:szCs w:val="21"/>
              </w:rPr>
              <w:t>1,689</w:t>
            </w:r>
          </w:p>
        </w:tc>
        <w:tc>
          <w:tcPr>
            <w:tcW w:w="2805" w:type="dxa"/>
            <w:vAlign w:val="center"/>
          </w:tcPr>
          <w:p w14:paraId="17A85A27">
            <w:pPr>
              <w:pStyle w:val="37"/>
              <w:rPr>
                <w:sz w:val="21"/>
                <w:szCs w:val="21"/>
              </w:rPr>
            </w:pPr>
            <w:r>
              <w:rPr>
                <w:sz w:val="21"/>
                <w:szCs w:val="21"/>
              </w:rPr>
              <w:t>14.84</w:t>
            </w:r>
          </w:p>
        </w:tc>
        <w:tc>
          <w:tcPr>
            <w:tcW w:w="2176" w:type="dxa"/>
            <w:vAlign w:val="center"/>
          </w:tcPr>
          <w:p w14:paraId="309744B0">
            <w:pPr>
              <w:pStyle w:val="37"/>
              <w:rPr>
                <w:sz w:val="21"/>
                <w:szCs w:val="21"/>
              </w:rPr>
            </w:pPr>
            <w:r>
              <w:rPr>
                <w:sz w:val="21"/>
                <w:szCs w:val="21"/>
              </w:rPr>
              <w:t>48.64</w:t>
            </w:r>
          </w:p>
        </w:tc>
      </w:tr>
      <w:tr w14:paraId="519FA5B6">
        <w:trPr>
          <w:cantSplit/>
          <w:tblHeader/>
          <w:tblCellSpacing w:w="15" w:type="dxa"/>
        </w:trPr>
        <w:tc>
          <w:tcPr>
            <w:tcW w:w="0" w:type="auto"/>
            <w:vAlign w:val="center"/>
          </w:tcPr>
          <w:p w14:paraId="5A0CA625">
            <w:pPr>
              <w:pStyle w:val="37"/>
              <w:rPr>
                <w:sz w:val="21"/>
                <w:szCs w:val="21"/>
              </w:rPr>
            </w:pPr>
            <w:r>
              <w:rPr>
                <w:sz w:val="21"/>
                <w:szCs w:val="21"/>
              </w:rPr>
              <w:t>2030–2035</w:t>
            </w:r>
          </w:p>
        </w:tc>
        <w:tc>
          <w:tcPr>
            <w:tcW w:w="1826" w:type="dxa"/>
            <w:vAlign w:val="center"/>
          </w:tcPr>
          <w:p w14:paraId="324ECAE2">
            <w:pPr>
              <w:pStyle w:val="37"/>
              <w:rPr>
                <w:sz w:val="21"/>
                <w:szCs w:val="21"/>
              </w:rPr>
            </w:pPr>
            <w:r>
              <w:rPr>
                <w:sz w:val="21"/>
                <w:szCs w:val="21"/>
              </w:rPr>
              <w:t>Urban</w:t>
            </w:r>
          </w:p>
        </w:tc>
        <w:tc>
          <w:tcPr>
            <w:tcW w:w="2663" w:type="dxa"/>
            <w:vAlign w:val="center"/>
          </w:tcPr>
          <w:p w14:paraId="13CA1A18">
            <w:pPr>
              <w:pStyle w:val="37"/>
              <w:rPr>
                <w:sz w:val="21"/>
                <w:szCs w:val="21"/>
              </w:rPr>
            </w:pPr>
            <w:r>
              <w:rPr>
                <w:sz w:val="21"/>
                <w:szCs w:val="21"/>
              </w:rPr>
              <w:t>36</w:t>
            </w:r>
          </w:p>
        </w:tc>
        <w:tc>
          <w:tcPr>
            <w:tcW w:w="2805" w:type="dxa"/>
            <w:vAlign w:val="center"/>
          </w:tcPr>
          <w:p w14:paraId="4B57C3F7">
            <w:pPr>
              <w:pStyle w:val="37"/>
              <w:rPr>
                <w:sz w:val="21"/>
                <w:szCs w:val="21"/>
              </w:rPr>
            </w:pPr>
            <w:r>
              <w:rPr>
                <w:sz w:val="21"/>
                <w:szCs w:val="21"/>
              </w:rPr>
              <w:t>45.44</w:t>
            </w:r>
          </w:p>
        </w:tc>
        <w:tc>
          <w:tcPr>
            <w:tcW w:w="2176" w:type="dxa"/>
            <w:vAlign w:val="center"/>
          </w:tcPr>
          <w:p w14:paraId="0105ABE2">
            <w:pPr>
              <w:pStyle w:val="37"/>
              <w:rPr>
                <w:sz w:val="21"/>
                <w:szCs w:val="21"/>
              </w:rPr>
            </w:pPr>
            <w:r>
              <w:rPr>
                <w:sz w:val="21"/>
                <w:szCs w:val="21"/>
              </w:rPr>
              <w:t>54.93</w:t>
            </w:r>
          </w:p>
        </w:tc>
      </w:tr>
      <w:tr w14:paraId="41BA21DA">
        <w:trPr>
          <w:cantSplit/>
          <w:tblHeader/>
          <w:tblCellSpacing w:w="15" w:type="dxa"/>
        </w:trPr>
        <w:tc>
          <w:tcPr>
            <w:tcW w:w="0" w:type="auto"/>
            <w:vAlign w:val="center"/>
          </w:tcPr>
          <w:p w14:paraId="74A52230">
            <w:pPr>
              <w:pStyle w:val="37"/>
              <w:rPr>
                <w:sz w:val="21"/>
                <w:szCs w:val="21"/>
              </w:rPr>
            </w:pPr>
          </w:p>
        </w:tc>
        <w:tc>
          <w:tcPr>
            <w:tcW w:w="1826" w:type="dxa"/>
            <w:vAlign w:val="center"/>
          </w:tcPr>
          <w:p w14:paraId="7E1D8664">
            <w:pPr>
              <w:pStyle w:val="37"/>
              <w:rPr>
                <w:rFonts w:ascii="宋体" w:hAnsi="宋体" w:eastAsia="宋体" w:cs="宋体"/>
                <w:sz w:val="21"/>
                <w:szCs w:val="21"/>
              </w:rPr>
            </w:pPr>
            <w:r>
              <w:rPr>
                <w:sz w:val="21"/>
                <w:szCs w:val="21"/>
              </w:rPr>
              <w:t>Rural</w:t>
            </w:r>
          </w:p>
        </w:tc>
        <w:tc>
          <w:tcPr>
            <w:tcW w:w="2663" w:type="dxa"/>
            <w:vAlign w:val="center"/>
          </w:tcPr>
          <w:p w14:paraId="4DB9AD61">
            <w:pPr>
              <w:pStyle w:val="37"/>
              <w:rPr>
                <w:sz w:val="21"/>
                <w:szCs w:val="21"/>
              </w:rPr>
            </w:pPr>
            <w:r>
              <w:rPr>
                <w:sz w:val="21"/>
                <w:szCs w:val="21"/>
              </w:rPr>
              <w:t>1,630</w:t>
            </w:r>
          </w:p>
        </w:tc>
        <w:tc>
          <w:tcPr>
            <w:tcW w:w="2805" w:type="dxa"/>
            <w:vAlign w:val="center"/>
          </w:tcPr>
          <w:p w14:paraId="673D303D">
            <w:pPr>
              <w:pStyle w:val="37"/>
              <w:rPr>
                <w:sz w:val="21"/>
                <w:szCs w:val="21"/>
              </w:rPr>
            </w:pPr>
            <w:r>
              <w:rPr>
                <w:sz w:val="21"/>
                <w:szCs w:val="21"/>
              </w:rPr>
              <w:t>1.74</w:t>
            </w:r>
          </w:p>
        </w:tc>
        <w:tc>
          <w:tcPr>
            <w:tcW w:w="2176" w:type="dxa"/>
            <w:vAlign w:val="center"/>
          </w:tcPr>
          <w:p w14:paraId="3170715F">
            <w:pPr>
              <w:pStyle w:val="37"/>
              <w:rPr>
                <w:sz w:val="21"/>
                <w:szCs w:val="21"/>
              </w:rPr>
            </w:pPr>
            <w:r>
              <w:rPr>
                <w:sz w:val="21"/>
                <w:szCs w:val="21"/>
              </w:rPr>
              <w:t>26.60</w:t>
            </w:r>
          </w:p>
        </w:tc>
      </w:tr>
      <w:tr w14:paraId="4BDC98F2">
        <w:trPr>
          <w:cantSplit/>
          <w:tblHeader/>
          <w:tblCellSpacing w:w="15" w:type="dxa"/>
        </w:trPr>
        <w:tc>
          <w:tcPr>
            <w:tcW w:w="0" w:type="auto"/>
            <w:vAlign w:val="center"/>
          </w:tcPr>
          <w:p w14:paraId="1CB187F5">
            <w:pPr>
              <w:pStyle w:val="37"/>
              <w:rPr>
                <w:sz w:val="21"/>
                <w:szCs w:val="21"/>
              </w:rPr>
            </w:pPr>
          </w:p>
        </w:tc>
        <w:tc>
          <w:tcPr>
            <w:tcW w:w="1826" w:type="dxa"/>
            <w:vAlign w:val="center"/>
          </w:tcPr>
          <w:p w14:paraId="61B97AB9">
            <w:pPr>
              <w:pStyle w:val="37"/>
              <w:rPr>
                <w:rFonts w:ascii="宋体" w:hAnsi="宋体" w:eastAsia="宋体" w:cs="宋体"/>
                <w:sz w:val="21"/>
                <w:szCs w:val="21"/>
              </w:rPr>
            </w:pPr>
            <w:r>
              <w:rPr>
                <w:sz w:val="21"/>
                <w:szCs w:val="21"/>
              </w:rPr>
              <w:t>Total</w:t>
            </w:r>
          </w:p>
        </w:tc>
        <w:tc>
          <w:tcPr>
            <w:tcW w:w="2663" w:type="dxa"/>
            <w:vAlign w:val="center"/>
          </w:tcPr>
          <w:p w14:paraId="23A5F84E">
            <w:pPr>
              <w:pStyle w:val="37"/>
              <w:rPr>
                <w:sz w:val="21"/>
                <w:szCs w:val="21"/>
              </w:rPr>
            </w:pPr>
            <w:r>
              <w:rPr>
                <w:sz w:val="21"/>
                <w:szCs w:val="21"/>
              </w:rPr>
              <w:t>1,666</w:t>
            </w:r>
          </w:p>
        </w:tc>
        <w:tc>
          <w:tcPr>
            <w:tcW w:w="2805" w:type="dxa"/>
            <w:vAlign w:val="center"/>
          </w:tcPr>
          <w:p w14:paraId="31338DCC">
            <w:pPr>
              <w:pStyle w:val="37"/>
              <w:rPr>
                <w:sz w:val="21"/>
                <w:szCs w:val="21"/>
              </w:rPr>
            </w:pPr>
            <w:r>
              <w:rPr>
                <w:sz w:val="21"/>
                <w:szCs w:val="21"/>
              </w:rPr>
              <w:t>47.18</w:t>
            </w:r>
          </w:p>
        </w:tc>
        <w:tc>
          <w:tcPr>
            <w:tcW w:w="2176" w:type="dxa"/>
            <w:vAlign w:val="center"/>
          </w:tcPr>
          <w:p w14:paraId="21D38D33">
            <w:pPr>
              <w:pStyle w:val="37"/>
              <w:rPr>
                <w:sz w:val="21"/>
                <w:szCs w:val="21"/>
              </w:rPr>
            </w:pPr>
            <w:r>
              <w:rPr>
                <w:sz w:val="21"/>
                <w:szCs w:val="21"/>
              </w:rPr>
              <w:t>81.53</w:t>
            </w:r>
          </w:p>
        </w:tc>
      </w:tr>
      <w:tr w14:paraId="624A91B7">
        <w:trPr>
          <w:cantSplit/>
          <w:tblHeader/>
          <w:tblCellSpacing w:w="15" w:type="dxa"/>
        </w:trPr>
        <w:tc>
          <w:tcPr>
            <w:tcW w:w="0" w:type="auto"/>
            <w:vAlign w:val="center"/>
          </w:tcPr>
          <w:p w14:paraId="68E45753">
            <w:pPr>
              <w:pStyle w:val="37"/>
              <w:rPr>
                <w:sz w:val="21"/>
                <w:szCs w:val="21"/>
              </w:rPr>
            </w:pPr>
            <w:r>
              <w:rPr>
                <w:sz w:val="21"/>
                <w:szCs w:val="21"/>
              </w:rPr>
              <w:t>2035–2040</w:t>
            </w:r>
          </w:p>
        </w:tc>
        <w:tc>
          <w:tcPr>
            <w:tcW w:w="1826" w:type="dxa"/>
            <w:vAlign w:val="center"/>
          </w:tcPr>
          <w:p w14:paraId="1AF6FC12">
            <w:pPr>
              <w:pStyle w:val="37"/>
              <w:rPr>
                <w:sz w:val="21"/>
                <w:szCs w:val="21"/>
              </w:rPr>
            </w:pPr>
            <w:r>
              <w:rPr>
                <w:sz w:val="21"/>
                <w:szCs w:val="21"/>
              </w:rPr>
              <w:t>Urban</w:t>
            </w:r>
          </w:p>
        </w:tc>
        <w:tc>
          <w:tcPr>
            <w:tcW w:w="2663" w:type="dxa"/>
            <w:vAlign w:val="center"/>
          </w:tcPr>
          <w:p w14:paraId="10310E1E">
            <w:pPr>
              <w:pStyle w:val="37"/>
              <w:rPr>
                <w:sz w:val="21"/>
                <w:szCs w:val="21"/>
              </w:rPr>
            </w:pPr>
            <w:r>
              <w:rPr>
                <w:sz w:val="21"/>
                <w:szCs w:val="21"/>
              </w:rPr>
              <w:t>42</w:t>
            </w:r>
          </w:p>
        </w:tc>
        <w:tc>
          <w:tcPr>
            <w:tcW w:w="2805" w:type="dxa"/>
            <w:vAlign w:val="center"/>
          </w:tcPr>
          <w:p w14:paraId="44F744A1">
            <w:pPr>
              <w:pStyle w:val="37"/>
              <w:rPr>
                <w:sz w:val="21"/>
                <w:szCs w:val="21"/>
              </w:rPr>
            </w:pPr>
            <w:r>
              <w:rPr>
                <w:sz w:val="21"/>
                <w:szCs w:val="21"/>
              </w:rPr>
              <w:t>45.85</w:t>
            </w:r>
          </w:p>
        </w:tc>
        <w:tc>
          <w:tcPr>
            <w:tcW w:w="2176" w:type="dxa"/>
            <w:vAlign w:val="center"/>
          </w:tcPr>
          <w:p w14:paraId="5D10A303">
            <w:pPr>
              <w:pStyle w:val="37"/>
              <w:rPr>
                <w:sz w:val="21"/>
                <w:szCs w:val="21"/>
              </w:rPr>
            </w:pPr>
            <w:r>
              <w:rPr>
                <w:sz w:val="21"/>
                <w:szCs w:val="21"/>
              </w:rPr>
              <w:t>57.72</w:t>
            </w:r>
          </w:p>
        </w:tc>
      </w:tr>
      <w:tr w14:paraId="79DB66E8">
        <w:trPr>
          <w:cantSplit/>
          <w:tblHeader/>
          <w:tblCellSpacing w:w="15" w:type="dxa"/>
        </w:trPr>
        <w:tc>
          <w:tcPr>
            <w:tcW w:w="0" w:type="auto"/>
            <w:vAlign w:val="center"/>
          </w:tcPr>
          <w:p w14:paraId="61C4FB56">
            <w:pPr>
              <w:pStyle w:val="37"/>
              <w:rPr>
                <w:sz w:val="21"/>
                <w:szCs w:val="21"/>
              </w:rPr>
            </w:pPr>
          </w:p>
        </w:tc>
        <w:tc>
          <w:tcPr>
            <w:tcW w:w="1826" w:type="dxa"/>
            <w:vAlign w:val="center"/>
          </w:tcPr>
          <w:p w14:paraId="5CEAF49F">
            <w:pPr>
              <w:pStyle w:val="37"/>
              <w:rPr>
                <w:rFonts w:ascii="宋体" w:hAnsi="宋体" w:eastAsia="宋体" w:cs="宋体"/>
                <w:sz w:val="21"/>
                <w:szCs w:val="21"/>
              </w:rPr>
            </w:pPr>
            <w:r>
              <w:rPr>
                <w:sz w:val="21"/>
                <w:szCs w:val="21"/>
              </w:rPr>
              <w:t>Rural</w:t>
            </w:r>
          </w:p>
        </w:tc>
        <w:tc>
          <w:tcPr>
            <w:tcW w:w="2663" w:type="dxa"/>
            <w:vAlign w:val="center"/>
          </w:tcPr>
          <w:p w14:paraId="3CB7648F">
            <w:pPr>
              <w:pStyle w:val="37"/>
              <w:rPr>
                <w:sz w:val="21"/>
                <w:szCs w:val="21"/>
              </w:rPr>
            </w:pPr>
            <w:r>
              <w:rPr>
                <w:sz w:val="21"/>
                <w:szCs w:val="21"/>
              </w:rPr>
              <w:t>1,528</w:t>
            </w:r>
          </w:p>
        </w:tc>
        <w:tc>
          <w:tcPr>
            <w:tcW w:w="2805" w:type="dxa"/>
            <w:vAlign w:val="center"/>
          </w:tcPr>
          <w:p w14:paraId="629991E5">
            <w:pPr>
              <w:pStyle w:val="37"/>
              <w:rPr>
                <w:sz w:val="21"/>
                <w:szCs w:val="21"/>
              </w:rPr>
            </w:pPr>
            <w:r>
              <w:rPr>
                <w:sz w:val="21"/>
                <w:szCs w:val="21"/>
              </w:rPr>
              <w:t>1.48</w:t>
            </w:r>
          </w:p>
        </w:tc>
        <w:tc>
          <w:tcPr>
            <w:tcW w:w="2176" w:type="dxa"/>
            <w:vAlign w:val="center"/>
          </w:tcPr>
          <w:p w14:paraId="387EF720">
            <w:pPr>
              <w:pStyle w:val="37"/>
              <w:rPr>
                <w:sz w:val="21"/>
                <w:szCs w:val="21"/>
              </w:rPr>
            </w:pPr>
            <w:r>
              <w:rPr>
                <w:sz w:val="21"/>
                <w:szCs w:val="21"/>
              </w:rPr>
              <w:t>3.07</w:t>
            </w:r>
          </w:p>
        </w:tc>
      </w:tr>
      <w:tr w14:paraId="1EB8015B">
        <w:trPr>
          <w:cantSplit/>
          <w:tblHeader/>
          <w:tblCellSpacing w:w="15" w:type="dxa"/>
        </w:trPr>
        <w:tc>
          <w:tcPr>
            <w:tcW w:w="0" w:type="auto"/>
            <w:vAlign w:val="center"/>
          </w:tcPr>
          <w:p w14:paraId="7107BBC7">
            <w:pPr>
              <w:pStyle w:val="37"/>
              <w:rPr>
                <w:sz w:val="21"/>
                <w:szCs w:val="21"/>
              </w:rPr>
            </w:pPr>
          </w:p>
        </w:tc>
        <w:tc>
          <w:tcPr>
            <w:tcW w:w="1826" w:type="dxa"/>
            <w:vAlign w:val="center"/>
          </w:tcPr>
          <w:p w14:paraId="50BBB7E7">
            <w:pPr>
              <w:pStyle w:val="37"/>
              <w:rPr>
                <w:rFonts w:ascii="宋体" w:hAnsi="宋体" w:eastAsia="宋体" w:cs="宋体"/>
                <w:sz w:val="21"/>
                <w:szCs w:val="21"/>
              </w:rPr>
            </w:pPr>
            <w:r>
              <w:rPr>
                <w:sz w:val="21"/>
                <w:szCs w:val="21"/>
              </w:rPr>
              <w:t>Total</w:t>
            </w:r>
          </w:p>
        </w:tc>
        <w:tc>
          <w:tcPr>
            <w:tcW w:w="2663" w:type="dxa"/>
            <w:vAlign w:val="center"/>
          </w:tcPr>
          <w:p w14:paraId="4C8B0770">
            <w:pPr>
              <w:pStyle w:val="37"/>
              <w:rPr>
                <w:sz w:val="21"/>
                <w:szCs w:val="21"/>
              </w:rPr>
            </w:pPr>
            <w:r>
              <w:rPr>
                <w:sz w:val="21"/>
                <w:szCs w:val="21"/>
              </w:rPr>
              <w:t>1,570</w:t>
            </w:r>
          </w:p>
        </w:tc>
        <w:tc>
          <w:tcPr>
            <w:tcW w:w="2805" w:type="dxa"/>
            <w:vAlign w:val="center"/>
          </w:tcPr>
          <w:p w14:paraId="0CA92A75">
            <w:pPr>
              <w:pStyle w:val="37"/>
              <w:rPr>
                <w:sz w:val="21"/>
                <w:szCs w:val="21"/>
              </w:rPr>
            </w:pPr>
            <w:r>
              <w:rPr>
                <w:sz w:val="21"/>
                <w:szCs w:val="21"/>
              </w:rPr>
              <w:t>47.34</w:t>
            </w:r>
          </w:p>
        </w:tc>
        <w:tc>
          <w:tcPr>
            <w:tcW w:w="2176" w:type="dxa"/>
            <w:vAlign w:val="center"/>
          </w:tcPr>
          <w:p w14:paraId="50CE8B04">
            <w:pPr>
              <w:pStyle w:val="37"/>
              <w:rPr>
                <w:sz w:val="21"/>
                <w:szCs w:val="21"/>
              </w:rPr>
            </w:pPr>
            <w:r>
              <w:rPr>
                <w:sz w:val="21"/>
                <w:szCs w:val="21"/>
              </w:rPr>
              <w:t>60.79</w:t>
            </w:r>
          </w:p>
        </w:tc>
      </w:tr>
      <w:tr w14:paraId="68E8809D">
        <w:trPr>
          <w:cantSplit/>
          <w:tblHeader/>
          <w:tblCellSpacing w:w="15" w:type="dxa"/>
        </w:trPr>
        <w:tc>
          <w:tcPr>
            <w:tcW w:w="0" w:type="auto"/>
            <w:vAlign w:val="center"/>
          </w:tcPr>
          <w:p w14:paraId="1418BEED">
            <w:pPr>
              <w:pStyle w:val="37"/>
              <w:rPr>
                <w:sz w:val="21"/>
                <w:szCs w:val="21"/>
              </w:rPr>
            </w:pPr>
            <w:r>
              <w:rPr>
                <w:sz w:val="21"/>
                <w:szCs w:val="21"/>
              </w:rPr>
              <w:t>2040–2045</w:t>
            </w:r>
          </w:p>
        </w:tc>
        <w:tc>
          <w:tcPr>
            <w:tcW w:w="1826" w:type="dxa"/>
            <w:vAlign w:val="center"/>
          </w:tcPr>
          <w:p w14:paraId="14614CC9">
            <w:pPr>
              <w:pStyle w:val="37"/>
              <w:rPr>
                <w:sz w:val="21"/>
                <w:szCs w:val="21"/>
              </w:rPr>
            </w:pPr>
            <w:r>
              <w:rPr>
                <w:sz w:val="21"/>
                <w:szCs w:val="21"/>
              </w:rPr>
              <w:t>Urban</w:t>
            </w:r>
          </w:p>
        </w:tc>
        <w:tc>
          <w:tcPr>
            <w:tcW w:w="2663" w:type="dxa"/>
            <w:vAlign w:val="center"/>
          </w:tcPr>
          <w:p w14:paraId="73CB87D1">
            <w:pPr>
              <w:pStyle w:val="37"/>
              <w:rPr>
                <w:sz w:val="21"/>
                <w:szCs w:val="21"/>
              </w:rPr>
            </w:pPr>
            <w:r>
              <w:rPr>
                <w:sz w:val="21"/>
                <w:szCs w:val="21"/>
              </w:rPr>
              <w:t>29</w:t>
            </w:r>
          </w:p>
        </w:tc>
        <w:tc>
          <w:tcPr>
            <w:tcW w:w="2805" w:type="dxa"/>
            <w:vAlign w:val="center"/>
          </w:tcPr>
          <w:p w14:paraId="62266418">
            <w:pPr>
              <w:pStyle w:val="37"/>
              <w:rPr>
                <w:sz w:val="21"/>
                <w:szCs w:val="21"/>
              </w:rPr>
            </w:pPr>
            <w:r>
              <w:rPr>
                <w:sz w:val="21"/>
                <w:szCs w:val="21"/>
              </w:rPr>
              <w:t>26.79</w:t>
            </w:r>
          </w:p>
        </w:tc>
        <w:tc>
          <w:tcPr>
            <w:tcW w:w="2176" w:type="dxa"/>
            <w:vAlign w:val="center"/>
          </w:tcPr>
          <w:p w14:paraId="75DAE0A1">
            <w:pPr>
              <w:pStyle w:val="37"/>
              <w:rPr>
                <w:sz w:val="21"/>
                <w:szCs w:val="21"/>
              </w:rPr>
            </w:pPr>
            <w:r>
              <w:rPr>
                <w:sz w:val="21"/>
                <w:szCs w:val="21"/>
              </w:rPr>
              <w:t>35.85</w:t>
            </w:r>
          </w:p>
        </w:tc>
      </w:tr>
      <w:tr w14:paraId="50C42F30">
        <w:trPr>
          <w:cantSplit/>
          <w:tblHeader/>
          <w:tblCellSpacing w:w="15" w:type="dxa"/>
        </w:trPr>
        <w:tc>
          <w:tcPr>
            <w:tcW w:w="0" w:type="auto"/>
            <w:vAlign w:val="center"/>
          </w:tcPr>
          <w:p w14:paraId="3A9AF841">
            <w:pPr>
              <w:pStyle w:val="37"/>
              <w:rPr>
                <w:sz w:val="21"/>
                <w:szCs w:val="21"/>
              </w:rPr>
            </w:pPr>
          </w:p>
        </w:tc>
        <w:tc>
          <w:tcPr>
            <w:tcW w:w="1826" w:type="dxa"/>
            <w:vAlign w:val="center"/>
          </w:tcPr>
          <w:p w14:paraId="66329AB2">
            <w:pPr>
              <w:pStyle w:val="37"/>
              <w:rPr>
                <w:rFonts w:ascii="宋体" w:hAnsi="宋体" w:eastAsia="宋体" w:cs="宋体"/>
                <w:sz w:val="21"/>
                <w:szCs w:val="21"/>
              </w:rPr>
            </w:pPr>
            <w:r>
              <w:rPr>
                <w:sz w:val="21"/>
                <w:szCs w:val="21"/>
              </w:rPr>
              <w:t>Rural</w:t>
            </w:r>
          </w:p>
        </w:tc>
        <w:tc>
          <w:tcPr>
            <w:tcW w:w="2663" w:type="dxa"/>
            <w:vAlign w:val="center"/>
          </w:tcPr>
          <w:p w14:paraId="3E658AA3">
            <w:pPr>
              <w:pStyle w:val="37"/>
              <w:rPr>
                <w:sz w:val="21"/>
                <w:szCs w:val="21"/>
              </w:rPr>
            </w:pPr>
            <w:r>
              <w:rPr>
                <w:sz w:val="21"/>
                <w:szCs w:val="21"/>
              </w:rPr>
              <w:t>1,553</w:t>
            </w:r>
          </w:p>
        </w:tc>
        <w:tc>
          <w:tcPr>
            <w:tcW w:w="2805" w:type="dxa"/>
            <w:vAlign w:val="center"/>
          </w:tcPr>
          <w:p w14:paraId="58845F3D">
            <w:pPr>
              <w:pStyle w:val="37"/>
              <w:rPr>
                <w:sz w:val="21"/>
                <w:szCs w:val="21"/>
              </w:rPr>
            </w:pPr>
            <w:r>
              <w:rPr>
                <w:sz w:val="21"/>
                <w:szCs w:val="21"/>
              </w:rPr>
              <w:t>1.57</w:t>
            </w:r>
          </w:p>
        </w:tc>
        <w:tc>
          <w:tcPr>
            <w:tcW w:w="2176" w:type="dxa"/>
            <w:vAlign w:val="center"/>
          </w:tcPr>
          <w:p w14:paraId="694680B3">
            <w:pPr>
              <w:pStyle w:val="37"/>
              <w:rPr>
                <w:sz w:val="21"/>
                <w:szCs w:val="21"/>
              </w:rPr>
            </w:pPr>
            <w:r>
              <w:rPr>
                <w:sz w:val="21"/>
                <w:szCs w:val="21"/>
              </w:rPr>
              <w:t>17.29</w:t>
            </w:r>
          </w:p>
        </w:tc>
      </w:tr>
      <w:tr w14:paraId="124ECE75">
        <w:trPr>
          <w:cantSplit/>
          <w:tblHeader/>
          <w:tblCellSpacing w:w="15" w:type="dxa"/>
        </w:trPr>
        <w:tc>
          <w:tcPr>
            <w:tcW w:w="0" w:type="auto"/>
            <w:vAlign w:val="center"/>
          </w:tcPr>
          <w:p w14:paraId="11532E50">
            <w:pPr>
              <w:pStyle w:val="37"/>
              <w:rPr>
                <w:sz w:val="21"/>
                <w:szCs w:val="21"/>
              </w:rPr>
            </w:pPr>
          </w:p>
        </w:tc>
        <w:tc>
          <w:tcPr>
            <w:tcW w:w="1826" w:type="dxa"/>
            <w:vAlign w:val="center"/>
          </w:tcPr>
          <w:p w14:paraId="3F247FCA">
            <w:pPr>
              <w:pStyle w:val="37"/>
              <w:rPr>
                <w:rFonts w:ascii="宋体" w:hAnsi="宋体" w:eastAsia="宋体" w:cs="宋体"/>
                <w:sz w:val="21"/>
                <w:szCs w:val="21"/>
              </w:rPr>
            </w:pPr>
            <w:r>
              <w:rPr>
                <w:sz w:val="21"/>
                <w:szCs w:val="21"/>
              </w:rPr>
              <w:t>Total</w:t>
            </w:r>
          </w:p>
        </w:tc>
        <w:tc>
          <w:tcPr>
            <w:tcW w:w="2663" w:type="dxa"/>
            <w:vAlign w:val="center"/>
          </w:tcPr>
          <w:p w14:paraId="76474238">
            <w:pPr>
              <w:pStyle w:val="37"/>
              <w:rPr>
                <w:sz w:val="21"/>
                <w:szCs w:val="21"/>
              </w:rPr>
            </w:pPr>
            <w:r>
              <w:rPr>
                <w:sz w:val="21"/>
                <w:szCs w:val="21"/>
              </w:rPr>
              <w:t>1,582</w:t>
            </w:r>
          </w:p>
        </w:tc>
        <w:tc>
          <w:tcPr>
            <w:tcW w:w="2805" w:type="dxa"/>
            <w:vAlign w:val="center"/>
          </w:tcPr>
          <w:p w14:paraId="26C45661">
            <w:pPr>
              <w:pStyle w:val="37"/>
              <w:rPr>
                <w:sz w:val="21"/>
                <w:szCs w:val="21"/>
              </w:rPr>
            </w:pPr>
            <w:r>
              <w:rPr>
                <w:sz w:val="21"/>
                <w:szCs w:val="21"/>
              </w:rPr>
              <w:t>28.36</w:t>
            </w:r>
          </w:p>
        </w:tc>
        <w:tc>
          <w:tcPr>
            <w:tcW w:w="2176" w:type="dxa"/>
            <w:vAlign w:val="center"/>
          </w:tcPr>
          <w:p w14:paraId="5532A0C7">
            <w:pPr>
              <w:pStyle w:val="37"/>
              <w:rPr>
                <w:sz w:val="21"/>
                <w:szCs w:val="21"/>
              </w:rPr>
            </w:pPr>
            <w:r>
              <w:rPr>
                <w:sz w:val="21"/>
                <w:szCs w:val="21"/>
              </w:rPr>
              <w:t>53.14</w:t>
            </w:r>
          </w:p>
        </w:tc>
      </w:tr>
      <w:tr w14:paraId="08939C19">
        <w:trPr>
          <w:cantSplit/>
          <w:tblHeader/>
          <w:tblCellSpacing w:w="15" w:type="dxa"/>
        </w:trPr>
        <w:tc>
          <w:tcPr>
            <w:tcW w:w="0" w:type="auto"/>
            <w:vAlign w:val="center"/>
          </w:tcPr>
          <w:p w14:paraId="74532203">
            <w:pPr>
              <w:pStyle w:val="37"/>
              <w:rPr>
                <w:sz w:val="21"/>
                <w:szCs w:val="21"/>
              </w:rPr>
            </w:pPr>
            <w:r>
              <w:rPr>
                <w:sz w:val="21"/>
                <w:szCs w:val="21"/>
              </w:rPr>
              <w:t>2045–2050</w:t>
            </w:r>
          </w:p>
        </w:tc>
        <w:tc>
          <w:tcPr>
            <w:tcW w:w="1826" w:type="dxa"/>
            <w:vAlign w:val="center"/>
          </w:tcPr>
          <w:p w14:paraId="344CC02E">
            <w:pPr>
              <w:pStyle w:val="37"/>
              <w:rPr>
                <w:sz w:val="21"/>
                <w:szCs w:val="21"/>
              </w:rPr>
            </w:pPr>
            <w:r>
              <w:rPr>
                <w:sz w:val="21"/>
                <w:szCs w:val="21"/>
              </w:rPr>
              <w:t>Urban</w:t>
            </w:r>
          </w:p>
        </w:tc>
        <w:tc>
          <w:tcPr>
            <w:tcW w:w="2663" w:type="dxa"/>
            <w:vAlign w:val="center"/>
          </w:tcPr>
          <w:p w14:paraId="7F757E8C">
            <w:pPr>
              <w:pStyle w:val="37"/>
              <w:rPr>
                <w:sz w:val="21"/>
                <w:szCs w:val="21"/>
              </w:rPr>
            </w:pPr>
            <w:r>
              <w:rPr>
                <w:sz w:val="21"/>
                <w:szCs w:val="21"/>
              </w:rPr>
              <w:t>46</w:t>
            </w:r>
          </w:p>
        </w:tc>
        <w:tc>
          <w:tcPr>
            <w:tcW w:w="2805" w:type="dxa"/>
            <w:vAlign w:val="center"/>
          </w:tcPr>
          <w:p w14:paraId="5984B8E5">
            <w:pPr>
              <w:pStyle w:val="37"/>
              <w:rPr>
                <w:sz w:val="21"/>
                <w:szCs w:val="21"/>
              </w:rPr>
            </w:pPr>
            <w:r>
              <w:rPr>
                <w:sz w:val="21"/>
                <w:szCs w:val="21"/>
              </w:rPr>
              <w:t>44.27</w:t>
            </w:r>
          </w:p>
        </w:tc>
        <w:tc>
          <w:tcPr>
            <w:tcW w:w="2176" w:type="dxa"/>
            <w:vAlign w:val="center"/>
          </w:tcPr>
          <w:p w14:paraId="53B602BB">
            <w:pPr>
              <w:pStyle w:val="37"/>
              <w:rPr>
                <w:sz w:val="21"/>
                <w:szCs w:val="21"/>
              </w:rPr>
            </w:pPr>
            <w:r>
              <w:rPr>
                <w:sz w:val="21"/>
                <w:szCs w:val="21"/>
              </w:rPr>
              <w:t>50.94</w:t>
            </w:r>
          </w:p>
        </w:tc>
      </w:tr>
      <w:tr w14:paraId="70D59B68">
        <w:trPr>
          <w:cantSplit/>
          <w:tblHeader/>
          <w:tblCellSpacing w:w="15" w:type="dxa"/>
        </w:trPr>
        <w:tc>
          <w:tcPr>
            <w:tcW w:w="0" w:type="auto"/>
            <w:vAlign w:val="center"/>
          </w:tcPr>
          <w:p w14:paraId="21D82E98">
            <w:pPr>
              <w:pStyle w:val="37"/>
              <w:rPr>
                <w:sz w:val="21"/>
                <w:szCs w:val="21"/>
              </w:rPr>
            </w:pPr>
          </w:p>
        </w:tc>
        <w:tc>
          <w:tcPr>
            <w:tcW w:w="1826" w:type="dxa"/>
            <w:vAlign w:val="center"/>
          </w:tcPr>
          <w:p w14:paraId="7D8049F1">
            <w:pPr>
              <w:pStyle w:val="37"/>
              <w:rPr>
                <w:rFonts w:ascii="宋体" w:hAnsi="宋体" w:eastAsia="宋体" w:cs="宋体"/>
                <w:sz w:val="21"/>
                <w:szCs w:val="21"/>
              </w:rPr>
            </w:pPr>
            <w:r>
              <w:rPr>
                <w:sz w:val="21"/>
                <w:szCs w:val="21"/>
              </w:rPr>
              <w:t>Rural</w:t>
            </w:r>
          </w:p>
        </w:tc>
        <w:tc>
          <w:tcPr>
            <w:tcW w:w="2663" w:type="dxa"/>
            <w:vAlign w:val="center"/>
          </w:tcPr>
          <w:p w14:paraId="3DA1A2C1">
            <w:pPr>
              <w:pStyle w:val="37"/>
              <w:rPr>
                <w:sz w:val="21"/>
                <w:szCs w:val="21"/>
              </w:rPr>
            </w:pPr>
            <w:r>
              <w:rPr>
                <w:sz w:val="21"/>
                <w:szCs w:val="21"/>
              </w:rPr>
              <w:t>1,468</w:t>
            </w:r>
          </w:p>
        </w:tc>
        <w:tc>
          <w:tcPr>
            <w:tcW w:w="2805" w:type="dxa"/>
            <w:vAlign w:val="center"/>
          </w:tcPr>
          <w:p w14:paraId="7CED97DB">
            <w:pPr>
              <w:pStyle w:val="37"/>
              <w:rPr>
                <w:sz w:val="21"/>
                <w:szCs w:val="21"/>
              </w:rPr>
            </w:pPr>
            <w:r>
              <w:rPr>
                <w:sz w:val="21"/>
                <w:szCs w:val="21"/>
              </w:rPr>
              <w:t>1.51</w:t>
            </w:r>
          </w:p>
        </w:tc>
        <w:tc>
          <w:tcPr>
            <w:tcW w:w="2176" w:type="dxa"/>
            <w:vAlign w:val="center"/>
          </w:tcPr>
          <w:p w14:paraId="41E7B348">
            <w:pPr>
              <w:pStyle w:val="37"/>
              <w:rPr>
                <w:sz w:val="21"/>
                <w:szCs w:val="21"/>
              </w:rPr>
            </w:pPr>
            <w:r>
              <w:rPr>
                <w:sz w:val="21"/>
                <w:szCs w:val="21"/>
              </w:rPr>
              <w:t>12.99</w:t>
            </w:r>
          </w:p>
        </w:tc>
      </w:tr>
      <w:tr w14:paraId="628079C2">
        <w:trPr>
          <w:cantSplit/>
          <w:tblHeader/>
          <w:tblCellSpacing w:w="15" w:type="dxa"/>
        </w:trPr>
        <w:tc>
          <w:tcPr>
            <w:tcW w:w="0" w:type="auto"/>
            <w:tcBorders>
              <w:bottom w:val="single" w:color="auto" w:sz="6" w:space="0"/>
            </w:tcBorders>
            <w:vAlign w:val="center"/>
          </w:tcPr>
          <w:p w14:paraId="4DB7E535">
            <w:pPr>
              <w:pStyle w:val="37"/>
              <w:rPr>
                <w:sz w:val="21"/>
                <w:szCs w:val="21"/>
              </w:rPr>
            </w:pPr>
          </w:p>
        </w:tc>
        <w:tc>
          <w:tcPr>
            <w:tcW w:w="1826" w:type="dxa"/>
            <w:tcBorders>
              <w:bottom w:val="single" w:color="auto" w:sz="6" w:space="0"/>
            </w:tcBorders>
            <w:vAlign w:val="center"/>
          </w:tcPr>
          <w:p w14:paraId="22E108FC">
            <w:pPr>
              <w:pStyle w:val="37"/>
              <w:rPr>
                <w:rFonts w:ascii="宋体" w:hAnsi="宋体" w:eastAsia="宋体" w:cs="宋体"/>
                <w:sz w:val="21"/>
                <w:szCs w:val="21"/>
              </w:rPr>
            </w:pPr>
            <w:r>
              <w:rPr>
                <w:sz w:val="21"/>
                <w:szCs w:val="21"/>
              </w:rPr>
              <w:t>Total</w:t>
            </w:r>
          </w:p>
        </w:tc>
        <w:tc>
          <w:tcPr>
            <w:tcW w:w="2663" w:type="dxa"/>
            <w:tcBorders>
              <w:bottom w:val="single" w:color="auto" w:sz="6" w:space="0"/>
            </w:tcBorders>
            <w:vAlign w:val="center"/>
          </w:tcPr>
          <w:p w14:paraId="2E226026">
            <w:pPr>
              <w:pStyle w:val="37"/>
              <w:rPr>
                <w:sz w:val="21"/>
                <w:szCs w:val="21"/>
              </w:rPr>
            </w:pPr>
            <w:r>
              <w:rPr>
                <w:sz w:val="21"/>
                <w:szCs w:val="21"/>
              </w:rPr>
              <w:t>1,514</w:t>
            </w:r>
          </w:p>
        </w:tc>
        <w:tc>
          <w:tcPr>
            <w:tcW w:w="2805" w:type="dxa"/>
            <w:tcBorders>
              <w:bottom w:val="single" w:color="auto" w:sz="6" w:space="0"/>
            </w:tcBorders>
            <w:vAlign w:val="center"/>
          </w:tcPr>
          <w:p w14:paraId="77CF58E9">
            <w:pPr>
              <w:pStyle w:val="37"/>
              <w:rPr>
                <w:sz w:val="21"/>
                <w:szCs w:val="21"/>
              </w:rPr>
            </w:pPr>
            <w:r>
              <w:rPr>
                <w:sz w:val="21"/>
                <w:szCs w:val="21"/>
              </w:rPr>
              <w:t>45.79</w:t>
            </w:r>
          </w:p>
        </w:tc>
        <w:tc>
          <w:tcPr>
            <w:tcW w:w="2176" w:type="dxa"/>
            <w:tcBorders>
              <w:bottom w:val="single" w:color="auto" w:sz="6" w:space="0"/>
            </w:tcBorders>
            <w:vAlign w:val="center"/>
          </w:tcPr>
          <w:p w14:paraId="6892CAF1">
            <w:pPr>
              <w:pStyle w:val="37"/>
              <w:rPr>
                <w:sz w:val="21"/>
                <w:szCs w:val="21"/>
              </w:rPr>
            </w:pPr>
            <w:r>
              <w:rPr>
                <w:sz w:val="21"/>
                <w:szCs w:val="21"/>
              </w:rPr>
              <w:t>63.92</w:t>
            </w:r>
          </w:p>
        </w:tc>
      </w:tr>
    </w:tbl>
    <w:p w14:paraId="75CBEB21">
      <w:pPr>
        <w:pStyle w:val="34"/>
        <w:keepLines/>
      </w:pPr>
      <w:r>
        <w:t>Panel B | Medium-population scenario</w:t>
      </w:r>
    </w:p>
    <w:tbl>
      <w:tblPr>
        <w:tblStyle w:val="6"/>
        <w:tblW w:w="0" w:type="auto"/>
        <w:tblCellSpacing w:w="15" w:type="dxa"/>
        <w:tblInd w:w="0" w:type="dxa"/>
        <w:tblLayout w:type="autofit"/>
        <w:tblCellMar>
          <w:top w:w="15" w:type="dxa"/>
          <w:left w:w="15" w:type="dxa"/>
          <w:bottom w:w="15" w:type="dxa"/>
          <w:right w:w="15" w:type="dxa"/>
        </w:tblCellMar>
      </w:tblPr>
      <w:tblGrid>
        <w:gridCol w:w="1755"/>
        <w:gridCol w:w="1706"/>
        <w:gridCol w:w="2833"/>
        <w:gridCol w:w="2695"/>
        <w:gridCol w:w="2362"/>
      </w:tblGrid>
      <w:tr w14:paraId="712204C2">
        <w:trPr>
          <w:cantSplit/>
          <w:tblHeader/>
          <w:tblCellSpacing w:w="15" w:type="dxa"/>
        </w:trPr>
        <w:tc>
          <w:tcPr>
            <w:tcW w:w="0" w:type="auto"/>
            <w:tcBorders>
              <w:top w:val="single" w:color="auto" w:sz="8" w:space="0"/>
            </w:tcBorders>
            <w:vAlign w:val="center"/>
          </w:tcPr>
          <w:p w14:paraId="2B084128">
            <w:pPr>
              <w:pStyle w:val="36"/>
            </w:pPr>
            <w:r>
              <w:t>Five-year interval</w:t>
            </w:r>
          </w:p>
        </w:tc>
        <w:tc>
          <w:tcPr>
            <w:tcW w:w="1676" w:type="dxa"/>
            <w:tcBorders>
              <w:top w:val="single" w:color="auto" w:sz="8" w:space="0"/>
            </w:tcBorders>
            <w:vAlign w:val="center"/>
          </w:tcPr>
          <w:p w14:paraId="76B87238">
            <w:pPr>
              <w:pStyle w:val="36"/>
            </w:pPr>
            <w:r>
              <w:t>Group</w:t>
            </w:r>
          </w:p>
        </w:tc>
        <w:tc>
          <w:tcPr>
            <w:tcW w:w="2803" w:type="dxa"/>
            <w:tcBorders>
              <w:top w:val="single" w:color="auto" w:sz="8" w:space="0"/>
            </w:tcBorders>
            <w:vAlign w:val="center"/>
          </w:tcPr>
          <w:p w14:paraId="1D02D49E">
            <w:pPr>
              <w:pStyle w:val="36"/>
            </w:pPr>
            <w:r>
              <w:t>Newly entering buildings</w:t>
            </w:r>
          </w:p>
        </w:tc>
        <w:tc>
          <w:tcPr>
            <w:tcW w:w="2665" w:type="dxa"/>
            <w:tcBorders>
              <w:top w:val="single" w:color="auto" w:sz="8" w:space="0"/>
            </w:tcBorders>
            <w:vAlign w:val="center"/>
          </w:tcPr>
          <w:p w14:paraId="10A3780F">
            <w:pPr>
              <w:pStyle w:val="36"/>
            </w:pPr>
            <w:r>
              <w:t>Demolition emissions (ktCO</w:t>
            </w:r>
            <w:r>
              <w:rPr>
                <w:rFonts w:ascii="Cambria Math" w:hAnsi="Cambria Math" w:cs="Cambria Math"/>
              </w:rPr>
              <w:t>₂</w:t>
            </w:r>
            <w:r>
              <w:t>)</w:t>
            </w:r>
          </w:p>
        </w:tc>
        <w:tc>
          <w:tcPr>
            <w:tcW w:w="2317" w:type="dxa"/>
            <w:tcBorders>
              <w:top w:val="single" w:color="auto" w:sz="8" w:space="0"/>
            </w:tcBorders>
            <w:vAlign w:val="center"/>
          </w:tcPr>
          <w:p w14:paraId="6A4195F0">
            <w:pPr>
              <w:pStyle w:val="36"/>
            </w:pPr>
            <w:r>
              <w:t>Annual operational emissions (ktCO</w:t>
            </w:r>
            <w:r>
              <w:rPr>
                <w:rFonts w:ascii="Cambria Math" w:hAnsi="Cambria Math" w:cs="Cambria Math"/>
              </w:rPr>
              <w:t>₂</w:t>
            </w:r>
            <w:r>
              <w:t xml:space="preserve"> yr</w:t>
            </w:r>
            <w:r>
              <w:rPr>
                <w:rFonts w:ascii="Cambria Math" w:hAnsi="Cambria Math" w:cs="Cambria Math"/>
              </w:rPr>
              <w:t>⁻</w:t>
            </w:r>
            <w:r>
              <w:t>¹)</w:t>
            </w:r>
          </w:p>
        </w:tc>
      </w:tr>
      <w:tr w14:paraId="50B0018B">
        <w:trPr>
          <w:cantSplit/>
          <w:tblHeader/>
          <w:tblCellSpacing w:w="15" w:type="dxa"/>
        </w:trPr>
        <w:tc>
          <w:tcPr>
            <w:tcW w:w="0" w:type="auto"/>
            <w:tcBorders>
              <w:top w:val="single" w:color="auto" w:sz="6" w:space="0"/>
            </w:tcBorders>
            <w:vAlign w:val="center"/>
          </w:tcPr>
          <w:p w14:paraId="411D67E2">
            <w:pPr>
              <w:pStyle w:val="37"/>
            </w:pPr>
            <w:r>
              <w:t>2020–2025</w:t>
            </w:r>
          </w:p>
        </w:tc>
        <w:tc>
          <w:tcPr>
            <w:tcW w:w="1676" w:type="dxa"/>
            <w:tcBorders>
              <w:top w:val="single" w:color="auto" w:sz="6" w:space="0"/>
            </w:tcBorders>
            <w:vAlign w:val="center"/>
          </w:tcPr>
          <w:p w14:paraId="2027280A">
            <w:pPr>
              <w:pStyle w:val="37"/>
            </w:pPr>
            <w:r>
              <w:t>Urban</w:t>
            </w:r>
          </w:p>
        </w:tc>
        <w:tc>
          <w:tcPr>
            <w:tcW w:w="2803" w:type="dxa"/>
            <w:tcBorders>
              <w:top w:val="single" w:color="auto" w:sz="6" w:space="0"/>
            </w:tcBorders>
            <w:vAlign w:val="center"/>
          </w:tcPr>
          <w:p w14:paraId="1937C06E">
            <w:pPr>
              <w:pStyle w:val="37"/>
            </w:pPr>
            <w:r>
              <w:t>17</w:t>
            </w:r>
          </w:p>
        </w:tc>
        <w:tc>
          <w:tcPr>
            <w:tcW w:w="2665" w:type="dxa"/>
            <w:tcBorders>
              <w:top w:val="single" w:color="auto" w:sz="6" w:space="0"/>
            </w:tcBorders>
            <w:vAlign w:val="center"/>
          </w:tcPr>
          <w:p w14:paraId="0ADE09AA">
            <w:pPr>
              <w:pStyle w:val="37"/>
            </w:pPr>
            <w:r>
              <w:t>38.70</w:t>
            </w:r>
          </w:p>
        </w:tc>
        <w:tc>
          <w:tcPr>
            <w:tcW w:w="2317" w:type="dxa"/>
            <w:tcBorders>
              <w:top w:val="single" w:color="auto" w:sz="6" w:space="0"/>
            </w:tcBorders>
            <w:vAlign w:val="center"/>
          </w:tcPr>
          <w:p w14:paraId="03258019">
            <w:pPr>
              <w:pStyle w:val="37"/>
            </w:pPr>
            <w:r>
              <w:t>32.89</w:t>
            </w:r>
          </w:p>
        </w:tc>
      </w:tr>
      <w:tr w14:paraId="17328992">
        <w:trPr>
          <w:cantSplit/>
          <w:tblHeader/>
          <w:tblCellSpacing w:w="15" w:type="dxa"/>
        </w:trPr>
        <w:tc>
          <w:tcPr>
            <w:tcW w:w="0" w:type="auto"/>
            <w:vAlign w:val="center"/>
          </w:tcPr>
          <w:p w14:paraId="0B380FC3">
            <w:pPr>
              <w:pStyle w:val="37"/>
            </w:pPr>
          </w:p>
        </w:tc>
        <w:tc>
          <w:tcPr>
            <w:tcW w:w="1676" w:type="dxa"/>
            <w:vAlign w:val="center"/>
          </w:tcPr>
          <w:p w14:paraId="00C1634A">
            <w:pPr>
              <w:pStyle w:val="37"/>
              <w:rPr>
                <w:rFonts w:ascii="宋体" w:hAnsi="宋体" w:eastAsia="宋体" w:cs="宋体"/>
                <w:sz w:val="24"/>
                <w:szCs w:val="24"/>
              </w:rPr>
            </w:pPr>
            <w:r>
              <w:t>Rural</w:t>
            </w:r>
          </w:p>
        </w:tc>
        <w:tc>
          <w:tcPr>
            <w:tcW w:w="2803" w:type="dxa"/>
            <w:vAlign w:val="center"/>
          </w:tcPr>
          <w:p w14:paraId="160AD13F">
            <w:pPr>
              <w:pStyle w:val="37"/>
            </w:pPr>
            <w:r>
              <w:t>1,795</w:t>
            </w:r>
          </w:p>
        </w:tc>
        <w:tc>
          <w:tcPr>
            <w:tcW w:w="2665" w:type="dxa"/>
            <w:vAlign w:val="center"/>
          </w:tcPr>
          <w:p w14:paraId="380A1CAE">
            <w:pPr>
              <w:pStyle w:val="37"/>
            </w:pPr>
            <w:r>
              <w:t>1.77</w:t>
            </w:r>
          </w:p>
        </w:tc>
        <w:tc>
          <w:tcPr>
            <w:tcW w:w="2317" w:type="dxa"/>
            <w:vAlign w:val="center"/>
          </w:tcPr>
          <w:p w14:paraId="76FB066D">
            <w:pPr>
              <w:pStyle w:val="37"/>
            </w:pPr>
            <w:r>
              <w:t>10.09</w:t>
            </w:r>
          </w:p>
        </w:tc>
      </w:tr>
      <w:tr w14:paraId="5597433B">
        <w:trPr>
          <w:cantSplit/>
          <w:tblHeader/>
          <w:tblCellSpacing w:w="15" w:type="dxa"/>
        </w:trPr>
        <w:tc>
          <w:tcPr>
            <w:tcW w:w="0" w:type="auto"/>
            <w:vAlign w:val="center"/>
          </w:tcPr>
          <w:p w14:paraId="08D47731">
            <w:pPr>
              <w:pStyle w:val="37"/>
            </w:pPr>
          </w:p>
        </w:tc>
        <w:tc>
          <w:tcPr>
            <w:tcW w:w="1676" w:type="dxa"/>
            <w:vAlign w:val="center"/>
          </w:tcPr>
          <w:p w14:paraId="59ED3B69">
            <w:pPr>
              <w:pStyle w:val="37"/>
              <w:rPr>
                <w:rFonts w:ascii="宋体" w:hAnsi="宋体" w:eastAsia="宋体" w:cs="宋体"/>
                <w:sz w:val="24"/>
                <w:szCs w:val="24"/>
              </w:rPr>
            </w:pPr>
            <w:r>
              <w:t>Total</w:t>
            </w:r>
          </w:p>
        </w:tc>
        <w:tc>
          <w:tcPr>
            <w:tcW w:w="2803" w:type="dxa"/>
            <w:vAlign w:val="center"/>
          </w:tcPr>
          <w:p w14:paraId="7D0D1637">
            <w:pPr>
              <w:pStyle w:val="37"/>
            </w:pPr>
            <w:r>
              <w:t>1,812</w:t>
            </w:r>
          </w:p>
        </w:tc>
        <w:tc>
          <w:tcPr>
            <w:tcW w:w="2665" w:type="dxa"/>
            <w:vAlign w:val="center"/>
          </w:tcPr>
          <w:p w14:paraId="7A1A2B78">
            <w:pPr>
              <w:pStyle w:val="37"/>
            </w:pPr>
            <w:r>
              <w:t>40.47</w:t>
            </w:r>
          </w:p>
        </w:tc>
        <w:tc>
          <w:tcPr>
            <w:tcW w:w="2317" w:type="dxa"/>
            <w:vAlign w:val="center"/>
          </w:tcPr>
          <w:p w14:paraId="5902A596">
            <w:pPr>
              <w:pStyle w:val="37"/>
            </w:pPr>
            <w:r>
              <w:t>42.98</w:t>
            </w:r>
          </w:p>
        </w:tc>
      </w:tr>
      <w:tr w14:paraId="3AD4B92B">
        <w:trPr>
          <w:cantSplit/>
          <w:tblHeader/>
          <w:tblCellSpacing w:w="15" w:type="dxa"/>
        </w:trPr>
        <w:tc>
          <w:tcPr>
            <w:tcW w:w="0" w:type="auto"/>
            <w:vAlign w:val="center"/>
          </w:tcPr>
          <w:p w14:paraId="26FB232C">
            <w:pPr>
              <w:pStyle w:val="37"/>
            </w:pPr>
            <w:r>
              <w:t>2025–2030</w:t>
            </w:r>
          </w:p>
        </w:tc>
        <w:tc>
          <w:tcPr>
            <w:tcW w:w="1676" w:type="dxa"/>
            <w:vAlign w:val="center"/>
          </w:tcPr>
          <w:p w14:paraId="0B8128AD">
            <w:pPr>
              <w:pStyle w:val="37"/>
            </w:pPr>
            <w:r>
              <w:t>Urban</w:t>
            </w:r>
          </w:p>
        </w:tc>
        <w:tc>
          <w:tcPr>
            <w:tcW w:w="2803" w:type="dxa"/>
            <w:vAlign w:val="center"/>
          </w:tcPr>
          <w:p w14:paraId="75023894">
            <w:pPr>
              <w:pStyle w:val="37"/>
            </w:pPr>
            <w:r>
              <w:t>23</w:t>
            </w:r>
          </w:p>
        </w:tc>
        <w:tc>
          <w:tcPr>
            <w:tcW w:w="2665" w:type="dxa"/>
            <w:vAlign w:val="center"/>
          </w:tcPr>
          <w:p w14:paraId="71418DC2">
            <w:pPr>
              <w:pStyle w:val="37"/>
            </w:pPr>
            <w:r>
              <w:t>13.71</w:t>
            </w:r>
          </w:p>
        </w:tc>
        <w:tc>
          <w:tcPr>
            <w:tcW w:w="2317" w:type="dxa"/>
            <w:vAlign w:val="center"/>
          </w:tcPr>
          <w:p w14:paraId="7AE83F63">
            <w:pPr>
              <w:pStyle w:val="37"/>
            </w:pPr>
            <w:r>
              <w:t>37.22</w:t>
            </w:r>
          </w:p>
        </w:tc>
      </w:tr>
      <w:tr w14:paraId="00C9505B">
        <w:trPr>
          <w:cantSplit/>
          <w:tblHeader/>
          <w:tblCellSpacing w:w="15" w:type="dxa"/>
        </w:trPr>
        <w:tc>
          <w:tcPr>
            <w:tcW w:w="0" w:type="auto"/>
            <w:vAlign w:val="center"/>
          </w:tcPr>
          <w:p w14:paraId="0DD0785F">
            <w:pPr>
              <w:pStyle w:val="37"/>
            </w:pPr>
          </w:p>
        </w:tc>
        <w:tc>
          <w:tcPr>
            <w:tcW w:w="1676" w:type="dxa"/>
            <w:vAlign w:val="center"/>
          </w:tcPr>
          <w:p w14:paraId="11A68E82">
            <w:pPr>
              <w:pStyle w:val="37"/>
              <w:rPr>
                <w:rFonts w:ascii="宋体" w:hAnsi="宋体" w:eastAsia="宋体" w:cs="宋体"/>
                <w:sz w:val="24"/>
                <w:szCs w:val="24"/>
              </w:rPr>
            </w:pPr>
            <w:r>
              <w:t>Rural</w:t>
            </w:r>
          </w:p>
        </w:tc>
        <w:tc>
          <w:tcPr>
            <w:tcW w:w="2803" w:type="dxa"/>
            <w:vAlign w:val="center"/>
          </w:tcPr>
          <w:p w14:paraId="3DB5DB55">
            <w:pPr>
              <w:pStyle w:val="37"/>
            </w:pPr>
            <w:r>
              <w:t>1,666</w:t>
            </w:r>
          </w:p>
        </w:tc>
        <w:tc>
          <w:tcPr>
            <w:tcW w:w="2665" w:type="dxa"/>
            <w:vAlign w:val="center"/>
          </w:tcPr>
          <w:p w14:paraId="04AC1803">
            <w:pPr>
              <w:pStyle w:val="37"/>
            </w:pPr>
            <w:r>
              <w:t>1.72</w:t>
            </w:r>
          </w:p>
        </w:tc>
        <w:tc>
          <w:tcPr>
            <w:tcW w:w="2317" w:type="dxa"/>
            <w:vAlign w:val="center"/>
          </w:tcPr>
          <w:p w14:paraId="5921CD2E">
            <w:pPr>
              <w:pStyle w:val="37"/>
            </w:pPr>
            <w:r>
              <w:t>8.70</w:t>
            </w:r>
          </w:p>
        </w:tc>
      </w:tr>
      <w:tr w14:paraId="114D672B">
        <w:trPr>
          <w:cantSplit/>
          <w:tblHeader/>
          <w:tblCellSpacing w:w="15" w:type="dxa"/>
        </w:trPr>
        <w:tc>
          <w:tcPr>
            <w:tcW w:w="0" w:type="auto"/>
            <w:vAlign w:val="center"/>
          </w:tcPr>
          <w:p w14:paraId="461C6316">
            <w:pPr>
              <w:pStyle w:val="37"/>
            </w:pPr>
          </w:p>
        </w:tc>
        <w:tc>
          <w:tcPr>
            <w:tcW w:w="1676" w:type="dxa"/>
            <w:vAlign w:val="center"/>
          </w:tcPr>
          <w:p w14:paraId="4A122D64">
            <w:pPr>
              <w:pStyle w:val="37"/>
              <w:rPr>
                <w:rFonts w:ascii="宋体" w:hAnsi="宋体" w:eastAsia="宋体" w:cs="宋体"/>
                <w:sz w:val="24"/>
                <w:szCs w:val="24"/>
              </w:rPr>
            </w:pPr>
            <w:r>
              <w:t>Total</w:t>
            </w:r>
          </w:p>
        </w:tc>
        <w:tc>
          <w:tcPr>
            <w:tcW w:w="2803" w:type="dxa"/>
            <w:vAlign w:val="center"/>
          </w:tcPr>
          <w:p w14:paraId="366437EF">
            <w:pPr>
              <w:pStyle w:val="37"/>
            </w:pPr>
            <w:r>
              <w:t>1,689</w:t>
            </w:r>
          </w:p>
        </w:tc>
        <w:tc>
          <w:tcPr>
            <w:tcW w:w="2665" w:type="dxa"/>
            <w:vAlign w:val="center"/>
          </w:tcPr>
          <w:p w14:paraId="3DC2A72A">
            <w:pPr>
              <w:pStyle w:val="37"/>
            </w:pPr>
            <w:r>
              <w:t>15.43</w:t>
            </w:r>
          </w:p>
        </w:tc>
        <w:tc>
          <w:tcPr>
            <w:tcW w:w="2317" w:type="dxa"/>
            <w:vAlign w:val="center"/>
          </w:tcPr>
          <w:p w14:paraId="6F93B9D7">
            <w:pPr>
              <w:pStyle w:val="37"/>
            </w:pPr>
            <w:r>
              <w:t>45.92</w:t>
            </w:r>
          </w:p>
        </w:tc>
      </w:tr>
      <w:tr w14:paraId="5EFE9B33">
        <w:trPr>
          <w:cantSplit/>
          <w:tblHeader/>
          <w:tblCellSpacing w:w="15" w:type="dxa"/>
        </w:trPr>
        <w:tc>
          <w:tcPr>
            <w:tcW w:w="0" w:type="auto"/>
            <w:vAlign w:val="center"/>
          </w:tcPr>
          <w:p w14:paraId="617B8C0D">
            <w:pPr>
              <w:pStyle w:val="37"/>
            </w:pPr>
            <w:r>
              <w:t>2030–2035</w:t>
            </w:r>
          </w:p>
        </w:tc>
        <w:tc>
          <w:tcPr>
            <w:tcW w:w="1676" w:type="dxa"/>
            <w:vAlign w:val="center"/>
          </w:tcPr>
          <w:p w14:paraId="5BB8A7BC">
            <w:pPr>
              <w:pStyle w:val="37"/>
            </w:pPr>
            <w:r>
              <w:t>Urban</w:t>
            </w:r>
          </w:p>
        </w:tc>
        <w:tc>
          <w:tcPr>
            <w:tcW w:w="2803" w:type="dxa"/>
            <w:vAlign w:val="center"/>
          </w:tcPr>
          <w:p w14:paraId="5607CF68">
            <w:pPr>
              <w:pStyle w:val="37"/>
            </w:pPr>
            <w:r>
              <w:t>38</w:t>
            </w:r>
          </w:p>
        </w:tc>
        <w:tc>
          <w:tcPr>
            <w:tcW w:w="2665" w:type="dxa"/>
            <w:vAlign w:val="center"/>
          </w:tcPr>
          <w:p w14:paraId="04ACA925">
            <w:pPr>
              <w:pStyle w:val="37"/>
            </w:pPr>
            <w:r>
              <w:t>58.19</w:t>
            </w:r>
          </w:p>
        </w:tc>
        <w:tc>
          <w:tcPr>
            <w:tcW w:w="2317" w:type="dxa"/>
            <w:vAlign w:val="center"/>
          </w:tcPr>
          <w:p w14:paraId="6EE1942E">
            <w:pPr>
              <w:pStyle w:val="37"/>
            </w:pPr>
            <w:r>
              <w:t>66.97</w:t>
            </w:r>
          </w:p>
        </w:tc>
      </w:tr>
      <w:tr w14:paraId="19AC4AD6">
        <w:trPr>
          <w:cantSplit/>
          <w:tblHeader/>
          <w:tblCellSpacing w:w="15" w:type="dxa"/>
        </w:trPr>
        <w:tc>
          <w:tcPr>
            <w:tcW w:w="0" w:type="auto"/>
            <w:vAlign w:val="center"/>
          </w:tcPr>
          <w:p w14:paraId="6894E258">
            <w:pPr>
              <w:pStyle w:val="37"/>
            </w:pPr>
          </w:p>
        </w:tc>
        <w:tc>
          <w:tcPr>
            <w:tcW w:w="1676" w:type="dxa"/>
            <w:vAlign w:val="center"/>
          </w:tcPr>
          <w:p w14:paraId="32BC3C9C">
            <w:pPr>
              <w:pStyle w:val="37"/>
              <w:rPr>
                <w:rFonts w:ascii="宋体" w:hAnsi="宋体" w:eastAsia="宋体" w:cs="宋体"/>
                <w:sz w:val="24"/>
                <w:szCs w:val="24"/>
              </w:rPr>
            </w:pPr>
            <w:r>
              <w:t>Rural</w:t>
            </w:r>
          </w:p>
        </w:tc>
        <w:tc>
          <w:tcPr>
            <w:tcW w:w="2803" w:type="dxa"/>
            <w:vAlign w:val="center"/>
          </w:tcPr>
          <w:p w14:paraId="7A6E0310">
            <w:pPr>
              <w:pStyle w:val="37"/>
            </w:pPr>
            <w:r>
              <w:t>1,629</w:t>
            </w:r>
          </w:p>
        </w:tc>
        <w:tc>
          <w:tcPr>
            <w:tcW w:w="2665" w:type="dxa"/>
            <w:vAlign w:val="center"/>
          </w:tcPr>
          <w:p w14:paraId="69786735">
            <w:pPr>
              <w:pStyle w:val="37"/>
            </w:pPr>
            <w:r>
              <w:t>1.74</w:t>
            </w:r>
          </w:p>
        </w:tc>
        <w:tc>
          <w:tcPr>
            <w:tcW w:w="2317" w:type="dxa"/>
            <w:vAlign w:val="center"/>
          </w:tcPr>
          <w:p w14:paraId="4B1C59C2">
            <w:pPr>
              <w:pStyle w:val="37"/>
            </w:pPr>
            <w:r>
              <w:t>27.34</w:t>
            </w:r>
          </w:p>
        </w:tc>
      </w:tr>
      <w:tr w14:paraId="6B888934">
        <w:trPr>
          <w:cantSplit/>
          <w:tblHeader/>
          <w:tblCellSpacing w:w="15" w:type="dxa"/>
        </w:trPr>
        <w:tc>
          <w:tcPr>
            <w:tcW w:w="0" w:type="auto"/>
            <w:vAlign w:val="center"/>
          </w:tcPr>
          <w:p w14:paraId="01BFA1AD">
            <w:pPr>
              <w:pStyle w:val="37"/>
            </w:pPr>
          </w:p>
        </w:tc>
        <w:tc>
          <w:tcPr>
            <w:tcW w:w="1676" w:type="dxa"/>
            <w:vAlign w:val="center"/>
          </w:tcPr>
          <w:p w14:paraId="2FAA2A96">
            <w:pPr>
              <w:pStyle w:val="37"/>
              <w:rPr>
                <w:rFonts w:ascii="宋体" w:hAnsi="宋体" w:eastAsia="宋体" w:cs="宋体"/>
                <w:sz w:val="24"/>
                <w:szCs w:val="24"/>
              </w:rPr>
            </w:pPr>
            <w:r>
              <w:t>Total</w:t>
            </w:r>
          </w:p>
        </w:tc>
        <w:tc>
          <w:tcPr>
            <w:tcW w:w="2803" w:type="dxa"/>
            <w:vAlign w:val="center"/>
          </w:tcPr>
          <w:p w14:paraId="2E3093F0">
            <w:pPr>
              <w:pStyle w:val="37"/>
            </w:pPr>
            <w:r>
              <w:t>1,667</w:t>
            </w:r>
          </w:p>
        </w:tc>
        <w:tc>
          <w:tcPr>
            <w:tcW w:w="2665" w:type="dxa"/>
            <w:vAlign w:val="center"/>
          </w:tcPr>
          <w:p w14:paraId="18A827B2">
            <w:pPr>
              <w:pStyle w:val="37"/>
            </w:pPr>
            <w:r>
              <w:t>59.93</w:t>
            </w:r>
          </w:p>
        </w:tc>
        <w:tc>
          <w:tcPr>
            <w:tcW w:w="2317" w:type="dxa"/>
            <w:vAlign w:val="center"/>
          </w:tcPr>
          <w:p w14:paraId="06079269">
            <w:pPr>
              <w:pStyle w:val="37"/>
            </w:pPr>
            <w:r>
              <w:t>94.31</w:t>
            </w:r>
          </w:p>
        </w:tc>
      </w:tr>
      <w:tr w14:paraId="724681AD">
        <w:trPr>
          <w:cantSplit/>
          <w:tblHeader/>
          <w:tblCellSpacing w:w="15" w:type="dxa"/>
        </w:trPr>
        <w:tc>
          <w:tcPr>
            <w:tcW w:w="0" w:type="auto"/>
            <w:vAlign w:val="center"/>
          </w:tcPr>
          <w:p w14:paraId="70047F88">
            <w:pPr>
              <w:pStyle w:val="37"/>
            </w:pPr>
            <w:r>
              <w:t>2035–2040</w:t>
            </w:r>
          </w:p>
        </w:tc>
        <w:tc>
          <w:tcPr>
            <w:tcW w:w="1676" w:type="dxa"/>
            <w:vAlign w:val="center"/>
          </w:tcPr>
          <w:p w14:paraId="779D771E">
            <w:pPr>
              <w:pStyle w:val="37"/>
            </w:pPr>
            <w:r>
              <w:t>Urban</w:t>
            </w:r>
          </w:p>
        </w:tc>
        <w:tc>
          <w:tcPr>
            <w:tcW w:w="2803" w:type="dxa"/>
            <w:vAlign w:val="center"/>
          </w:tcPr>
          <w:p w14:paraId="6EEFBDB2">
            <w:pPr>
              <w:pStyle w:val="37"/>
            </w:pPr>
            <w:r>
              <w:t>39</w:t>
            </w:r>
          </w:p>
        </w:tc>
        <w:tc>
          <w:tcPr>
            <w:tcW w:w="2665" w:type="dxa"/>
            <w:vAlign w:val="center"/>
          </w:tcPr>
          <w:p w14:paraId="7E4D42FB">
            <w:pPr>
              <w:pStyle w:val="37"/>
            </w:pPr>
            <w:r>
              <w:t>31.72</w:t>
            </w:r>
          </w:p>
        </w:tc>
        <w:tc>
          <w:tcPr>
            <w:tcW w:w="2317" w:type="dxa"/>
            <w:vAlign w:val="center"/>
          </w:tcPr>
          <w:p w14:paraId="750F97FB">
            <w:pPr>
              <w:pStyle w:val="37"/>
            </w:pPr>
            <w:r>
              <w:t>49.69</w:t>
            </w:r>
          </w:p>
        </w:tc>
      </w:tr>
      <w:tr w14:paraId="73086757">
        <w:trPr>
          <w:cantSplit/>
          <w:tblHeader/>
          <w:tblCellSpacing w:w="15" w:type="dxa"/>
        </w:trPr>
        <w:tc>
          <w:tcPr>
            <w:tcW w:w="0" w:type="auto"/>
            <w:vAlign w:val="center"/>
          </w:tcPr>
          <w:p w14:paraId="15E9AFAE">
            <w:pPr>
              <w:pStyle w:val="37"/>
            </w:pPr>
          </w:p>
        </w:tc>
        <w:tc>
          <w:tcPr>
            <w:tcW w:w="1676" w:type="dxa"/>
            <w:vAlign w:val="center"/>
          </w:tcPr>
          <w:p w14:paraId="410553FE">
            <w:pPr>
              <w:pStyle w:val="37"/>
              <w:rPr>
                <w:rFonts w:ascii="宋体" w:hAnsi="宋体" w:eastAsia="宋体" w:cs="宋体"/>
                <w:sz w:val="24"/>
                <w:szCs w:val="24"/>
              </w:rPr>
            </w:pPr>
            <w:r>
              <w:t>Rural</w:t>
            </w:r>
          </w:p>
        </w:tc>
        <w:tc>
          <w:tcPr>
            <w:tcW w:w="2803" w:type="dxa"/>
            <w:vAlign w:val="center"/>
          </w:tcPr>
          <w:p w14:paraId="04741071">
            <w:pPr>
              <w:pStyle w:val="37"/>
            </w:pPr>
            <w:r>
              <w:t>1,528</w:t>
            </w:r>
          </w:p>
        </w:tc>
        <w:tc>
          <w:tcPr>
            <w:tcW w:w="2665" w:type="dxa"/>
            <w:vAlign w:val="center"/>
          </w:tcPr>
          <w:p w14:paraId="73A7785E">
            <w:pPr>
              <w:pStyle w:val="37"/>
            </w:pPr>
            <w:r>
              <w:t>1.48</w:t>
            </w:r>
          </w:p>
        </w:tc>
        <w:tc>
          <w:tcPr>
            <w:tcW w:w="2317" w:type="dxa"/>
            <w:vAlign w:val="center"/>
          </w:tcPr>
          <w:p w14:paraId="7AC1ACA0">
            <w:pPr>
              <w:pStyle w:val="37"/>
            </w:pPr>
            <w:r>
              <w:t>3.19</w:t>
            </w:r>
          </w:p>
        </w:tc>
      </w:tr>
      <w:tr w14:paraId="583FD1D5">
        <w:trPr>
          <w:cantSplit/>
          <w:tblHeader/>
          <w:tblCellSpacing w:w="15" w:type="dxa"/>
        </w:trPr>
        <w:tc>
          <w:tcPr>
            <w:tcW w:w="0" w:type="auto"/>
            <w:vAlign w:val="center"/>
          </w:tcPr>
          <w:p w14:paraId="24716021">
            <w:pPr>
              <w:pStyle w:val="37"/>
            </w:pPr>
          </w:p>
        </w:tc>
        <w:tc>
          <w:tcPr>
            <w:tcW w:w="1676" w:type="dxa"/>
            <w:vAlign w:val="center"/>
          </w:tcPr>
          <w:p w14:paraId="2C819EA4">
            <w:pPr>
              <w:pStyle w:val="37"/>
              <w:rPr>
                <w:rFonts w:ascii="宋体" w:hAnsi="宋体" w:eastAsia="宋体" w:cs="宋体"/>
                <w:sz w:val="24"/>
                <w:szCs w:val="24"/>
              </w:rPr>
            </w:pPr>
            <w:r>
              <w:t>Total</w:t>
            </w:r>
          </w:p>
        </w:tc>
        <w:tc>
          <w:tcPr>
            <w:tcW w:w="2803" w:type="dxa"/>
            <w:vAlign w:val="center"/>
          </w:tcPr>
          <w:p w14:paraId="03AFCC74">
            <w:pPr>
              <w:pStyle w:val="37"/>
            </w:pPr>
            <w:r>
              <w:t>1,567</w:t>
            </w:r>
          </w:p>
        </w:tc>
        <w:tc>
          <w:tcPr>
            <w:tcW w:w="2665" w:type="dxa"/>
            <w:vAlign w:val="center"/>
          </w:tcPr>
          <w:p w14:paraId="0A432D93">
            <w:pPr>
              <w:pStyle w:val="37"/>
            </w:pPr>
            <w:r>
              <w:t>33.20</w:t>
            </w:r>
          </w:p>
        </w:tc>
        <w:tc>
          <w:tcPr>
            <w:tcW w:w="2317" w:type="dxa"/>
            <w:vAlign w:val="center"/>
          </w:tcPr>
          <w:p w14:paraId="4E38130E">
            <w:pPr>
              <w:pStyle w:val="37"/>
            </w:pPr>
            <w:r>
              <w:t>52.88</w:t>
            </w:r>
          </w:p>
        </w:tc>
      </w:tr>
      <w:tr w14:paraId="527FCFDC">
        <w:trPr>
          <w:cantSplit/>
          <w:tblHeader/>
          <w:tblCellSpacing w:w="15" w:type="dxa"/>
        </w:trPr>
        <w:tc>
          <w:tcPr>
            <w:tcW w:w="0" w:type="auto"/>
            <w:vAlign w:val="center"/>
          </w:tcPr>
          <w:p w14:paraId="2361B8BD">
            <w:pPr>
              <w:pStyle w:val="37"/>
            </w:pPr>
            <w:r>
              <w:t>2040–2045</w:t>
            </w:r>
          </w:p>
        </w:tc>
        <w:tc>
          <w:tcPr>
            <w:tcW w:w="1676" w:type="dxa"/>
            <w:vAlign w:val="center"/>
          </w:tcPr>
          <w:p w14:paraId="76F8F4C3">
            <w:pPr>
              <w:pStyle w:val="37"/>
            </w:pPr>
            <w:r>
              <w:t>Urban</w:t>
            </w:r>
          </w:p>
        </w:tc>
        <w:tc>
          <w:tcPr>
            <w:tcW w:w="2803" w:type="dxa"/>
            <w:vAlign w:val="center"/>
          </w:tcPr>
          <w:p w14:paraId="47D2CF55">
            <w:pPr>
              <w:pStyle w:val="37"/>
            </w:pPr>
            <w:r>
              <w:t>38</w:t>
            </w:r>
          </w:p>
        </w:tc>
        <w:tc>
          <w:tcPr>
            <w:tcW w:w="2665" w:type="dxa"/>
            <w:vAlign w:val="center"/>
          </w:tcPr>
          <w:p w14:paraId="7D68B855">
            <w:pPr>
              <w:pStyle w:val="37"/>
            </w:pPr>
            <w:r>
              <w:t>34.49</w:t>
            </w:r>
          </w:p>
        </w:tc>
        <w:tc>
          <w:tcPr>
            <w:tcW w:w="2317" w:type="dxa"/>
            <w:vAlign w:val="center"/>
          </w:tcPr>
          <w:p w14:paraId="35748785">
            <w:pPr>
              <w:pStyle w:val="37"/>
            </w:pPr>
            <w:r>
              <w:t>55.46</w:t>
            </w:r>
          </w:p>
        </w:tc>
      </w:tr>
      <w:tr w14:paraId="02162082">
        <w:trPr>
          <w:cantSplit/>
          <w:tblHeader/>
          <w:tblCellSpacing w:w="15" w:type="dxa"/>
        </w:trPr>
        <w:tc>
          <w:tcPr>
            <w:tcW w:w="0" w:type="auto"/>
            <w:vAlign w:val="center"/>
          </w:tcPr>
          <w:p w14:paraId="0C55FCE6">
            <w:pPr>
              <w:pStyle w:val="37"/>
            </w:pPr>
          </w:p>
        </w:tc>
        <w:tc>
          <w:tcPr>
            <w:tcW w:w="1676" w:type="dxa"/>
            <w:vAlign w:val="center"/>
          </w:tcPr>
          <w:p w14:paraId="59D3AC17">
            <w:pPr>
              <w:pStyle w:val="37"/>
              <w:rPr>
                <w:rFonts w:ascii="宋体" w:hAnsi="宋体" w:eastAsia="宋体" w:cs="宋体"/>
                <w:sz w:val="24"/>
                <w:szCs w:val="24"/>
              </w:rPr>
            </w:pPr>
            <w:r>
              <w:t>Rural</w:t>
            </w:r>
          </w:p>
        </w:tc>
        <w:tc>
          <w:tcPr>
            <w:tcW w:w="2803" w:type="dxa"/>
            <w:vAlign w:val="center"/>
          </w:tcPr>
          <w:p w14:paraId="287DD276">
            <w:pPr>
              <w:pStyle w:val="37"/>
            </w:pPr>
            <w:r>
              <w:t>1,558</w:t>
            </w:r>
          </w:p>
        </w:tc>
        <w:tc>
          <w:tcPr>
            <w:tcW w:w="2665" w:type="dxa"/>
            <w:vAlign w:val="center"/>
          </w:tcPr>
          <w:p w14:paraId="7DFFC61D">
            <w:pPr>
              <w:pStyle w:val="37"/>
            </w:pPr>
            <w:r>
              <w:t>1.59</w:t>
            </w:r>
          </w:p>
        </w:tc>
        <w:tc>
          <w:tcPr>
            <w:tcW w:w="2317" w:type="dxa"/>
            <w:vAlign w:val="center"/>
          </w:tcPr>
          <w:p w14:paraId="58605127">
            <w:pPr>
              <w:pStyle w:val="37"/>
            </w:pPr>
            <w:r>
              <w:t>20.95</w:t>
            </w:r>
          </w:p>
        </w:tc>
      </w:tr>
      <w:tr w14:paraId="1F5AE0C8">
        <w:trPr>
          <w:cantSplit/>
          <w:tblHeader/>
          <w:tblCellSpacing w:w="15" w:type="dxa"/>
        </w:trPr>
        <w:tc>
          <w:tcPr>
            <w:tcW w:w="0" w:type="auto"/>
            <w:vAlign w:val="center"/>
          </w:tcPr>
          <w:p w14:paraId="25E9DED0">
            <w:pPr>
              <w:pStyle w:val="37"/>
            </w:pPr>
          </w:p>
        </w:tc>
        <w:tc>
          <w:tcPr>
            <w:tcW w:w="1676" w:type="dxa"/>
            <w:vAlign w:val="center"/>
          </w:tcPr>
          <w:p w14:paraId="1815A543">
            <w:pPr>
              <w:pStyle w:val="37"/>
              <w:rPr>
                <w:rFonts w:ascii="宋体" w:hAnsi="宋体" w:eastAsia="宋体" w:cs="宋体"/>
                <w:sz w:val="24"/>
                <w:szCs w:val="24"/>
              </w:rPr>
            </w:pPr>
            <w:r>
              <w:t>Total</w:t>
            </w:r>
          </w:p>
        </w:tc>
        <w:tc>
          <w:tcPr>
            <w:tcW w:w="2803" w:type="dxa"/>
            <w:vAlign w:val="center"/>
          </w:tcPr>
          <w:p w14:paraId="1171C1B3">
            <w:pPr>
              <w:pStyle w:val="37"/>
            </w:pPr>
            <w:r>
              <w:t>1,596</w:t>
            </w:r>
          </w:p>
        </w:tc>
        <w:tc>
          <w:tcPr>
            <w:tcW w:w="2665" w:type="dxa"/>
            <w:vAlign w:val="center"/>
          </w:tcPr>
          <w:p w14:paraId="5420B902">
            <w:pPr>
              <w:pStyle w:val="37"/>
            </w:pPr>
            <w:r>
              <w:t>36.08</w:t>
            </w:r>
          </w:p>
        </w:tc>
        <w:tc>
          <w:tcPr>
            <w:tcW w:w="2317" w:type="dxa"/>
            <w:vAlign w:val="center"/>
          </w:tcPr>
          <w:p w14:paraId="0666586C">
            <w:pPr>
              <w:pStyle w:val="37"/>
            </w:pPr>
            <w:r>
              <w:t>76.41</w:t>
            </w:r>
          </w:p>
        </w:tc>
      </w:tr>
      <w:tr w14:paraId="2E1DB0F0">
        <w:trPr>
          <w:cantSplit/>
          <w:tblHeader/>
          <w:tblCellSpacing w:w="15" w:type="dxa"/>
        </w:trPr>
        <w:tc>
          <w:tcPr>
            <w:tcW w:w="0" w:type="auto"/>
            <w:vAlign w:val="center"/>
          </w:tcPr>
          <w:p w14:paraId="7C6E1F4F">
            <w:pPr>
              <w:pStyle w:val="37"/>
            </w:pPr>
            <w:r>
              <w:t>2045–2050</w:t>
            </w:r>
          </w:p>
        </w:tc>
        <w:tc>
          <w:tcPr>
            <w:tcW w:w="1676" w:type="dxa"/>
            <w:vAlign w:val="center"/>
          </w:tcPr>
          <w:p w14:paraId="27B424EB">
            <w:pPr>
              <w:pStyle w:val="37"/>
            </w:pPr>
            <w:r>
              <w:t>Urban</w:t>
            </w:r>
          </w:p>
        </w:tc>
        <w:tc>
          <w:tcPr>
            <w:tcW w:w="2803" w:type="dxa"/>
            <w:vAlign w:val="center"/>
          </w:tcPr>
          <w:p w14:paraId="44F911BB">
            <w:pPr>
              <w:pStyle w:val="37"/>
            </w:pPr>
            <w:r>
              <w:t>41</w:t>
            </w:r>
          </w:p>
        </w:tc>
        <w:tc>
          <w:tcPr>
            <w:tcW w:w="2665" w:type="dxa"/>
            <w:vAlign w:val="center"/>
          </w:tcPr>
          <w:p w14:paraId="2229FBEA">
            <w:pPr>
              <w:pStyle w:val="37"/>
            </w:pPr>
            <w:r>
              <w:t>38.30</w:t>
            </w:r>
          </w:p>
        </w:tc>
        <w:tc>
          <w:tcPr>
            <w:tcW w:w="2317" w:type="dxa"/>
            <w:vAlign w:val="center"/>
          </w:tcPr>
          <w:p w14:paraId="3FB216B3">
            <w:pPr>
              <w:pStyle w:val="37"/>
            </w:pPr>
            <w:r>
              <w:t>47.05</w:t>
            </w:r>
          </w:p>
        </w:tc>
      </w:tr>
      <w:tr w14:paraId="6673E46F">
        <w:trPr>
          <w:cantSplit/>
          <w:tblHeader/>
          <w:tblCellSpacing w:w="15" w:type="dxa"/>
        </w:trPr>
        <w:tc>
          <w:tcPr>
            <w:tcW w:w="0" w:type="auto"/>
            <w:vAlign w:val="center"/>
          </w:tcPr>
          <w:p w14:paraId="4419ADD8">
            <w:pPr>
              <w:pStyle w:val="37"/>
            </w:pPr>
          </w:p>
        </w:tc>
        <w:tc>
          <w:tcPr>
            <w:tcW w:w="1676" w:type="dxa"/>
            <w:vAlign w:val="center"/>
          </w:tcPr>
          <w:p w14:paraId="282F1C53">
            <w:pPr>
              <w:pStyle w:val="37"/>
              <w:rPr>
                <w:rFonts w:ascii="宋体" w:hAnsi="宋体" w:eastAsia="宋体" w:cs="宋体"/>
                <w:sz w:val="24"/>
                <w:szCs w:val="24"/>
              </w:rPr>
            </w:pPr>
            <w:r>
              <w:t>Rural</w:t>
            </w:r>
          </w:p>
        </w:tc>
        <w:tc>
          <w:tcPr>
            <w:tcW w:w="2803" w:type="dxa"/>
            <w:vAlign w:val="center"/>
          </w:tcPr>
          <w:p w14:paraId="325E625C">
            <w:pPr>
              <w:pStyle w:val="37"/>
            </w:pPr>
            <w:r>
              <w:t>1,465</w:t>
            </w:r>
          </w:p>
        </w:tc>
        <w:tc>
          <w:tcPr>
            <w:tcW w:w="2665" w:type="dxa"/>
            <w:vAlign w:val="center"/>
          </w:tcPr>
          <w:p w14:paraId="69F044D4">
            <w:pPr>
              <w:pStyle w:val="37"/>
            </w:pPr>
            <w:r>
              <w:t>1.50</w:t>
            </w:r>
          </w:p>
        </w:tc>
        <w:tc>
          <w:tcPr>
            <w:tcW w:w="2317" w:type="dxa"/>
            <w:vAlign w:val="center"/>
          </w:tcPr>
          <w:p w14:paraId="418D57F3">
            <w:pPr>
              <w:pStyle w:val="37"/>
            </w:pPr>
            <w:r>
              <w:t>11.69</w:t>
            </w:r>
          </w:p>
        </w:tc>
      </w:tr>
      <w:tr w14:paraId="3609E72F">
        <w:trPr>
          <w:cantSplit/>
          <w:tblHeader/>
          <w:tblCellSpacing w:w="15" w:type="dxa"/>
        </w:trPr>
        <w:tc>
          <w:tcPr>
            <w:tcW w:w="0" w:type="auto"/>
            <w:tcBorders>
              <w:bottom w:val="single" w:color="auto" w:sz="6" w:space="0"/>
            </w:tcBorders>
            <w:vAlign w:val="center"/>
          </w:tcPr>
          <w:p w14:paraId="070F6A64">
            <w:pPr>
              <w:pStyle w:val="37"/>
            </w:pPr>
          </w:p>
        </w:tc>
        <w:tc>
          <w:tcPr>
            <w:tcW w:w="1676" w:type="dxa"/>
            <w:tcBorders>
              <w:bottom w:val="single" w:color="auto" w:sz="6" w:space="0"/>
            </w:tcBorders>
            <w:vAlign w:val="center"/>
          </w:tcPr>
          <w:p w14:paraId="75713FAA">
            <w:pPr>
              <w:pStyle w:val="37"/>
              <w:rPr>
                <w:rFonts w:ascii="宋体" w:hAnsi="宋体" w:eastAsia="宋体" w:cs="宋体"/>
                <w:sz w:val="24"/>
                <w:szCs w:val="24"/>
              </w:rPr>
            </w:pPr>
            <w:r>
              <w:t>Total</w:t>
            </w:r>
          </w:p>
        </w:tc>
        <w:tc>
          <w:tcPr>
            <w:tcW w:w="2803" w:type="dxa"/>
            <w:tcBorders>
              <w:bottom w:val="single" w:color="auto" w:sz="6" w:space="0"/>
            </w:tcBorders>
            <w:vAlign w:val="center"/>
          </w:tcPr>
          <w:p w14:paraId="14A44596">
            <w:pPr>
              <w:pStyle w:val="37"/>
            </w:pPr>
            <w:r>
              <w:t>1,506</w:t>
            </w:r>
          </w:p>
        </w:tc>
        <w:tc>
          <w:tcPr>
            <w:tcW w:w="2665" w:type="dxa"/>
            <w:tcBorders>
              <w:bottom w:val="single" w:color="auto" w:sz="6" w:space="0"/>
            </w:tcBorders>
            <w:vAlign w:val="center"/>
          </w:tcPr>
          <w:p w14:paraId="7D0E4376">
            <w:pPr>
              <w:pStyle w:val="37"/>
            </w:pPr>
            <w:r>
              <w:t>39.80</w:t>
            </w:r>
          </w:p>
        </w:tc>
        <w:tc>
          <w:tcPr>
            <w:tcW w:w="2317" w:type="dxa"/>
            <w:tcBorders>
              <w:bottom w:val="single" w:color="auto" w:sz="6" w:space="0"/>
            </w:tcBorders>
            <w:vAlign w:val="center"/>
          </w:tcPr>
          <w:p w14:paraId="273EFA02">
            <w:pPr>
              <w:pStyle w:val="37"/>
            </w:pPr>
            <w:r>
              <w:t>58.74</w:t>
            </w:r>
          </w:p>
        </w:tc>
      </w:tr>
    </w:tbl>
    <w:p w14:paraId="34F6C25A">
      <w:pPr>
        <w:pStyle w:val="34"/>
        <w:keepLines/>
      </w:pPr>
      <w:r>
        <w:t>Panel C | High-population scenario</w:t>
      </w:r>
    </w:p>
    <w:tbl>
      <w:tblPr>
        <w:tblStyle w:val="6"/>
        <w:tblW w:w="0" w:type="auto"/>
        <w:tblCellSpacing w:w="15" w:type="dxa"/>
        <w:tblInd w:w="0" w:type="dxa"/>
        <w:tblLayout w:type="autofit"/>
        <w:tblCellMar>
          <w:top w:w="15" w:type="dxa"/>
          <w:left w:w="15" w:type="dxa"/>
          <w:bottom w:w="15" w:type="dxa"/>
          <w:right w:w="15" w:type="dxa"/>
        </w:tblCellMar>
      </w:tblPr>
      <w:tblGrid>
        <w:gridCol w:w="1755"/>
        <w:gridCol w:w="1573"/>
        <w:gridCol w:w="3118"/>
        <w:gridCol w:w="2410"/>
        <w:gridCol w:w="2504"/>
      </w:tblGrid>
      <w:tr w14:paraId="57C19A24">
        <w:trPr>
          <w:cantSplit/>
          <w:tblHeader/>
          <w:tblCellSpacing w:w="15" w:type="dxa"/>
        </w:trPr>
        <w:tc>
          <w:tcPr>
            <w:tcW w:w="0" w:type="auto"/>
            <w:tcBorders>
              <w:top w:val="single" w:color="auto" w:sz="6" w:space="0"/>
              <w:bottom w:val="single" w:color="auto" w:sz="6" w:space="0"/>
            </w:tcBorders>
            <w:vAlign w:val="center"/>
          </w:tcPr>
          <w:p w14:paraId="798ACD16">
            <w:pPr>
              <w:pStyle w:val="37"/>
              <w:rPr>
                <w:b/>
                <w:bCs/>
              </w:rPr>
            </w:pPr>
            <w:bookmarkStart w:id="43" w:name="OLE_LINK12"/>
            <w:r>
              <w:rPr>
                <w:b/>
                <w:bCs/>
              </w:rPr>
              <w:t>Five-year interval</w:t>
            </w:r>
          </w:p>
        </w:tc>
        <w:tc>
          <w:tcPr>
            <w:tcW w:w="1543" w:type="dxa"/>
            <w:tcBorders>
              <w:top w:val="single" w:color="auto" w:sz="6" w:space="0"/>
              <w:bottom w:val="single" w:color="auto" w:sz="6" w:space="0"/>
            </w:tcBorders>
            <w:vAlign w:val="center"/>
          </w:tcPr>
          <w:p w14:paraId="5CEAAF64">
            <w:pPr>
              <w:pStyle w:val="37"/>
              <w:rPr>
                <w:b/>
                <w:bCs/>
              </w:rPr>
            </w:pPr>
            <w:r>
              <w:rPr>
                <w:b/>
                <w:bCs/>
              </w:rPr>
              <w:t>Group</w:t>
            </w:r>
          </w:p>
        </w:tc>
        <w:tc>
          <w:tcPr>
            <w:tcW w:w="3088" w:type="dxa"/>
            <w:tcBorders>
              <w:top w:val="single" w:color="auto" w:sz="6" w:space="0"/>
              <w:bottom w:val="single" w:color="auto" w:sz="6" w:space="0"/>
            </w:tcBorders>
            <w:vAlign w:val="center"/>
          </w:tcPr>
          <w:p w14:paraId="32576679">
            <w:pPr>
              <w:pStyle w:val="37"/>
              <w:rPr>
                <w:b/>
                <w:bCs/>
              </w:rPr>
            </w:pPr>
            <w:r>
              <w:rPr>
                <w:b/>
                <w:bCs/>
              </w:rPr>
              <w:t>Newly entering buildings</w:t>
            </w:r>
          </w:p>
        </w:tc>
        <w:tc>
          <w:tcPr>
            <w:tcW w:w="2380" w:type="dxa"/>
            <w:tcBorders>
              <w:top w:val="single" w:color="auto" w:sz="6" w:space="0"/>
              <w:bottom w:val="single" w:color="auto" w:sz="6" w:space="0"/>
            </w:tcBorders>
            <w:vAlign w:val="center"/>
          </w:tcPr>
          <w:p w14:paraId="5E02ECF2">
            <w:pPr>
              <w:pStyle w:val="37"/>
              <w:rPr>
                <w:b/>
                <w:bCs/>
              </w:rPr>
            </w:pPr>
            <w:r>
              <w:rPr>
                <w:b/>
                <w:bCs/>
              </w:rPr>
              <w:t>Demolition emissions (ktCO</w:t>
            </w:r>
            <w:r>
              <w:rPr>
                <w:rFonts w:ascii="Cambria Math" w:hAnsi="Cambria Math" w:cs="Cambria Math"/>
                <w:b/>
                <w:bCs/>
              </w:rPr>
              <w:t>₂</w:t>
            </w:r>
            <w:r>
              <w:rPr>
                <w:b/>
                <w:bCs/>
              </w:rPr>
              <w:t>)</w:t>
            </w:r>
          </w:p>
        </w:tc>
        <w:tc>
          <w:tcPr>
            <w:tcW w:w="2459" w:type="dxa"/>
            <w:tcBorders>
              <w:top w:val="single" w:color="auto" w:sz="6" w:space="0"/>
              <w:bottom w:val="single" w:color="auto" w:sz="6" w:space="0"/>
            </w:tcBorders>
            <w:vAlign w:val="center"/>
          </w:tcPr>
          <w:p w14:paraId="3148FA93">
            <w:pPr>
              <w:pStyle w:val="37"/>
              <w:rPr>
                <w:b/>
                <w:bCs/>
              </w:rPr>
            </w:pPr>
            <w:r>
              <w:rPr>
                <w:b/>
                <w:bCs/>
              </w:rPr>
              <w:t>Annual operational emissions (ktCO</w:t>
            </w:r>
            <w:r>
              <w:rPr>
                <w:rFonts w:ascii="Cambria Math" w:hAnsi="Cambria Math" w:cs="Cambria Math"/>
                <w:b/>
                <w:bCs/>
              </w:rPr>
              <w:t>₂</w:t>
            </w:r>
            <w:r>
              <w:rPr>
                <w:b/>
                <w:bCs/>
              </w:rPr>
              <w:t xml:space="preserve"> yr</w:t>
            </w:r>
            <w:r>
              <w:rPr>
                <w:rFonts w:ascii="Cambria Math" w:hAnsi="Cambria Math" w:cs="Cambria Math"/>
                <w:b/>
                <w:bCs/>
              </w:rPr>
              <w:t>⁻</w:t>
            </w:r>
            <w:r>
              <w:rPr>
                <w:b/>
                <w:bCs/>
              </w:rPr>
              <w:t>¹)</w:t>
            </w:r>
          </w:p>
        </w:tc>
      </w:tr>
      <w:tr w14:paraId="166E758F">
        <w:trPr>
          <w:cantSplit/>
          <w:tblHeader/>
          <w:tblCellSpacing w:w="15" w:type="dxa"/>
        </w:trPr>
        <w:tc>
          <w:tcPr>
            <w:tcW w:w="0" w:type="auto"/>
            <w:vAlign w:val="center"/>
          </w:tcPr>
          <w:p w14:paraId="39432E85">
            <w:pPr>
              <w:pStyle w:val="37"/>
            </w:pPr>
            <w:r>
              <w:t>2020–2025</w:t>
            </w:r>
          </w:p>
        </w:tc>
        <w:tc>
          <w:tcPr>
            <w:tcW w:w="1543" w:type="dxa"/>
            <w:vAlign w:val="center"/>
          </w:tcPr>
          <w:p w14:paraId="615C7D2E">
            <w:pPr>
              <w:pStyle w:val="37"/>
            </w:pPr>
            <w:r>
              <w:t>Urban</w:t>
            </w:r>
          </w:p>
        </w:tc>
        <w:tc>
          <w:tcPr>
            <w:tcW w:w="3088" w:type="dxa"/>
            <w:vAlign w:val="center"/>
          </w:tcPr>
          <w:p w14:paraId="343B37E3">
            <w:pPr>
              <w:pStyle w:val="37"/>
            </w:pPr>
            <w:r>
              <w:t>17</w:t>
            </w:r>
          </w:p>
        </w:tc>
        <w:tc>
          <w:tcPr>
            <w:tcW w:w="2380" w:type="dxa"/>
            <w:vAlign w:val="center"/>
          </w:tcPr>
          <w:p w14:paraId="5EDBC1B3">
            <w:pPr>
              <w:pStyle w:val="37"/>
            </w:pPr>
            <w:r>
              <w:t>38.70</w:t>
            </w:r>
          </w:p>
        </w:tc>
        <w:tc>
          <w:tcPr>
            <w:tcW w:w="2459" w:type="dxa"/>
            <w:vAlign w:val="center"/>
          </w:tcPr>
          <w:p w14:paraId="2FA2DFBF">
            <w:pPr>
              <w:pStyle w:val="37"/>
            </w:pPr>
            <w:r>
              <w:t>33.20</w:t>
            </w:r>
          </w:p>
        </w:tc>
      </w:tr>
      <w:tr w14:paraId="07BDE60F">
        <w:trPr>
          <w:cantSplit/>
          <w:tblHeader/>
          <w:tblCellSpacing w:w="15" w:type="dxa"/>
        </w:trPr>
        <w:tc>
          <w:tcPr>
            <w:tcW w:w="0" w:type="auto"/>
            <w:vAlign w:val="center"/>
          </w:tcPr>
          <w:p w14:paraId="26A0BA41">
            <w:pPr>
              <w:pStyle w:val="37"/>
            </w:pPr>
          </w:p>
        </w:tc>
        <w:tc>
          <w:tcPr>
            <w:tcW w:w="1543" w:type="dxa"/>
            <w:vAlign w:val="center"/>
          </w:tcPr>
          <w:p w14:paraId="7F161824">
            <w:pPr>
              <w:pStyle w:val="37"/>
              <w:rPr>
                <w:rFonts w:ascii="宋体" w:hAnsi="宋体" w:eastAsia="宋体" w:cs="宋体"/>
                <w:sz w:val="24"/>
                <w:szCs w:val="24"/>
              </w:rPr>
            </w:pPr>
            <w:r>
              <w:t>Rural</w:t>
            </w:r>
          </w:p>
        </w:tc>
        <w:tc>
          <w:tcPr>
            <w:tcW w:w="3088" w:type="dxa"/>
            <w:vAlign w:val="center"/>
          </w:tcPr>
          <w:p w14:paraId="0DA916B1">
            <w:pPr>
              <w:pStyle w:val="37"/>
            </w:pPr>
            <w:r>
              <w:t>1,795</w:t>
            </w:r>
          </w:p>
        </w:tc>
        <w:tc>
          <w:tcPr>
            <w:tcW w:w="2380" w:type="dxa"/>
            <w:vAlign w:val="center"/>
          </w:tcPr>
          <w:p w14:paraId="2AD83049">
            <w:pPr>
              <w:pStyle w:val="37"/>
            </w:pPr>
            <w:r>
              <w:t>1.77</w:t>
            </w:r>
          </w:p>
        </w:tc>
        <w:tc>
          <w:tcPr>
            <w:tcW w:w="2459" w:type="dxa"/>
            <w:vAlign w:val="center"/>
          </w:tcPr>
          <w:p w14:paraId="42C12BE6">
            <w:pPr>
              <w:pStyle w:val="37"/>
            </w:pPr>
            <w:r>
              <w:t>10.16</w:t>
            </w:r>
          </w:p>
        </w:tc>
      </w:tr>
      <w:tr w14:paraId="47FDDCAB">
        <w:trPr>
          <w:cantSplit/>
          <w:tblHeader/>
          <w:tblCellSpacing w:w="15" w:type="dxa"/>
        </w:trPr>
        <w:tc>
          <w:tcPr>
            <w:tcW w:w="0" w:type="auto"/>
            <w:vAlign w:val="center"/>
          </w:tcPr>
          <w:p w14:paraId="1B2F7636">
            <w:pPr>
              <w:pStyle w:val="37"/>
            </w:pPr>
          </w:p>
        </w:tc>
        <w:tc>
          <w:tcPr>
            <w:tcW w:w="1543" w:type="dxa"/>
            <w:vAlign w:val="center"/>
          </w:tcPr>
          <w:p w14:paraId="06D6C844">
            <w:pPr>
              <w:pStyle w:val="37"/>
              <w:rPr>
                <w:rFonts w:ascii="宋体" w:hAnsi="宋体" w:eastAsia="宋体" w:cs="宋体"/>
                <w:sz w:val="24"/>
                <w:szCs w:val="24"/>
              </w:rPr>
            </w:pPr>
            <w:r>
              <w:t>Total</w:t>
            </w:r>
          </w:p>
        </w:tc>
        <w:tc>
          <w:tcPr>
            <w:tcW w:w="3088" w:type="dxa"/>
            <w:vAlign w:val="center"/>
          </w:tcPr>
          <w:p w14:paraId="78CD9996">
            <w:pPr>
              <w:pStyle w:val="37"/>
            </w:pPr>
            <w:r>
              <w:t>1,812</w:t>
            </w:r>
          </w:p>
        </w:tc>
        <w:tc>
          <w:tcPr>
            <w:tcW w:w="2380" w:type="dxa"/>
            <w:vAlign w:val="center"/>
          </w:tcPr>
          <w:p w14:paraId="028A1B3D">
            <w:pPr>
              <w:pStyle w:val="37"/>
            </w:pPr>
            <w:r>
              <w:t>40.47</w:t>
            </w:r>
          </w:p>
        </w:tc>
        <w:tc>
          <w:tcPr>
            <w:tcW w:w="2459" w:type="dxa"/>
            <w:vAlign w:val="center"/>
          </w:tcPr>
          <w:p w14:paraId="07439D80">
            <w:pPr>
              <w:pStyle w:val="37"/>
            </w:pPr>
            <w:r>
              <w:t>43.36</w:t>
            </w:r>
          </w:p>
        </w:tc>
      </w:tr>
      <w:tr w14:paraId="04563084">
        <w:trPr>
          <w:cantSplit/>
          <w:tblHeader/>
          <w:tblCellSpacing w:w="15" w:type="dxa"/>
        </w:trPr>
        <w:tc>
          <w:tcPr>
            <w:tcW w:w="0" w:type="auto"/>
            <w:vAlign w:val="center"/>
          </w:tcPr>
          <w:p w14:paraId="71075A2F">
            <w:pPr>
              <w:pStyle w:val="37"/>
            </w:pPr>
            <w:r>
              <w:t>2025–2030</w:t>
            </w:r>
          </w:p>
        </w:tc>
        <w:tc>
          <w:tcPr>
            <w:tcW w:w="1543" w:type="dxa"/>
            <w:vAlign w:val="center"/>
          </w:tcPr>
          <w:p w14:paraId="421BB855">
            <w:pPr>
              <w:pStyle w:val="37"/>
            </w:pPr>
            <w:r>
              <w:t>Urban</w:t>
            </w:r>
          </w:p>
        </w:tc>
        <w:tc>
          <w:tcPr>
            <w:tcW w:w="3088" w:type="dxa"/>
            <w:vAlign w:val="center"/>
          </w:tcPr>
          <w:p w14:paraId="3C7B6713">
            <w:pPr>
              <w:pStyle w:val="37"/>
            </w:pPr>
            <w:r>
              <w:t>23</w:t>
            </w:r>
          </w:p>
        </w:tc>
        <w:tc>
          <w:tcPr>
            <w:tcW w:w="2380" w:type="dxa"/>
            <w:vAlign w:val="center"/>
          </w:tcPr>
          <w:p w14:paraId="652E27B4">
            <w:pPr>
              <w:pStyle w:val="37"/>
            </w:pPr>
            <w:r>
              <w:t>13.71</w:t>
            </w:r>
          </w:p>
        </w:tc>
        <w:tc>
          <w:tcPr>
            <w:tcW w:w="2459" w:type="dxa"/>
            <w:vAlign w:val="center"/>
          </w:tcPr>
          <w:p w14:paraId="36B6227F">
            <w:pPr>
              <w:pStyle w:val="37"/>
            </w:pPr>
            <w:r>
              <w:t>38.05</w:t>
            </w:r>
          </w:p>
        </w:tc>
      </w:tr>
      <w:tr w14:paraId="7A7AEBC4">
        <w:trPr>
          <w:cantSplit/>
          <w:tblHeader/>
          <w:tblCellSpacing w:w="15" w:type="dxa"/>
        </w:trPr>
        <w:tc>
          <w:tcPr>
            <w:tcW w:w="0" w:type="auto"/>
            <w:vAlign w:val="center"/>
          </w:tcPr>
          <w:p w14:paraId="798FEB47">
            <w:pPr>
              <w:pStyle w:val="37"/>
            </w:pPr>
          </w:p>
        </w:tc>
        <w:tc>
          <w:tcPr>
            <w:tcW w:w="1543" w:type="dxa"/>
            <w:vAlign w:val="center"/>
          </w:tcPr>
          <w:p w14:paraId="2141ECE5">
            <w:pPr>
              <w:pStyle w:val="37"/>
              <w:rPr>
                <w:rFonts w:ascii="宋体" w:hAnsi="宋体" w:eastAsia="宋体" w:cs="宋体"/>
                <w:sz w:val="24"/>
                <w:szCs w:val="24"/>
              </w:rPr>
            </w:pPr>
            <w:r>
              <w:t>Rural</w:t>
            </w:r>
          </w:p>
        </w:tc>
        <w:tc>
          <w:tcPr>
            <w:tcW w:w="3088" w:type="dxa"/>
            <w:vAlign w:val="center"/>
          </w:tcPr>
          <w:p w14:paraId="7929C875">
            <w:pPr>
              <w:pStyle w:val="37"/>
            </w:pPr>
            <w:r>
              <w:t>1,666</w:t>
            </w:r>
          </w:p>
        </w:tc>
        <w:tc>
          <w:tcPr>
            <w:tcW w:w="2380" w:type="dxa"/>
            <w:vAlign w:val="center"/>
          </w:tcPr>
          <w:p w14:paraId="52FC2458">
            <w:pPr>
              <w:pStyle w:val="37"/>
            </w:pPr>
            <w:r>
              <w:t>1.72</w:t>
            </w:r>
          </w:p>
        </w:tc>
        <w:tc>
          <w:tcPr>
            <w:tcW w:w="2459" w:type="dxa"/>
            <w:vAlign w:val="center"/>
          </w:tcPr>
          <w:p w14:paraId="2E0B16EA">
            <w:pPr>
              <w:pStyle w:val="37"/>
            </w:pPr>
            <w:r>
              <w:t>8.80</w:t>
            </w:r>
          </w:p>
        </w:tc>
      </w:tr>
      <w:tr w14:paraId="2DFDAB21">
        <w:trPr>
          <w:cantSplit/>
          <w:tblHeader/>
          <w:tblCellSpacing w:w="15" w:type="dxa"/>
        </w:trPr>
        <w:tc>
          <w:tcPr>
            <w:tcW w:w="0" w:type="auto"/>
            <w:vAlign w:val="center"/>
          </w:tcPr>
          <w:p w14:paraId="58B3B976">
            <w:pPr>
              <w:pStyle w:val="37"/>
            </w:pPr>
          </w:p>
        </w:tc>
        <w:tc>
          <w:tcPr>
            <w:tcW w:w="1543" w:type="dxa"/>
            <w:vAlign w:val="center"/>
          </w:tcPr>
          <w:p w14:paraId="01DEB611">
            <w:pPr>
              <w:pStyle w:val="37"/>
              <w:rPr>
                <w:rFonts w:ascii="宋体" w:hAnsi="宋体" w:eastAsia="宋体" w:cs="宋体"/>
                <w:sz w:val="24"/>
                <w:szCs w:val="24"/>
              </w:rPr>
            </w:pPr>
            <w:r>
              <w:t>Total</w:t>
            </w:r>
          </w:p>
        </w:tc>
        <w:tc>
          <w:tcPr>
            <w:tcW w:w="3088" w:type="dxa"/>
            <w:vAlign w:val="center"/>
          </w:tcPr>
          <w:p w14:paraId="57FB679E">
            <w:pPr>
              <w:pStyle w:val="37"/>
            </w:pPr>
            <w:r>
              <w:t>1,689</w:t>
            </w:r>
          </w:p>
        </w:tc>
        <w:tc>
          <w:tcPr>
            <w:tcW w:w="2380" w:type="dxa"/>
            <w:vAlign w:val="center"/>
          </w:tcPr>
          <w:p w14:paraId="62C2F024">
            <w:pPr>
              <w:pStyle w:val="37"/>
            </w:pPr>
            <w:r>
              <w:t>15.43</w:t>
            </w:r>
          </w:p>
        </w:tc>
        <w:tc>
          <w:tcPr>
            <w:tcW w:w="2459" w:type="dxa"/>
            <w:vAlign w:val="center"/>
          </w:tcPr>
          <w:p w14:paraId="6B837A74">
            <w:pPr>
              <w:pStyle w:val="37"/>
            </w:pPr>
            <w:r>
              <w:t>46.85</w:t>
            </w:r>
          </w:p>
        </w:tc>
      </w:tr>
      <w:tr w14:paraId="01797240">
        <w:trPr>
          <w:cantSplit/>
          <w:tblHeader/>
          <w:tblCellSpacing w:w="15" w:type="dxa"/>
        </w:trPr>
        <w:tc>
          <w:tcPr>
            <w:tcW w:w="0" w:type="auto"/>
            <w:vAlign w:val="center"/>
          </w:tcPr>
          <w:p w14:paraId="779AD58B">
            <w:pPr>
              <w:pStyle w:val="37"/>
            </w:pPr>
            <w:r>
              <w:t>2030–2035</w:t>
            </w:r>
          </w:p>
        </w:tc>
        <w:tc>
          <w:tcPr>
            <w:tcW w:w="1543" w:type="dxa"/>
            <w:vAlign w:val="center"/>
          </w:tcPr>
          <w:p w14:paraId="09FF3D6B">
            <w:pPr>
              <w:pStyle w:val="37"/>
            </w:pPr>
            <w:r>
              <w:t>Urban</w:t>
            </w:r>
          </w:p>
        </w:tc>
        <w:tc>
          <w:tcPr>
            <w:tcW w:w="3088" w:type="dxa"/>
            <w:vAlign w:val="center"/>
          </w:tcPr>
          <w:p w14:paraId="1FE3F888">
            <w:pPr>
              <w:pStyle w:val="37"/>
            </w:pPr>
            <w:r>
              <w:t>40</w:t>
            </w:r>
          </w:p>
        </w:tc>
        <w:tc>
          <w:tcPr>
            <w:tcW w:w="2380" w:type="dxa"/>
            <w:vAlign w:val="center"/>
          </w:tcPr>
          <w:p w14:paraId="07C237E6">
            <w:pPr>
              <w:pStyle w:val="37"/>
            </w:pPr>
            <w:r>
              <w:t>62.64</w:t>
            </w:r>
          </w:p>
        </w:tc>
        <w:tc>
          <w:tcPr>
            <w:tcW w:w="2459" w:type="dxa"/>
            <w:vAlign w:val="center"/>
          </w:tcPr>
          <w:p w14:paraId="40E738C3">
            <w:pPr>
              <w:pStyle w:val="37"/>
            </w:pPr>
            <w:r>
              <w:t>75.06</w:t>
            </w:r>
          </w:p>
        </w:tc>
      </w:tr>
      <w:tr w14:paraId="5533BA00">
        <w:trPr>
          <w:cantSplit/>
          <w:tblHeader/>
          <w:tblCellSpacing w:w="15" w:type="dxa"/>
        </w:trPr>
        <w:tc>
          <w:tcPr>
            <w:tcW w:w="0" w:type="auto"/>
            <w:vAlign w:val="center"/>
          </w:tcPr>
          <w:p w14:paraId="2B20B9D3">
            <w:pPr>
              <w:pStyle w:val="37"/>
            </w:pPr>
          </w:p>
        </w:tc>
        <w:tc>
          <w:tcPr>
            <w:tcW w:w="1543" w:type="dxa"/>
            <w:vAlign w:val="center"/>
          </w:tcPr>
          <w:p w14:paraId="21858C74">
            <w:pPr>
              <w:pStyle w:val="37"/>
              <w:rPr>
                <w:rFonts w:ascii="宋体" w:hAnsi="宋体" w:eastAsia="宋体" w:cs="宋体"/>
                <w:sz w:val="24"/>
                <w:szCs w:val="24"/>
              </w:rPr>
            </w:pPr>
            <w:r>
              <w:t>Rural</w:t>
            </w:r>
          </w:p>
        </w:tc>
        <w:tc>
          <w:tcPr>
            <w:tcW w:w="3088" w:type="dxa"/>
            <w:vAlign w:val="center"/>
          </w:tcPr>
          <w:p w14:paraId="1B69F0FB">
            <w:pPr>
              <w:pStyle w:val="37"/>
            </w:pPr>
            <w:r>
              <w:t>1,629</w:t>
            </w:r>
          </w:p>
        </w:tc>
        <w:tc>
          <w:tcPr>
            <w:tcW w:w="2380" w:type="dxa"/>
            <w:vAlign w:val="center"/>
          </w:tcPr>
          <w:p w14:paraId="4A4E9D2B">
            <w:pPr>
              <w:pStyle w:val="37"/>
            </w:pPr>
            <w:r>
              <w:t>1.74</w:t>
            </w:r>
          </w:p>
        </w:tc>
        <w:tc>
          <w:tcPr>
            <w:tcW w:w="2459" w:type="dxa"/>
            <w:vAlign w:val="center"/>
          </w:tcPr>
          <w:p w14:paraId="44F063DC">
            <w:pPr>
              <w:pStyle w:val="37"/>
            </w:pPr>
            <w:r>
              <w:t>28.09</w:t>
            </w:r>
          </w:p>
        </w:tc>
      </w:tr>
      <w:tr w14:paraId="0B5734DD">
        <w:trPr>
          <w:cantSplit/>
          <w:tblHeader/>
          <w:tblCellSpacing w:w="15" w:type="dxa"/>
        </w:trPr>
        <w:tc>
          <w:tcPr>
            <w:tcW w:w="0" w:type="auto"/>
            <w:vAlign w:val="center"/>
          </w:tcPr>
          <w:p w14:paraId="3C736BFD">
            <w:pPr>
              <w:pStyle w:val="37"/>
            </w:pPr>
          </w:p>
        </w:tc>
        <w:tc>
          <w:tcPr>
            <w:tcW w:w="1543" w:type="dxa"/>
            <w:vAlign w:val="center"/>
          </w:tcPr>
          <w:p w14:paraId="3302A885">
            <w:pPr>
              <w:pStyle w:val="37"/>
              <w:rPr>
                <w:rFonts w:ascii="宋体" w:hAnsi="宋体" w:eastAsia="宋体" w:cs="宋体"/>
                <w:sz w:val="24"/>
                <w:szCs w:val="24"/>
              </w:rPr>
            </w:pPr>
            <w:r>
              <w:t>Total</w:t>
            </w:r>
          </w:p>
        </w:tc>
        <w:tc>
          <w:tcPr>
            <w:tcW w:w="3088" w:type="dxa"/>
            <w:vAlign w:val="center"/>
          </w:tcPr>
          <w:p w14:paraId="0807C778">
            <w:pPr>
              <w:pStyle w:val="37"/>
            </w:pPr>
            <w:r>
              <w:t>1,669</w:t>
            </w:r>
          </w:p>
        </w:tc>
        <w:tc>
          <w:tcPr>
            <w:tcW w:w="2380" w:type="dxa"/>
            <w:vAlign w:val="center"/>
          </w:tcPr>
          <w:p w14:paraId="2D7BEF35">
            <w:pPr>
              <w:pStyle w:val="37"/>
            </w:pPr>
            <w:r>
              <w:t>64.38</w:t>
            </w:r>
          </w:p>
        </w:tc>
        <w:tc>
          <w:tcPr>
            <w:tcW w:w="2459" w:type="dxa"/>
            <w:vAlign w:val="center"/>
          </w:tcPr>
          <w:p w14:paraId="069488F8">
            <w:pPr>
              <w:pStyle w:val="37"/>
            </w:pPr>
            <w:r>
              <w:t>103.16</w:t>
            </w:r>
          </w:p>
        </w:tc>
      </w:tr>
      <w:tr w14:paraId="75A6110E">
        <w:trPr>
          <w:cantSplit/>
          <w:tblHeader/>
          <w:tblCellSpacing w:w="15" w:type="dxa"/>
        </w:trPr>
        <w:tc>
          <w:tcPr>
            <w:tcW w:w="0" w:type="auto"/>
            <w:vAlign w:val="center"/>
          </w:tcPr>
          <w:p w14:paraId="2B93C08D">
            <w:pPr>
              <w:pStyle w:val="37"/>
            </w:pPr>
            <w:r>
              <w:t>2035–2040</w:t>
            </w:r>
          </w:p>
        </w:tc>
        <w:tc>
          <w:tcPr>
            <w:tcW w:w="1543" w:type="dxa"/>
            <w:vAlign w:val="center"/>
          </w:tcPr>
          <w:p w14:paraId="5E4EB8E3">
            <w:pPr>
              <w:pStyle w:val="37"/>
            </w:pPr>
            <w:r>
              <w:t>Urban</w:t>
            </w:r>
          </w:p>
        </w:tc>
        <w:tc>
          <w:tcPr>
            <w:tcW w:w="3088" w:type="dxa"/>
            <w:vAlign w:val="center"/>
          </w:tcPr>
          <w:p w14:paraId="0D17CA3D">
            <w:pPr>
              <w:pStyle w:val="37"/>
            </w:pPr>
            <w:r>
              <w:t>40</w:t>
            </w:r>
          </w:p>
        </w:tc>
        <w:tc>
          <w:tcPr>
            <w:tcW w:w="2380" w:type="dxa"/>
            <w:vAlign w:val="center"/>
          </w:tcPr>
          <w:p w14:paraId="64B63D9B">
            <w:pPr>
              <w:pStyle w:val="37"/>
            </w:pPr>
            <w:r>
              <w:t>28.65</w:t>
            </w:r>
          </w:p>
        </w:tc>
        <w:tc>
          <w:tcPr>
            <w:tcW w:w="2459" w:type="dxa"/>
            <w:vAlign w:val="center"/>
          </w:tcPr>
          <w:p w14:paraId="3E664D08">
            <w:pPr>
              <w:pStyle w:val="37"/>
            </w:pPr>
            <w:r>
              <w:t>57.09</w:t>
            </w:r>
          </w:p>
        </w:tc>
      </w:tr>
      <w:tr w14:paraId="611A46CA">
        <w:trPr>
          <w:cantSplit/>
          <w:tblHeader/>
          <w:tblCellSpacing w:w="15" w:type="dxa"/>
        </w:trPr>
        <w:tc>
          <w:tcPr>
            <w:tcW w:w="0" w:type="auto"/>
            <w:vAlign w:val="center"/>
          </w:tcPr>
          <w:p w14:paraId="7EE94E87">
            <w:pPr>
              <w:pStyle w:val="37"/>
            </w:pPr>
          </w:p>
        </w:tc>
        <w:tc>
          <w:tcPr>
            <w:tcW w:w="1543" w:type="dxa"/>
            <w:vAlign w:val="center"/>
          </w:tcPr>
          <w:p w14:paraId="57768867">
            <w:pPr>
              <w:pStyle w:val="37"/>
              <w:rPr>
                <w:rFonts w:ascii="宋体" w:hAnsi="宋体" w:eastAsia="宋体" w:cs="宋体"/>
                <w:sz w:val="24"/>
                <w:szCs w:val="24"/>
              </w:rPr>
            </w:pPr>
            <w:r>
              <w:t>Rural</w:t>
            </w:r>
          </w:p>
        </w:tc>
        <w:tc>
          <w:tcPr>
            <w:tcW w:w="3088" w:type="dxa"/>
            <w:vAlign w:val="center"/>
          </w:tcPr>
          <w:p w14:paraId="795BBEE4">
            <w:pPr>
              <w:pStyle w:val="37"/>
            </w:pPr>
            <w:r>
              <w:t>1,533</w:t>
            </w:r>
          </w:p>
        </w:tc>
        <w:tc>
          <w:tcPr>
            <w:tcW w:w="2380" w:type="dxa"/>
            <w:vAlign w:val="center"/>
          </w:tcPr>
          <w:p w14:paraId="4FB72B1C">
            <w:pPr>
              <w:pStyle w:val="37"/>
            </w:pPr>
            <w:r>
              <w:t>1.50</w:t>
            </w:r>
          </w:p>
        </w:tc>
        <w:tc>
          <w:tcPr>
            <w:tcW w:w="2459" w:type="dxa"/>
            <w:vAlign w:val="center"/>
          </w:tcPr>
          <w:p w14:paraId="40FDBBCC">
            <w:pPr>
              <w:pStyle w:val="37"/>
            </w:pPr>
            <w:r>
              <w:t>18.55</w:t>
            </w:r>
          </w:p>
        </w:tc>
      </w:tr>
      <w:tr w14:paraId="20BC706E">
        <w:trPr>
          <w:cantSplit/>
          <w:tblHeader/>
          <w:tblCellSpacing w:w="15" w:type="dxa"/>
        </w:trPr>
        <w:tc>
          <w:tcPr>
            <w:tcW w:w="0" w:type="auto"/>
            <w:vAlign w:val="center"/>
          </w:tcPr>
          <w:p w14:paraId="481AB0BD">
            <w:pPr>
              <w:pStyle w:val="37"/>
            </w:pPr>
          </w:p>
        </w:tc>
        <w:tc>
          <w:tcPr>
            <w:tcW w:w="1543" w:type="dxa"/>
            <w:vAlign w:val="center"/>
          </w:tcPr>
          <w:p w14:paraId="42FB1814">
            <w:pPr>
              <w:pStyle w:val="37"/>
              <w:rPr>
                <w:rFonts w:ascii="宋体" w:hAnsi="宋体" w:eastAsia="宋体" w:cs="宋体"/>
                <w:sz w:val="24"/>
                <w:szCs w:val="24"/>
              </w:rPr>
            </w:pPr>
            <w:r>
              <w:t>Total</w:t>
            </w:r>
          </w:p>
        </w:tc>
        <w:tc>
          <w:tcPr>
            <w:tcW w:w="3088" w:type="dxa"/>
            <w:vAlign w:val="center"/>
          </w:tcPr>
          <w:p w14:paraId="35D793CE">
            <w:pPr>
              <w:pStyle w:val="37"/>
            </w:pPr>
            <w:r>
              <w:t>1,573</w:t>
            </w:r>
          </w:p>
        </w:tc>
        <w:tc>
          <w:tcPr>
            <w:tcW w:w="2380" w:type="dxa"/>
            <w:vAlign w:val="center"/>
          </w:tcPr>
          <w:p w14:paraId="2A4E05D4">
            <w:pPr>
              <w:pStyle w:val="37"/>
            </w:pPr>
            <w:r>
              <w:t>30.15</w:t>
            </w:r>
          </w:p>
        </w:tc>
        <w:tc>
          <w:tcPr>
            <w:tcW w:w="2459" w:type="dxa"/>
            <w:vAlign w:val="center"/>
          </w:tcPr>
          <w:p w14:paraId="0E424E24">
            <w:pPr>
              <w:pStyle w:val="37"/>
            </w:pPr>
            <w:r>
              <w:t>75.65</w:t>
            </w:r>
          </w:p>
        </w:tc>
      </w:tr>
      <w:tr w14:paraId="1B729862">
        <w:trPr>
          <w:cantSplit/>
          <w:tblHeader/>
          <w:tblCellSpacing w:w="15" w:type="dxa"/>
        </w:trPr>
        <w:tc>
          <w:tcPr>
            <w:tcW w:w="0" w:type="auto"/>
            <w:vAlign w:val="center"/>
          </w:tcPr>
          <w:p w14:paraId="7831EC06">
            <w:pPr>
              <w:pStyle w:val="37"/>
            </w:pPr>
            <w:r>
              <w:t>2040–2045</w:t>
            </w:r>
          </w:p>
        </w:tc>
        <w:tc>
          <w:tcPr>
            <w:tcW w:w="1543" w:type="dxa"/>
            <w:vAlign w:val="center"/>
          </w:tcPr>
          <w:p w14:paraId="2E3887A2">
            <w:pPr>
              <w:pStyle w:val="37"/>
            </w:pPr>
            <w:r>
              <w:t>Urban</w:t>
            </w:r>
          </w:p>
        </w:tc>
        <w:tc>
          <w:tcPr>
            <w:tcW w:w="3088" w:type="dxa"/>
            <w:vAlign w:val="center"/>
          </w:tcPr>
          <w:p w14:paraId="49B82998">
            <w:pPr>
              <w:pStyle w:val="37"/>
            </w:pPr>
            <w:r>
              <w:t>38</w:t>
            </w:r>
          </w:p>
        </w:tc>
        <w:tc>
          <w:tcPr>
            <w:tcW w:w="2380" w:type="dxa"/>
            <w:vAlign w:val="center"/>
          </w:tcPr>
          <w:p w14:paraId="39207A98">
            <w:pPr>
              <w:pStyle w:val="37"/>
            </w:pPr>
            <w:r>
              <w:t>43.42</w:t>
            </w:r>
          </w:p>
        </w:tc>
        <w:tc>
          <w:tcPr>
            <w:tcW w:w="2459" w:type="dxa"/>
            <w:vAlign w:val="center"/>
          </w:tcPr>
          <w:p w14:paraId="2E0BF2E9">
            <w:pPr>
              <w:pStyle w:val="37"/>
            </w:pPr>
            <w:r>
              <w:t>52.26</w:t>
            </w:r>
          </w:p>
        </w:tc>
      </w:tr>
      <w:tr w14:paraId="294D64CB">
        <w:trPr>
          <w:cantSplit/>
          <w:tblHeader/>
          <w:tblCellSpacing w:w="15" w:type="dxa"/>
        </w:trPr>
        <w:tc>
          <w:tcPr>
            <w:tcW w:w="0" w:type="auto"/>
            <w:vAlign w:val="center"/>
          </w:tcPr>
          <w:p w14:paraId="164CA2DF">
            <w:pPr>
              <w:pStyle w:val="37"/>
            </w:pPr>
          </w:p>
        </w:tc>
        <w:tc>
          <w:tcPr>
            <w:tcW w:w="1543" w:type="dxa"/>
            <w:vAlign w:val="center"/>
          </w:tcPr>
          <w:p w14:paraId="1511127E">
            <w:pPr>
              <w:pStyle w:val="37"/>
              <w:rPr>
                <w:rFonts w:ascii="宋体" w:hAnsi="宋体" w:eastAsia="宋体" w:cs="宋体"/>
                <w:sz w:val="24"/>
                <w:szCs w:val="24"/>
              </w:rPr>
            </w:pPr>
            <w:r>
              <w:t>Rural</w:t>
            </w:r>
          </w:p>
        </w:tc>
        <w:tc>
          <w:tcPr>
            <w:tcW w:w="3088" w:type="dxa"/>
            <w:vAlign w:val="center"/>
          </w:tcPr>
          <w:p w14:paraId="4AFF1835">
            <w:pPr>
              <w:pStyle w:val="37"/>
            </w:pPr>
            <w:r>
              <w:t>1,555</w:t>
            </w:r>
          </w:p>
        </w:tc>
        <w:tc>
          <w:tcPr>
            <w:tcW w:w="2380" w:type="dxa"/>
            <w:vAlign w:val="center"/>
          </w:tcPr>
          <w:p w14:paraId="37507814">
            <w:pPr>
              <w:pStyle w:val="37"/>
            </w:pPr>
            <w:r>
              <w:t>1.59</w:t>
            </w:r>
          </w:p>
        </w:tc>
        <w:tc>
          <w:tcPr>
            <w:tcW w:w="2459" w:type="dxa"/>
            <w:vAlign w:val="center"/>
          </w:tcPr>
          <w:p w14:paraId="251B7467">
            <w:pPr>
              <w:pStyle w:val="37"/>
            </w:pPr>
            <w:r>
              <w:t>10.76</w:t>
            </w:r>
          </w:p>
        </w:tc>
      </w:tr>
      <w:tr w14:paraId="2449823D">
        <w:trPr>
          <w:cantSplit/>
          <w:tblHeader/>
          <w:tblCellSpacing w:w="15" w:type="dxa"/>
        </w:trPr>
        <w:tc>
          <w:tcPr>
            <w:tcW w:w="0" w:type="auto"/>
            <w:vAlign w:val="center"/>
          </w:tcPr>
          <w:p w14:paraId="19207D44">
            <w:pPr>
              <w:pStyle w:val="37"/>
            </w:pPr>
          </w:p>
        </w:tc>
        <w:tc>
          <w:tcPr>
            <w:tcW w:w="1543" w:type="dxa"/>
            <w:vAlign w:val="center"/>
          </w:tcPr>
          <w:p w14:paraId="0E72520D">
            <w:pPr>
              <w:pStyle w:val="37"/>
              <w:rPr>
                <w:rFonts w:ascii="宋体" w:hAnsi="宋体" w:eastAsia="宋体" w:cs="宋体"/>
                <w:sz w:val="24"/>
                <w:szCs w:val="24"/>
              </w:rPr>
            </w:pPr>
            <w:r>
              <w:t>Total</w:t>
            </w:r>
          </w:p>
        </w:tc>
        <w:tc>
          <w:tcPr>
            <w:tcW w:w="3088" w:type="dxa"/>
            <w:vAlign w:val="center"/>
          </w:tcPr>
          <w:p w14:paraId="52C286FA">
            <w:pPr>
              <w:pStyle w:val="37"/>
            </w:pPr>
            <w:r>
              <w:t>1,593</w:t>
            </w:r>
          </w:p>
        </w:tc>
        <w:tc>
          <w:tcPr>
            <w:tcW w:w="2380" w:type="dxa"/>
            <w:vAlign w:val="center"/>
          </w:tcPr>
          <w:p w14:paraId="0BC0FEE3">
            <w:pPr>
              <w:pStyle w:val="37"/>
            </w:pPr>
            <w:r>
              <w:t>45.01</w:t>
            </w:r>
          </w:p>
        </w:tc>
        <w:tc>
          <w:tcPr>
            <w:tcW w:w="2459" w:type="dxa"/>
            <w:vAlign w:val="center"/>
          </w:tcPr>
          <w:p w14:paraId="05FF0AAF">
            <w:pPr>
              <w:pStyle w:val="37"/>
            </w:pPr>
            <w:r>
              <w:t>63.02</w:t>
            </w:r>
          </w:p>
        </w:tc>
      </w:tr>
      <w:tr w14:paraId="60679FFE">
        <w:trPr>
          <w:cantSplit/>
          <w:tblHeader/>
          <w:tblCellSpacing w:w="15" w:type="dxa"/>
        </w:trPr>
        <w:tc>
          <w:tcPr>
            <w:tcW w:w="0" w:type="auto"/>
            <w:vAlign w:val="center"/>
          </w:tcPr>
          <w:p w14:paraId="33162D83">
            <w:pPr>
              <w:pStyle w:val="37"/>
            </w:pPr>
            <w:r>
              <w:t>2045–2050</w:t>
            </w:r>
          </w:p>
        </w:tc>
        <w:tc>
          <w:tcPr>
            <w:tcW w:w="1543" w:type="dxa"/>
            <w:vAlign w:val="center"/>
          </w:tcPr>
          <w:p w14:paraId="74DCBBC6">
            <w:pPr>
              <w:pStyle w:val="37"/>
            </w:pPr>
            <w:r>
              <w:t>Urban</w:t>
            </w:r>
          </w:p>
        </w:tc>
        <w:tc>
          <w:tcPr>
            <w:tcW w:w="3088" w:type="dxa"/>
            <w:vAlign w:val="center"/>
          </w:tcPr>
          <w:p w14:paraId="531C9C2E">
            <w:pPr>
              <w:pStyle w:val="37"/>
            </w:pPr>
            <w:r>
              <w:t>43</w:t>
            </w:r>
          </w:p>
        </w:tc>
        <w:tc>
          <w:tcPr>
            <w:tcW w:w="2380" w:type="dxa"/>
            <w:vAlign w:val="center"/>
          </w:tcPr>
          <w:p w14:paraId="0BA0774B">
            <w:pPr>
              <w:pStyle w:val="37"/>
            </w:pPr>
            <w:r>
              <w:t>32.30</w:t>
            </w:r>
          </w:p>
        </w:tc>
        <w:tc>
          <w:tcPr>
            <w:tcW w:w="2459" w:type="dxa"/>
            <w:vAlign w:val="center"/>
          </w:tcPr>
          <w:p w14:paraId="260D1EE9">
            <w:pPr>
              <w:pStyle w:val="37"/>
            </w:pPr>
            <w:r>
              <w:t>52.47</w:t>
            </w:r>
          </w:p>
        </w:tc>
      </w:tr>
      <w:tr w14:paraId="21FB552B">
        <w:trPr>
          <w:cantSplit/>
          <w:tblHeader/>
          <w:tblCellSpacing w:w="15" w:type="dxa"/>
        </w:trPr>
        <w:tc>
          <w:tcPr>
            <w:tcW w:w="0" w:type="auto"/>
            <w:vAlign w:val="center"/>
          </w:tcPr>
          <w:p w14:paraId="0271BAD4">
            <w:pPr>
              <w:pStyle w:val="37"/>
            </w:pPr>
          </w:p>
        </w:tc>
        <w:tc>
          <w:tcPr>
            <w:tcW w:w="1543" w:type="dxa"/>
            <w:vAlign w:val="center"/>
          </w:tcPr>
          <w:p w14:paraId="60190B8A">
            <w:pPr>
              <w:pStyle w:val="37"/>
              <w:rPr>
                <w:rFonts w:ascii="宋体" w:hAnsi="宋体" w:eastAsia="宋体" w:cs="宋体"/>
                <w:sz w:val="24"/>
                <w:szCs w:val="24"/>
              </w:rPr>
            </w:pPr>
            <w:r>
              <w:t>Rural</w:t>
            </w:r>
          </w:p>
        </w:tc>
        <w:tc>
          <w:tcPr>
            <w:tcW w:w="3088" w:type="dxa"/>
            <w:vAlign w:val="center"/>
          </w:tcPr>
          <w:p w14:paraId="3BDC93A3">
            <w:pPr>
              <w:pStyle w:val="37"/>
            </w:pPr>
            <w:r>
              <w:t>1,467</w:t>
            </w:r>
          </w:p>
        </w:tc>
        <w:tc>
          <w:tcPr>
            <w:tcW w:w="2380" w:type="dxa"/>
            <w:vAlign w:val="center"/>
          </w:tcPr>
          <w:p w14:paraId="1818B147">
            <w:pPr>
              <w:pStyle w:val="37"/>
            </w:pPr>
            <w:r>
              <w:t>1.49</w:t>
            </w:r>
          </w:p>
        </w:tc>
        <w:tc>
          <w:tcPr>
            <w:tcW w:w="2459" w:type="dxa"/>
            <w:vAlign w:val="center"/>
          </w:tcPr>
          <w:p w14:paraId="0655BB33">
            <w:pPr>
              <w:pStyle w:val="37"/>
            </w:pPr>
            <w:r>
              <w:t>8.09</w:t>
            </w:r>
          </w:p>
        </w:tc>
      </w:tr>
      <w:tr w14:paraId="232B0E6E">
        <w:trPr>
          <w:cantSplit/>
          <w:tblHeader/>
          <w:tblCellSpacing w:w="15" w:type="dxa"/>
        </w:trPr>
        <w:tc>
          <w:tcPr>
            <w:tcW w:w="0" w:type="auto"/>
            <w:tcBorders>
              <w:bottom w:val="single" w:color="auto" w:sz="6" w:space="0"/>
            </w:tcBorders>
            <w:vAlign w:val="center"/>
          </w:tcPr>
          <w:p w14:paraId="41FF0A98">
            <w:pPr>
              <w:pStyle w:val="37"/>
            </w:pPr>
          </w:p>
        </w:tc>
        <w:tc>
          <w:tcPr>
            <w:tcW w:w="1543" w:type="dxa"/>
            <w:tcBorders>
              <w:bottom w:val="single" w:color="auto" w:sz="6" w:space="0"/>
            </w:tcBorders>
            <w:vAlign w:val="center"/>
          </w:tcPr>
          <w:p w14:paraId="704636FE">
            <w:pPr>
              <w:pStyle w:val="37"/>
              <w:rPr>
                <w:rFonts w:ascii="宋体" w:hAnsi="宋体" w:eastAsia="宋体" w:cs="宋体"/>
                <w:sz w:val="24"/>
                <w:szCs w:val="24"/>
              </w:rPr>
            </w:pPr>
            <w:r>
              <w:t>Total</w:t>
            </w:r>
          </w:p>
        </w:tc>
        <w:tc>
          <w:tcPr>
            <w:tcW w:w="3088" w:type="dxa"/>
            <w:tcBorders>
              <w:bottom w:val="single" w:color="auto" w:sz="6" w:space="0"/>
            </w:tcBorders>
            <w:vAlign w:val="center"/>
          </w:tcPr>
          <w:p w14:paraId="50B89CF1">
            <w:pPr>
              <w:pStyle w:val="37"/>
            </w:pPr>
            <w:r>
              <w:t>1,510</w:t>
            </w:r>
          </w:p>
        </w:tc>
        <w:tc>
          <w:tcPr>
            <w:tcW w:w="2380" w:type="dxa"/>
            <w:tcBorders>
              <w:bottom w:val="single" w:color="auto" w:sz="6" w:space="0"/>
            </w:tcBorders>
            <w:vAlign w:val="center"/>
          </w:tcPr>
          <w:p w14:paraId="5569AE54">
            <w:pPr>
              <w:pStyle w:val="37"/>
            </w:pPr>
            <w:r>
              <w:t>33.80</w:t>
            </w:r>
          </w:p>
        </w:tc>
        <w:tc>
          <w:tcPr>
            <w:tcW w:w="2459" w:type="dxa"/>
            <w:tcBorders>
              <w:bottom w:val="single" w:color="auto" w:sz="6" w:space="0"/>
            </w:tcBorders>
            <w:vAlign w:val="center"/>
          </w:tcPr>
          <w:p w14:paraId="5251B21E">
            <w:pPr>
              <w:pStyle w:val="37"/>
            </w:pPr>
            <w:r>
              <w:t>60.56</w:t>
            </w:r>
          </w:p>
        </w:tc>
      </w:tr>
      <w:bookmarkEnd w:id="43"/>
    </w:tbl>
    <w:p w14:paraId="45D54A28">
      <w:pPr>
        <w:pStyle w:val="35"/>
        <w:keepLines/>
      </w:pPr>
      <w:r>
        <w:t>Note: Panels A–C report newly entering cohorts under low-, medium- and high-population scenarios. Demolition emissions are one-off removal-stage estimates. Operational emissions are recurring annual residential-energy baselines before realized retrofit savings; the two accounts do not share a common time horizon.</w:t>
      </w:r>
    </w:p>
    <w:p w14:paraId="228AC337">
      <w:pPr>
        <w:jc w:val="left"/>
        <w:rPr>
          <w:szCs w:val="19"/>
        </w:rPr>
      </w:pPr>
      <w:r>
        <w:br w:type="page"/>
      </w:r>
    </w:p>
    <w:p w14:paraId="406FD0EC">
      <w:pPr>
        <w:pStyle w:val="33"/>
        <w:keepLines/>
      </w:pPr>
      <w:r>
        <w:t>Supplementary Table 15 | Parameters used in in situ renewal-cost and carbon accounting.</w:t>
      </w:r>
    </w:p>
    <w:tbl>
      <w:tblPr>
        <w:tblStyle w:val="6"/>
        <w:tblW w:w="4999"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80" w:type="dxa"/>
          <w:left w:w="120" w:type="dxa"/>
          <w:bottom w:w="80" w:type="dxa"/>
          <w:right w:w="120" w:type="dxa"/>
        </w:tblCellMar>
      </w:tblPr>
      <w:tblGrid>
        <w:gridCol w:w="1702"/>
        <w:gridCol w:w="7963"/>
        <w:gridCol w:w="1866"/>
      </w:tblGrid>
      <w:tr w14:paraId="635D19FD">
        <w:trPr>
          <w:cantSplit/>
          <w:tblHeader/>
          <w:jc w:val="center"/>
        </w:trPr>
        <w:tc>
          <w:tcPr>
            <w:tcW w:w="738" w:type="pct"/>
            <w:tcBorders>
              <w:bottom w:val="single" w:color="auto" w:sz="4" w:space="0"/>
            </w:tcBorders>
            <w:vAlign w:val="center"/>
          </w:tcPr>
          <w:p w14:paraId="1CAED390">
            <w:pPr>
              <w:spacing w:line="252" w:lineRule="auto"/>
              <w:jc w:val="center"/>
            </w:pPr>
            <w:r>
              <w:rPr>
                <w:b/>
                <w:color w:val="000000"/>
              </w:rPr>
              <w:t>Symbol</w:t>
            </w:r>
          </w:p>
        </w:tc>
        <w:tc>
          <w:tcPr>
            <w:tcW w:w="3453" w:type="pct"/>
            <w:tcBorders>
              <w:bottom w:val="single" w:color="auto" w:sz="4" w:space="0"/>
            </w:tcBorders>
            <w:vAlign w:val="center"/>
          </w:tcPr>
          <w:p w14:paraId="79F70F61">
            <w:pPr>
              <w:spacing w:line="252" w:lineRule="auto"/>
              <w:jc w:val="center"/>
            </w:pPr>
            <w:r>
              <w:rPr>
                <w:b/>
                <w:color w:val="000000"/>
              </w:rPr>
              <w:t>Parameter definition</w:t>
            </w:r>
          </w:p>
        </w:tc>
        <w:tc>
          <w:tcPr>
            <w:tcW w:w="809" w:type="pct"/>
            <w:tcBorders>
              <w:bottom w:val="single" w:color="auto" w:sz="4" w:space="0"/>
            </w:tcBorders>
            <w:vAlign w:val="center"/>
          </w:tcPr>
          <w:p w14:paraId="1615F4CD">
            <w:pPr>
              <w:spacing w:line="252" w:lineRule="auto"/>
              <w:jc w:val="center"/>
            </w:pPr>
            <w:r>
              <w:rPr>
                <w:b/>
                <w:color w:val="000000"/>
              </w:rPr>
              <w:t>Value</w:t>
            </w:r>
          </w:p>
        </w:tc>
      </w:tr>
      <w:tr w14:paraId="68C9D4AD">
        <w:trPr>
          <w:cantSplit/>
          <w:jc w:val="center"/>
        </w:trPr>
        <w:tc>
          <w:tcPr>
            <w:tcW w:w="738" w:type="pct"/>
            <w:tcBorders>
              <w:top w:val="single" w:color="auto" w:sz="4" w:space="0"/>
            </w:tcBorders>
            <w:vAlign w:val="center"/>
          </w:tcPr>
          <w:p w14:paraId="05BADDA0">
            <w:pPr>
              <w:pStyle w:val="37"/>
            </w:pPr>
            <m:oMathPara>
              <m:oMath>
                <m:sSub>
                  <m:sSubPr>
                    <m:ctrlPr>
                      <w:rPr>
                        <w:rFonts w:ascii="Cambria Math" w:hAnsi="Cambria Math" w:eastAsia="宋体"/>
                      </w:rPr>
                    </m:ctrlPr>
                  </m:sSubPr>
                  <m:e>
                    <m:r>
                      <m:rPr/>
                      <w:rPr>
                        <w:rFonts w:ascii="Cambria Math" w:hAnsi="Cambria Math" w:eastAsia="宋体"/>
                      </w:rPr>
                      <m:t>α</m:t>
                    </m:r>
                    <m:ctrlPr>
                      <w:rPr>
                        <w:rFonts w:ascii="Cambria Math" w:hAnsi="Cambria Math" w:eastAsia="宋体"/>
                      </w:rPr>
                    </m:ctrlPr>
                  </m:e>
                  <m:sub>
                    <m:r>
                      <m:rPr>
                        <m:sty m:val="p"/>
                      </m:rPr>
                      <w:rPr>
                        <w:rFonts w:ascii="Cambria Math" w:hAnsi="Cambria Math" w:eastAsia="宋体"/>
                      </w:rPr>
                      <m:t>dem</m:t>
                    </m:r>
                    <m:ctrlPr>
                      <w:rPr>
                        <w:rFonts w:ascii="Cambria Math" w:hAnsi="Cambria Math" w:eastAsia="宋体"/>
                      </w:rPr>
                    </m:ctrlPr>
                  </m:sub>
                </m:sSub>
              </m:oMath>
            </m:oMathPara>
          </w:p>
        </w:tc>
        <w:tc>
          <w:tcPr>
            <w:tcW w:w="3453" w:type="pct"/>
            <w:tcBorders>
              <w:top w:val="single" w:color="auto" w:sz="4" w:space="0"/>
            </w:tcBorders>
            <w:vAlign w:val="center"/>
          </w:tcPr>
          <w:p w14:paraId="6CD4E703">
            <w:pPr>
              <w:pStyle w:val="37"/>
            </w:pPr>
            <w:r>
              <w:rPr>
                <w:sz w:val="17"/>
              </w:rPr>
              <w:t>Empirical intercept in the unit-area demolition-emission relationship</w:t>
            </w:r>
          </w:p>
        </w:tc>
        <w:tc>
          <w:tcPr>
            <w:tcW w:w="809" w:type="pct"/>
            <w:tcBorders>
              <w:top w:val="single" w:color="auto" w:sz="4" w:space="0"/>
            </w:tcBorders>
            <w:vAlign w:val="center"/>
          </w:tcPr>
          <w:p w14:paraId="3EAF5E84">
            <w:r>
              <w:t>1.99</w:t>
            </w:r>
          </w:p>
        </w:tc>
      </w:tr>
      <w:tr w14:paraId="3763CBE5">
        <w:trPr>
          <w:cantSplit/>
          <w:jc w:val="center"/>
        </w:trPr>
        <w:tc>
          <w:tcPr>
            <w:tcW w:w="738" w:type="pct"/>
            <w:vAlign w:val="center"/>
          </w:tcPr>
          <w:p w14:paraId="21F0F22D">
            <w:pPr>
              <w:pStyle w:val="37"/>
            </w:pPr>
            <m:oMathPara>
              <m:oMath>
                <m:sSubSup>
                  <m:sSubSupPr>
                    <m:ctrlPr>
                      <w:rPr>
                        <w:rFonts w:ascii="Cambria Math" w:hAnsi="Cambria Math" w:eastAsia="宋体"/>
                      </w:rPr>
                    </m:ctrlPr>
                  </m:sSubSupPr>
                  <m:e>
                    <m:r>
                      <m:rPr/>
                      <w:rPr>
                        <w:rFonts w:ascii="Cambria Math" w:hAnsi="Cambria Math" w:eastAsia="宋体"/>
                      </w:rPr>
                      <m:t>q</m:t>
                    </m:r>
                    <m:ctrlPr>
                      <w:rPr>
                        <w:rFonts w:ascii="Cambria Math" w:hAnsi="Cambria Math" w:eastAsia="宋体"/>
                      </w:rPr>
                    </m:ctrlPr>
                  </m:e>
                  <m:sub>
                    <m:r>
                      <m:rPr>
                        <m:sty m:val="p"/>
                      </m:rPr>
                      <w:rPr>
                        <w:rFonts w:ascii="Cambria Math" w:hAnsi="Cambria Math" w:eastAsia="宋体"/>
                      </w:rPr>
                      <m:t>FJ</m:t>
                    </m:r>
                    <m:ctrlPr>
                      <w:rPr>
                        <w:rFonts w:ascii="Cambria Math" w:hAnsi="Cambria Math" w:eastAsia="宋体"/>
                      </w:rPr>
                    </m:ctrlPr>
                  </m:sub>
                  <m:sup>
                    <m:r>
                      <m:rPr>
                        <m:sty m:val="p"/>
                      </m:rPr>
                      <w:rPr>
                        <w:rFonts w:ascii="Cambria Math" w:hAnsi="Cambria Math" w:eastAsia="宋体"/>
                      </w:rPr>
                      <m:t>res</m:t>
                    </m:r>
                    <m:ctrlPr>
                      <w:rPr>
                        <w:rFonts w:ascii="Cambria Math" w:hAnsi="Cambria Math" w:eastAsia="宋体"/>
                      </w:rPr>
                    </m:ctrlPr>
                  </m:sup>
                </m:sSubSup>
              </m:oMath>
            </m:oMathPara>
          </w:p>
        </w:tc>
        <w:tc>
          <w:tcPr>
            <w:tcW w:w="3453" w:type="pct"/>
            <w:vAlign w:val="center"/>
          </w:tcPr>
          <w:p w14:paraId="33876F75">
            <w:pPr>
              <w:pStyle w:val="37"/>
            </w:pPr>
            <w:r>
              <w:rPr>
                <w:sz w:val="17"/>
              </w:rPr>
              <w:t>Per-capita residential energy consumption in Fujian Province</w:t>
            </w:r>
          </w:p>
        </w:tc>
        <w:tc>
          <w:tcPr>
            <w:tcW w:w="809" w:type="pct"/>
            <w:vAlign w:val="center"/>
          </w:tcPr>
          <w:p w14:paraId="6DCB9D70">
            <w:r>
              <w:t>433.8</w:t>
            </w:r>
          </w:p>
        </w:tc>
      </w:tr>
      <w:tr w14:paraId="01CE6887">
        <w:trPr>
          <w:cantSplit/>
          <w:jc w:val="center"/>
        </w:trPr>
        <w:tc>
          <w:tcPr>
            <w:tcW w:w="738" w:type="pct"/>
            <w:vAlign w:val="center"/>
          </w:tcPr>
          <w:p w14:paraId="0A91F3ED">
            <w:pPr>
              <w:pStyle w:val="37"/>
            </w:pPr>
            <m:oMathPara>
              <m:oMath>
                <m:sSub>
                  <m:sSubPr>
                    <m:ctrlPr>
                      <w:rPr>
                        <w:rFonts w:ascii="Cambria Math" w:hAnsi="Cambria Math" w:eastAsia="宋体"/>
                      </w:rPr>
                    </m:ctrlPr>
                  </m:sSubPr>
                  <m:e>
                    <m:r>
                      <m:rPr/>
                      <w:rPr>
                        <w:rFonts w:ascii="Cambria Math" w:hAnsi="Cambria Math" w:eastAsia="宋体"/>
                      </w:rPr>
                      <m:t>f</m:t>
                    </m:r>
                    <m:ctrlPr>
                      <w:rPr>
                        <w:rFonts w:ascii="Cambria Math" w:hAnsi="Cambria Math" w:eastAsia="宋体"/>
                      </w:rPr>
                    </m:ctrlPr>
                  </m:e>
                  <m:sub>
                    <m:r>
                      <m:rPr>
                        <m:sty m:val="p"/>
                      </m:rPr>
                      <w:rPr>
                        <w:rFonts w:ascii="Cambria Math" w:hAnsi="Cambria Math" w:eastAsia="宋体"/>
                      </w:rPr>
                      <m:t>C</m:t>
                    </m:r>
                    <m:sSub>
                      <m:sSubPr>
                        <m:ctrlPr>
                          <w:rPr>
                            <w:rFonts w:ascii="Cambria Math" w:hAnsi="Cambria Math" w:eastAsia="宋体"/>
                          </w:rPr>
                        </m:ctrlPr>
                      </m:sSubPr>
                      <m:e>
                        <m:r>
                          <m:rPr>
                            <m:sty m:val="p"/>
                          </m:rPr>
                          <w:rPr>
                            <w:rFonts w:ascii="Cambria Math" w:hAnsi="Cambria Math" w:eastAsia="宋体"/>
                          </w:rPr>
                          <m:t>O</m:t>
                        </m:r>
                        <m:ctrlPr>
                          <w:rPr>
                            <w:rFonts w:ascii="Cambria Math" w:hAnsi="Cambria Math" w:eastAsia="宋体"/>
                          </w:rPr>
                        </m:ctrlPr>
                      </m:e>
                      <m:sub>
                        <m:r>
                          <m:rPr>
                            <m:sty m:val="p"/>
                          </m:rPr>
                          <w:rPr>
                            <w:rFonts w:ascii="Cambria Math" w:hAnsi="Cambria Math" w:eastAsia="宋体"/>
                          </w:rPr>
                          <m:t>2</m:t>
                        </m:r>
                        <m:ctrlPr>
                          <w:rPr>
                            <w:rFonts w:ascii="Cambria Math" w:hAnsi="Cambria Math" w:eastAsia="宋体"/>
                          </w:rPr>
                        </m:ctrlPr>
                      </m:sub>
                    </m:sSub>
                    <m:ctrlPr>
                      <w:rPr>
                        <w:rFonts w:ascii="Cambria Math" w:hAnsi="Cambria Math" w:eastAsia="宋体"/>
                      </w:rPr>
                    </m:ctrlPr>
                  </m:sub>
                </m:sSub>
              </m:oMath>
            </m:oMathPara>
          </w:p>
        </w:tc>
        <w:tc>
          <w:tcPr>
            <w:tcW w:w="3453" w:type="pct"/>
            <w:vAlign w:val="center"/>
          </w:tcPr>
          <w:p w14:paraId="1C477582">
            <w:r>
              <w:t>CO₂ emission factor for standard coal</w:t>
            </w:r>
          </w:p>
        </w:tc>
        <w:tc>
          <w:tcPr>
            <w:tcW w:w="809" w:type="pct"/>
            <w:vAlign w:val="center"/>
          </w:tcPr>
          <w:p w14:paraId="7C73CEB8">
            <w:r>
              <w:t>2.64</w:t>
            </w:r>
          </w:p>
        </w:tc>
      </w:tr>
      <w:tr w14:paraId="42A87A35">
        <w:trPr>
          <w:cantSplit/>
          <w:jc w:val="center"/>
        </w:trPr>
        <w:tc>
          <w:tcPr>
            <w:tcW w:w="738" w:type="pct"/>
            <w:vAlign w:val="center"/>
          </w:tcPr>
          <w:p w14:paraId="668CA3EF">
            <w:pPr>
              <w:pStyle w:val="37"/>
            </w:pPr>
            <m:oMathPara>
              <m:oMath>
                <m:sSub>
                  <m:sSubPr>
                    <m:ctrlPr>
                      <w:rPr>
                        <w:rFonts w:ascii="Cambria Math" w:hAnsi="Cambria Math"/>
                      </w:rPr>
                    </m:ctrlPr>
                  </m:sSubPr>
                  <m:e>
                    <m:r>
                      <m:rPr>
                        <m:sty m:val="p"/>
                      </m:rPr>
                      <w:rPr>
                        <w:rFonts w:ascii="Cambria Math" w:hAnsi="Cambria Math"/>
                      </w:rPr>
                      <m:t>c</m:t>
                    </m:r>
                    <m:ctrlPr>
                      <w:rPr>
                        <w:rFonts w:ascii="Cambria Math" w:hAnsi="Cambria Math"/>
                      </w:rPr>
                    </m:ctrlPr>
                  </m:e>
                  <m:sub>
                    <m:r>
                      <m:rPr>
                        <m:sty m:val="p"/>
                      </m:rPr>
                      <w:rPr>
                        <w:rFonts w:hint="eastAsia" w:ascii="Cambria Math" w:hAnsi="Cambria Math"/>
                      </w:rPr>
                      <m:t>L</m:t>
                    </m:r>
                    <m:ctrlPr>
                      <w:rPr>
                        <w:rFonts w:ascii="Cambria Math" w:hAnsi="Cambria Math"/>
                      </w:rPr>
                    </m:ctrlPr>
                  </m:sub>
                </m:sSub>
              </m:oMath>
            </m:oMathPara>
          </w:p>
        </w:tc>
        <w:tc>
          <w:tcPr>
            <w:tcW w:w="3453" w:type="pct"/>
            <w:vAlign w:val="center"/>
          </w:tcPr>
          <w:p w14:paraId="3C79FE10">
            <w:r>
              <w:t>Observed minimum unit-area in situ renewal cost among comparable local projects</w:t>
            </w:r>
          </w:p>
        </w:tc>
        <w:tc>
          <w:tcPr>
            <w:tcW w:w="809" w:type="pct"/>
            <w:vAlign w:val="center"/>
          </w:tcPr>
          <w:p w14:paraId="2F148E6B">
            <w:r>
              <w:t>47</w:t>
            </w:r>
          </w:p>
        </w:tc>
      </w:tr>
      <w:tr w14:paraId="686032D7">
        <w:trPr>
          <w:cantSplit/>
          <w:jc w:val="center"/>
        </w:trPr>
        <w:tc>
          <w:tcPr>
            <w:tcW w:w="738" w:type="pct"/>
          </w:tcPr>
          <w:p w14:paraId="35AA97A0">
            <m:oMathPara>
              <m:oMath>
                <m:sSub>
                  <m:sSubPr>
                    <m:ctrlPr>
                      <w:rPr>
                        <w:rFonts w:ascii="Cambria Math" w:hAnsi="Cambria Math"/>
                      </w:rPr>
                    </m:ctrlPr>
                  </m:sSubPr>
                  <m:e>
                    <m:r>
                      <m:rPr>
                        <m:sty m:val="p"/>
                      </m:rPr>
                      <w:rPr>
                        <w:rFonts w:ascii="Cambria Math" w:hAnsi="Cambria Math"/>
                      </w:rPr>
                      <m:t>c</m:t>
                    </m:r>
                    <m:ctrlPr>
                      <w:rPr>
                        <w:rFonts w:ascii="Cambria Math" w:hAnsi="Cambria Math"/>
                      </w:rPr>
                    </m:ctrlPr>
                  </m:e>
                  <m:sub>
                    <m:r>
                      <m:rPr>
                        <m:sty m:val="p"/>
                      </m:rPr>
                      <w:rPr>
                        <w:rFonts w:hint="eastAsia" w:ascii="Cambria Math" w:hAnsi="Cambria Math"/>
                      </w:rPr>
                      <m:t>U</m:t>
                    </m:r>
                    <m:ctrlPr>
                      <w:rPr>
                        <w:rFonts w:hint="eastAsia" w:ascii="Cambria Math" w:hAnsi="Cambria Math"/>
                      </w:rPr>
                    </m:ctrlPr>
                  </m:sub>
                </m:sSub>
              </m:oMath>
            </m:oMathPara>
          </w:p>
        </w:tc>
        <w:tc>
          <w:tcPr>
            <w:tcW w:w="3453" w:type="pct"/>
          </w:tcPr>
          <w:p w14:paraId="6C87B51B">
            <w:r>
              <w:t>Observed maximum unit-area in situ renewal cost among comparable local projects</w:t>
            </w:r>
          </w:p>
        </w:tc>
        <w:tc>
          <w:tcPr>
            <w:tcW w:w="809" w:type="pct"/>
          </w:tcPr>
          <w:p w14:paraId="2D3BC0CD">
            <w:r>
              <w:t>117</w:t>
            </w:r>
          </w:p>
        </w:tc>
      </w:tr>
    </w:tbl>
    <w:p w14:paraId="4D8B4F0D">
      <w:pPr>
        <w:pStyle w:val="35"/>
        <w:keepLines/>
      </w:pPr>
      <w:r>
        <w:t>Note: The demolition intercept is in kgCO₂ m⁻²; residential energy use in kg standard-coal equivalent person⁻¹ yr⁻¹; the standard-coal factor in kgCO₂ per kg standard-coal equivalent; and renewal costs in yuan m⁻². The 47 and 117 yuan m⁻² values are observed bounds. Source-project calculations are provided in the accompanying workbook.</w:t>
      </w:r>
    </w:p>
    <w:p w14:paraId="7464839B">
      <w:pPr>
        <w:jc w:val="left"/>
        <w:rPr>
          <w:b/>
          <w:bCs/>
          <w:sz w:val="28"/>
          <w:szCs w:val="28"/>
        </w:rPr>
      </w:pPr>
      <w:r>
        <w:br w:type="page"/>
      </w:r>
    </w:p>
    <w:p w14:paraId="4F19C200">
      <w:pPr>
        <w:pStyle w:val="27"/>
      </w:pPr>
      <w:r>
        <w:t>Supplementary References</w:t>
      </w:r>
    </w:p>
    <w:p w14:paraId="2A345B09">
      <w:pPr>
        <w:pStyle w:val="38"/>
        <w:numPr>
          <w:ilvl w:val="0"/>
          <w:numId w:val="1"/>
        </w:numPr>
      </w:pPr>
      <w:r>
        <w:t>Whelpton, P. K. An empirical method of calculating future population. J. Am. Stat. Assoc. 31, 457–473 (1936).</w:t>
      </w:r>
    </w:p>
    <w:p w14:paraId="3595245D">
      <w:pPr>
        <w:pStyle w:val="38"/>
        <w:numPr>
          <w:ilvl w:val="0"/>
          <w:numId w:val="1"/>
        </w:numPr>
      </w:pPr>
      <w:r>
        <w:t>United Nations Department of Social Affairs. Manual III: Methods for Population Projections by Sex and Age. Population Studies No. 25 (United Nations, 1956).</w:t>
      </w:r>
    </w:p>
    <w:p w14:paraId="35A0D130">
      <w:pPr>
        <w:pStyle w:val="38"/>
        <w:numPr>
          <w:ilvl w:val="0"/>
          <w:numId w:val="1"/>
        </w:numPr>
      </w:pPr>
      <w:r>
        <w:t>Quanzhou Municipal People’s Government Office. Action Plan for the Renovation of Old Residential Communities and Old Streets (Areas and Communities) in Quanzhou (Quan Zheng Ban [2020] No. 49, 2020).</w:t>
      </w:r>
    </w:p>
    <w:p w14:paraId="7585EA43">
      <w:pPr>
        <w:pStyle w:val="38"/>
        <w:numPr>
          <w:ilvl w:val="0"/>
          <w:numId w:val="1"/>
        </w:numPr>
      </w:pPr>
      <w:r>
        <w:t>Zhao, X. et al. Unravelling the renewal priority of urban heritage communities through macro–micro assessment: a case study of Nanjing, China. Sustain. Cities Soc. 124, 106317 (2025).</w:t>
      </w:r>
    </w:p>
    <w:p w14:paraId="2D7905A6">
      <w:pPr>
        <w:pStyle w:val="38"/>
        <w:numPr>
          <w:ilvl w:val="0"/>
          <w:numId w:val="1"/>
        </w:numPr>
      </w:pPr>
      <w:r>
        <w:t>Cao, N., Sing, M. C. P. &amp; Hou, C. H. Mapping urban renewal priorities for ageing residential districts: a spatial evaluation framework based on EWM–TOPSIS. J. Urban Manag. 15, 657–671 (2026).</w:t>
      </w:r>
    </w:p>
    <w:p w14:paraId="16DA8E25">
      <w:pPr>
        <w:pStyle w:val="38"/>
        <w:numPr>
          <w:ilvl w:val="0"/>
          <w:numId w:val="1"/>
        </w:numPr>
      </w:pPr>
      <w:r>
        <w:t>Begić, H. &amp; Krstić, H. Comprehensive review and comparative analysis of building-condition assessment models. Results Eng. 22, 102176 (2024).</w:t>
      </w:r>
    </w:p>
    <w:p w14:paraId="598BD6F0">
      <w:pPr>
        <w:pStyle w:val="38"/>
        <w:numPr>
          <w:ilvl w:val="0"/>
          <w:numId w:val="1"/>
        </w:numPr>
      </w:pPr>
      <w:r>
        <w:t>Deng, Y. et al. Regulatory effect of China’s city hierarchy on urban redevelopment. Nat. Cities 3, 48–57 (2026).</w:t>
      </w:r>
    </w:p>
    <w:p w14:paraId="64C1A98D">
      <w:pPr>
        <w:pStyle w:val="38"/>
        <w:numPr>
          <w:ilvl w:val="0"/>
          <w:numId w:val="1"/>
        </w:numPr>
      </w:pPr>
      <w:r>
        <w:t>Jarzebski, M. P. et al. Ageing and population shrinking: implications for sustainability in the urban century. npj Urban Sustain. 1, 17 (2021).</w:t>
      </w:r>
    </w:p>
    <w:p w14:paraId="7492636E">
      <w:pPr>
        <w:pStyle w:val="38"/>
        <w:numPr>
          <w:ilvl w:val="0"/>
          <w:numId w:val="1"/>
        </w:numPr>
      </w:pPr>
      <w:r>
        <w:t>Chen, Y., Ye, J., Zhou, Y. &amp; Yan, J. Fine-scale spatial optimization of rural residential land in rapidly urbanizing coastal China: a multi-scenario analysis of Jinjiang City, Fujian Province. Cities 174, 107059 (2026).</w:t>
      </w:r>
    </w:p>
    <w:p w14:paraId="2EFD71AB">
      <w:pPr>
        <w:pStyle w:val="38"/>
        <w:numPr>
          <w:ilvl w:val="0"/>
          <w:numId w:val="1"/>
        </w:numPr>
      </w:pPr>
      <w:r>
        <w:t>Lu, Y., Zhai, G. &amp; Zhai, W. Quantifying urban spatial resilience using multi-criteria decision analysis and a back-propagation neural network. Int. J. Disaster Risk Reduct. 111, 104694 (2024).</w:t>
      </w:r>
    </w:p>
    <w:p w14:paraId="4BFE6697">
      <w:pPr>
        <w:pStyle w:val="38"/>
        <w:numPr>
          <w:ilvl w:val="0"/>
          <w:numId w:val="1"/>
        </w:numPr>
      </w:pPr>
      <w:r>
        <w:t>United Nations Department of Economic and Social Affairs, Population Division. World Population Prospects: The 2017 Revision—Methodology of the United Nations Population Estimates and Projections (United Nations, 2017).</w:t>
      </w:r>
    </w:p>
    <w:p w14:paraId="79B294E8">
      <w:pPr>
        <w:pStyle w:val="38"/>
        <w:numPr>
          <w:ilvl w:val="0"/>
          <w:numId w:val="1"/>
        </w:numPr>
      </w:pPr>
      <w:r>
        <w:t>Smith, S. K. Accounting for migration in cohort-component projections of state and local populations. Demography 23, 127–135 (1986).</w:t>
      </w:r>
    </w:p>
    <w:p w14:paraId="53077141">
      <w:pPr>
        <w:pStyle w:val="38"/>
        <w:numPr>
          <w:ilvl w:val="0"/>
          <w:numId w:val="1"/>
        </w:numPr>
      </w:pPr>
      <w:r>
        <w:t>O’Neill, B. C., Balk, D., Brickman, M. &amp; Ezra, M. A guide to global population projections. Demogr. Res. 4, 203–288 (2001).</w:t>
      </w:r>
    </w:p>
    <w:p w14:paraId="5F90B6E2">
      <w:pPr>
        <w:pStyle w:val="38"/>
        <w:numPr>
          <w:ilvl w:val="0"/>
          <w:numId w:val="1"/>
        </w:numPr>
      </w:pPr>
      <w:r>
        <w:t>Raftery, A. E. &amp; Ševčíková, H. Probabilistic population forecasting: short to very long term. Int. J. Forecast. 39, 73–97 (2023).</w:t>
      </w:r>
    </w:p>
    <w:p w14:paraId="4DC4E7FF">
      <w:pPr>
        <w:pStyle w:val="38"/>
        <w:numPr>
          <w:ilvl w:val="0"/>
          <w:numId w:val="1"/>
        </w:numPr>
      </w:pPr>
      <w:r>
        <w:t>Schorcht, M., Jehling, M. &amp; Krueger, T. Where are cities under pressure? An indicator for measuring the impact of building changes on urban density. Ecol. Indic. 149, 110142 (2023).</w:t>
      </w:r>
    </w:p>
    <w:p w14:paraId="1605110F">
      <w:pPr>
        <w:pStyle w:val="38"/>
        <w:numPr>
          <w:ilvl w:val="0"/>
          <w:numId w:val="1"/>
        </w:numPr>
      </w:pPr>
      <w:r>
        <w:t>Chen, Y., Feng, S. &amp; Li, M. Impact of housing conditions on resident willingness to withdraw from rural homesteads and preferences regarding compensation and resettlement mode: a dual-sample selection model. Habitat Int. 166, 103577 (2025).</w:t>
      </w:r>
    </w:p>
    <w:p w14:paraId="5B6C23BF">
      <w:pPr>
        <w:pStyle w:val="38"/>
        <w:numPr>
          <w:ilvl w:val="0"/>
          <w:numId w:val="1"/>
        </w:numPr>
      </w:pPr>
      <w:r>
        <w:t>Peng, Y. &amp; Tian, C. Removal and reconstruction: multi-period price effects on nearby housing from urban-village redevelopment. Land Use Policy 113, 105877 (2022).</w:t>
      </w:r>
    </w:p>
    <w:p w14:paraId="5EA4322C">
      <w:pPr>
        <w:pStyle w:val="38"/>
        <w:numPr>
          <w:ilvl w:val="0"/>
          <w:numId w:val="1"/>
        </w:numPr>
      </w:pPr>
      <w:r>
        <w:t>National Institute of Standards and Technology. Life Cycle Cost Manual for the Federal Energy Management Program (NIST Handbook 135-2020, NIST, 2020).</w:t>
      </w:r>
    </w:p>
    <w:p w14:paraId="5C25AF61">
      <w:pPr>
        <w:pStyle w:val="38"/>
        <w:numPr>
          <w:ilvl w:val="0"/>
          <w:numId w:val="1"/>
        </w:numPr>
      </w:pPr>
      <w:r>
        <w:t>International Organization for Standardization. ISO 15686-5:2017 Buildings and Constructed Assets—Service Life Planning—Part 5: Life-Cycle Costing (ISO, 2017).</w:t>
      </w:r>
    </w:p>
    <w:p w14:paraId="2CC5FD92">
      <w:pPr>
        <w:pStyle w:val="38"/>
        <w:numPr>
          <w:ilvl w:val="0"/>
          <w:numId w:val="1"/>
        </w:numPr>
      </w:pPr>
      <w:r>
        <w:t>Royal Institution of Chartered Surveyors. Life Cycle Costing 1st edn (RICS, 2016).</w:t>
      </w:r>
    </w:p>
    <w:p w14:paraId="429DA201">
      <w:pPr>
        <w:pStyle w:val="38"/>
        <w:numPr>
          <w:ilvl w:val="0"/>
          <w:numId w:val="1"/>
        </w:numPr>
      </w:pPr>
      <w:r>
        <w:t>Quanzhou Taiwanese Investment Zone Administrative Committee. Guiding Opinions on Land and Housing Expropriation, Demolition Compensation and Resettlement in the Quanzhou Taiwanese Investment Zone (Quan Tai Guan [2020] No. 2, 2020).</w:t>
      </w:r>
    </w:p>
    <w:p w14:paraId="345CE3A5">
      <w:pPr>
        <w:pStyle w:val="38"/>
        <w:numPr>
          <w:ilvl w:val="0"/>
          <w:numId w:val="1"/>
        </w:numPr>
      </w:pPr>
      <w:r>
        <w:t>Department of Housing and Urban–Rural Development of Guangdong Province. Guideline for Building Carbon-Emission Accounting (Trial) (Yue Jian Ke [2021] No. 235, 2021).</w:t>
      </w:r>
    </w:p>
    <w:p w14:paraId="6A95FE44">
      <w:pPr>
        <w:pStyle w:val="38"/>
        <w:numPr>
          <w:ilvl w:val="0"/>
          <w:numId w:val="1"/>
        </w:numPr>
      </w:pPr>
      <w:r>
        <w:t>National Development and Reform Commission of the People’s Republic of China. Carbon Dioxide Emissions Accounting Method and Data Verification Table (2016).</w:t>
      </w:r>
    </w:p>
    <w:sectPr>
      <w:headerReference r:id="rId5" w:type="first"/>
      <w:footerReference r:id="rId8" w:type="first"/>
      <w:headerReference r:id="rId3" w:type="default"/>
      <w:footerReference r:id="rId6" w:type="default"/>
      <w:headerReference r:id="rId4" w:type="even"/>
      <w:footerReference r:id="rId7" w:type="even"/>
      <w:pgSz w:w="14173" w:h="14173"/>
      <w:pgMar w:top="1440" w:right="1440" w:bottom="1440" w:left="1440" w:header="851" w:footer="992" w:gutter="0"/>
      <w:lnNumType w:countBy="1" w:restart="continuous"/>
      <w:cols w:space="0" w:num="1"/>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DengXian">
    <w:altName w:val="汉仪中等线KW"/>
    <w:panose1 w:val="00000000000000000000"/>
    <w:charset w:val="00"/>
    <w:family w:val="auto"/>
    <w:pitch w:val="default"/>
    <w:sig w:usb0="00000000" w:usb1="00000000" w:usb2="00000000" w:usb3="00000000" w:csb0="00000000" w:csb1="00000000"/>
  </w:font>
  <w:font w:name="Times New Roman Bold">
    <w:panose1 w:val="02020503050405090304"/>
    <w:charset w:val="00"/>
    <w:family w:val="auto"/>
    <w:pitch w:val="default"/>
    <w:sig w:usb0="E0000AFF" w:usb1="00007843" w:usb2="00000001" w:usb3="00000000" w:csb0="400001BF" w:csb1="DFF70000"/>
  </w:font>
  <w:font w:name="DejaVu Math TeX Gyre">
    <w:panose1 w:val="02000503000000000000"/>
    <w:charset w:val="00"/>
    <w:family w:val="auto"/>
    <w:pitch w:val="default"/>
    <w:sig w:usb0="A10000EF" w:usb1="4201F9EE" w:usb2="02000000" w:usb3="00000000" w:csb0="60000193" w:csb1="0DD40000"/>
  </w:font>
  <w:font w:name="Cambria Math">
    <w:altName w:val="Kingsoft Math"/>
    <w:panose1 w:val="02040503050406030204"/>
    <w:charset w:val="00"/>
    <w:family w:val="roman"/>
    <w:pitch w:val="default"/>
    <w:sig w:usb0="00000000" w:usb1="00000000" w:usb2="02000000" w:usb3="00000000" w:csb0="0000019F" w:csb1="00000000"/>
  </w:font>
  <w:font w:name="Times New Roman Italic">
    <w:panose1 w:val="02020503050405090304"/>
    <w:charset w:val="00"/>
    <w:family w:val="auto"/>
    <w:pitch w:val="default"/>
    <w:sig w:usb0="E0000AFF" w:usb1="00007843" w:usb2="00000001" w:usb3="00000000" w:csb0="400001BF" w:csb1="DFF7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Kingsoft Math">
    <w:panose1 w:val="02040503050406030204"/>
    <w:charset w:val="00"/>
    <w:family w:val="auto"/>
    <w:pitch w:val="default"/>
    <w:sig w:usb0="80000087" w:usb1="00002068" w:usb2="00000000" w:usb3="00000000" w:csb0="2000019F" w:csb1="00000000"/>
  </w:font>
  <w:font w:name="等线">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1"/>
    </w:sdtPr>
    <w:sdtEndPr>
      <w:rPr>
        <w:rStyle w:val="9"/>
      </w:rPr>
    </w:sdtEndPr>
    <w:sdtContent>
      <w:p w14:paraId="19536FB5">
        <w:pPr>
          <w:pStyle w:val="3"/>
          <w:rPr>
            <w:rStyle w:val="9"/>
          </w:rPr>
        </w:pPr>
        <w:r>
          <w:rPr>
            <w:rStyle w:val="9"/>
          </w:rPr>
          <w:fldChar w:fldCharType="begin"/>
        </w:r>
        <w:r>
          <w:rPr>
            <w:rStyle w:val="9"/>
          </w:rPr>
          <w:instrText xml:space="preserve"> PAGE </w:instrText>
        </w:r>
        <w:r>
          <w:rPr>
            <w:rStyle w:val="9"/>
          </w:rPr>
          <w:fldChar w:fldCharType="separate"/>
        </w:r>
        <w:r>
          <w:rPr>
            <w:rStyle w:val="9"/>
          </w:rPr>
          <w:t>3</w:t>
        </w:r>
        <w:r>
          <w:rPr>
            <w:rStyle w:val="9"/>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986437710"/>
    </w:sdtPr>
    <w:sdtEndPr>
      <w:rPr>
        <w:rStyle w:val="9"/>
      </w:rPr>
    </w:sdtEndPr>
    <w:sdtContent>
      <w:p w14:paraId="6B958ACD">
        <w:pPr>
          <w:pStyle w:val="3"/>
          <w:framePr w:wrap="auto" w:vAnchor="text" w:hAnchor="margin" w:xAlign="center" w:y="1"/>
          <w:ind w:firstLine="360"/>
          <w:rPr>
            <w:rStyle w:val="9"/>
          </w:rPr>
        </w:pPr>
        <w:r>
          <w:rPr>
            <w:rStyle w:val="9"/>
          </w:rPr>
          <w:fldChar w:fldCharType="begin"/>
        </w:r>
        <w:r>
          <w:rPr>
            <w:rStyle w:val="9"/>
          </w:rPr>
          <w:instrText xml:space="preserve"> PAGE </w:instrText>
        </w:r>
        <w:r>
          <w:rPr>
            <w:rStyle w:val="9"/>
          </w:rPr>
          <w:fldChar w:fldCharType="separate"/>
        </w:r>
        <w:r>
          <w:rPr>
            <w:rStyle w:val="9"/>
          </w:rPr>
          <w:fldChar w:fldCharType="end"/>
        </w:r>
      </w:p>
    </w:sdtContent>
  </w:sdt>
  <w:p w14:paraId="62FAC312">
    <w:pPr>
      <w:pStyle w:val="3"/>
      <w:ind w:firstLine="360"/>
    </w:pPr>
  </w:p>
  <w:p w14:paraId="491A7942">
    <w:pPr>
      <w:ind w:firstLine="440"/>
    </w:pPr>
  </w:p>
  <w:p w14:paraId="17AAAC26">
    <w:pPr>
      <w:ind w:firstLine="4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680E8">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30398">
    <w:pPr>
      <w:ind w:firstLine="4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CFF67">
    <w:pPr>
      <w:pStyle w:val="4"/>
      <w:ind w:firstLine="440"/>
    </w:pPr>
  </w:p>
  <w:p w14:paraId="150EFE3E">
    <w:pPr>
      <w:ind w:firstLine="440"/>
    </w:pPr>
  </w:p>
  <w:p w14:paraId="7B3C52AF">
    <w:pPr>
      <w:ind w:firstLine="4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7827D">
    <w:pPr>
      <w:pStyle w:val="4"/>
      <w:ind w:firstLine="4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3577F4"/>
    <w:multiLevelType w:val="singleLevel"/>
    <w:tmpl w:val="093577F4"/>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20"/>
  <w:drawingGridVerticalSpacing w:val="16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UwMLQ0M7AwtLQwNDRR0lEKTi0uzszPAykwsawFACzTBxctAAAA"/>
    <w:docVar w:name="commondata" w:val="eyJoZGlkIjoiYjM2NTNiMGMzMDcxMjViZDA4MTI5ZTI3MTFlZjJlOGMifQ=="/>
    <w:docVar w:name="NE.Ref{005CC736-0210-49EE-ABB3-7C3AFDF396F1}" w:val=" ADDIN NE.Ref.{005CC736-0210-49EE-ABB3-7C3AFDF396F1}&lt;Citation&gt;&lt;Group&gt;&lt;References&gt;&lt;Item&gt;&lt;ID&gt;1008&lt;/ID&gt;&lt;UID&gt;{665BB650-BFA8-4807-8A88-44E6550E5B18}&lt;/UID&gt;&lt;Title&gt;陕北黄土高原农户生计恢复力评价及影响因素研究&lt;/Title&gt;&lt;Template&gt;Thesis&lt;/Template&gt;&lt;Star&gt;0&lt;/Star&gt;&lt;Tag&gt;0&lt;/Tag&gt;&lt;Author&gt;王晨&lt;/Author&gt;&lt;Year&gt;2019&lt;/Year&gt;&lt;Details&gt;&lt;_accessed&gt;64537537&lt;/_accessed&gt;&lt;_created&gt;64294092&lt;/_created&gt;&lt;_db_provider&gt;CNKI&lt;/_db_provider&gt;&lt;_keywords&gt;生计恢复力;;缓冲能力;;适应能力;;转型能力;;障碍因子;;黄土高原&lt;/_keywords&gt;&lt;_modified&gt;64537535&lt;/_modified&gt;&lt;_publisher&gt;西北大学&lt;/_publisher&gt;&lt;_tertiary_author&gt;黄晓军&lt;/_tertiary_author&gt;&lt;_type_work&gt;硕士&lt;/_type_work&gt;&lt;_url&gt;https://bar.cnki.net/bar/download/order?id=jBGETXBNdPImvx70aLAuJFo8d3crjALHLDOld0RphO3oH3haj%2bBvbGrmWHhCshm3RsbAoyvB4t8pFeksLzfjVvHn0Y3rZUVMAjPppNnIzz50kLXJs8oIrymTj1517PLaNtkhhqQSRKIuUpambLA7bQkHsxGDxQo5Kqbx7ZlvVJnDLQCqA1Hl3VpFjUT%2bGtlkPmpb1h14c5afAMJnDDG%2fWQRdP4lr4svVRZYD8k%2fwTi4%3d _x000d__x000a_&lt;/_url&gt;&lt;_translated_author&gt;Wang, Chen&lt;/_translated_author&gt;&lt;_translated_tertiary_author&gt;Huang, Xiaojun&lt;/_translated_tertiary_author&gt;&lt;/Details&gt;&lt;Extra&gt;&lt;DBUID&gt;{BD8F6675-5345-4625-BBA4-8897723D22F5}&lt;/DBUID&gt;&lt;/Extra&gt;&lt;/Item&gt;&lt;/References&gt;&lt;/Group&gt;&lt;/Citation&gt;_x000a_"/>
    <w:docVar w:name="NE.Ref{041B04DC-6BF8-4E6B-A0D1-07CFED28AC57}" w:val=" ADDIN NE.Ref.{041B04DC-6BF8-4E6B-A0D1-07CFED28AC57}&lt;Citation&gt;&lt;Group&gt;&lt;References&gt;&lt;Item&gt;&lt;ID&gt;1044&lt;/ID&gt;&lt;UID&gt;{21A65CA0-076A-409B-9F37-4719A4137DBD}&lt;/UID&gt;&lt;Title&gt;农户生计策略选择与生计恢复力评估——基于三峡田园综合体农户调查数据的分析&lt;/Title&gt;&lt;Template&gt;Journal Article&lt;/Template&gt;&lt;Star&gt;0&lt;/Star&gt;&lt;Tag&gt;0&lt;/Tag&gt;&lt;Author&gt;郭蕾蕾&lt;/Author&gt;&lt;Year&gt;2021&lt;/Year&gt;&lt;Details&gt;&lt;_accessed&gt;64573461&lt;/_accessed&gt;&lt;_author_adr&gt;重庆师范大学地理与旅游学院;&lt;/_author_adr&gt;&lt;_created&gt;64396393&lt;/_created&gt;&lt;_db_provider&gt;CNKI&lt;/_db_provider&gt;&lt;_isbn&gt;1000-6850&lt;/_isbn&gt;&lt;_issue&gt;08&lt;/_issue&gt;&lt;_journal&gt;中国农学通报&lt;/_journal&gt;&lt;_keywords&gt;生计恢复力;;生计策略;;农户;;田园综合体&lt;/_keywords&gt;&lt;_modified&gt;64573461&lt;/_modified&gt;&lt;_pages&gt;151-158&lt;/_pages&gt;&lt;_url&gt;https://bar.cnki.net/bar/download/order?id=jBGETXBNdPImvx70aLAuJPYxPoFw%2bp%2bi0fIiSrcN6lWe8gY%2fb1U4cydqvKi9xbCffIposeNU2ImrJAJ3lANen0GxVkq8YHJNz4jV3WhknTrl8E%2bCUVp5GtDTYhVF2dNUoJeGx62Ssygg68TNXJ%2b5JrigejDAar8Xqw%2f6WR22OFXUdUGh4At8VBYSvh%2fCUD5aXOA9AEr8%2fL9RWMJs6HW68%2bPyk0KAUx%2bvRb2nBqtXw1r5LXYX1qwFXwOc1HUZT%2bTB _x000d__x000a_&lt;/_url&gt;&lt;_volume&gt;37&lt;/_volume&gt;&lt;_translated_author&gt;Guo, Leilei&lt;/_translated_author&gt;&lt;/Details&gt;&lt;Extra&gt;&lt;DBUID&gt;{BD8F6675-5345-4625-BBA4-8897723D22F5}&lt;/DBUID&gt;&lt;/Extra&gt;&lt;/Item&gt;&lt;/References&gt;&lt;/Group&gt;&lt;/Citation&gt;_x000a_"/>
    <w:docVar w:name="NE.Ref{049FC179-2CF7-4E74-9E93-D2D125338DCE}" w:val=" ADDIN NE.Ref.{049FC179-2CF7-4E74-9E93-D2D125338DCE}&lt;Citation SecTmpl=&quot;1&quot;&gt;&lt;Group&gt;&lt;References&gt;&lt;Item&gt;&lt;ID&gt;80&lt;/ID&gt;&lt;UID&gt;{123A24EE-D4F5-4907-8758-68FEC70D6CE0}&lt;/UID&gt;&lt;Title&gt;A conceptual framework for measuring livelihood resilience: Relocation experience from Aceh, Indonesia&lt;/Title&gt;&lt;Template&gt;Journal Article&lt;/Template&gt;&lt;Star&gt;0&lt;/Star&gt;&lt;Tag&gt;0&lt;/Tag&gt;&lt;Author&gt;Sina, Dantje; Chang-Richards, Alice Yan; Wilkinson, Suzanne; Potangaroa, Regan&lt;/Author&gt;&lt;Year&gt;2019&lt;/Year&gt;&lt;Details&gt;&lt;_accessed&gt;64646834&lt;/_accessed&gt;&lt;_collection_scope&gt;SSCI&lt;/_collection_scope&gt;&lt;_created&gt;64051806&lt;/_created&gt;&lt;_date&gt;2019-01-01&lt;/_date&gt;&lt;_date_display&gt;2019/05/01/&lt;/_date_display&gt;&lt;_doi&gt;https://doi.org/10.1016/j.worlddev.2019.01.003&lt;/_doi&gt;&lt;_image&gt;internal-pdf://0189964227/A-conceptual-framework-for-measuring-livelihoo.pdf&lt;/_image&gt;&lt;_impact_factor&gt;   6.678&lt;/_impact_factor&gt;&lt;_isbn&gt;0305-750X&lt;/_isbn&gt;&lt;_journal&gt;World Development&lt;/_journal&gt;&lt;_keywords&gt;Sustainable development_x000d__x000a_Livelihood resilience_x000d__x000a_Benchmarking tool_x000d__x000a_Relocation_x000d__x000a_Displacement_x000d__x000a_2004 Indian Ocean tsunami&lt;/_keywords&gt;&lt;_label&gt;个人福祉归为生计恢复力一方面&lt;/_label&gt;&lt;_modified&gt;64646835&lt;/_modified&gt;&lt;_pages&gt;253-265&lt;/_pages&gt;&lt;_short_title&gt;A conceptual framework for measuring livelihood resilience: Relocation experience from Aceh, Indonesia&lt;/_short_title&gt;&lt;_social_category&gt;经济学(1)&lt;/_social_category&gt;&lt;_url&gt;https://www.sciencedirect.com/science/article/pii/S0305750X19300099&lt;/_url&gt;&lt;_volume&gt;117&lt;/_volume&gt;&lt;/Details&gt;&lt;Extra&gt;&lt;DBUID&gt;{BD8F6675-5345-4625-BBA4-8897723D22F5}&lt;/DBUID&gt;&lt;/Extra&gt;&lt;/Item&gt;&lt;/References&gt;&lt;/Group&gt;&lt;/Citation&gt;_x000a_"/>
    <w:docVar w:name="NE.Ref{0691D1B1-C744-49C2-93F2-AE2A54FAD856}" w:val=" ADDIN NE.Ref.{0691D1B1-C744-49C2-93F2-AE2A54FAD856}&lt;Citation&gt;&lt;Group&gt;&lt;References&gt;&lt;Item&gt;&lt;ID&gt;374&lt;/ID&gt;&lt;UID&gt;{54367F97-098C-4EC0-BCFE-985271AF6FFF}&lt;/UID&gt;&lt;Title&gt;Famines and Poverty&lt;/Title&gt;&lt;Template&gt;Book&lt;/Template&gt;&lt;Star&gt;0&lt;/Star&gt;&lt;Tag&gt;0&lt;/Tag&gt;&lt;Author&gt;Sen, A&lt;/Author&gt;&lt;Year&gt;1981&lt;/Year&gt;&lt;Details&gt;&lt;_accessed&gt;64528912&lt;/_accessed&gt;&lt;_created&gt;64060478&lt;/_created&gt;&lt;_modified&gt;64060789&lt;/_modified&gt;&lt;_place_published&gt;London&lt;/_place_published&gt;&lt;_publisher&gt;Oxford University Press&lt;/_publisher&gt;&lt;_short_title&gt;Famines and Poverty&lt;/_short_title&gt;&lt;/Details&gt;&lt;Extra&gt;&lt;DBUID&gt;{BD8F6675-5345-4625-BBA4-8897723D22F5}&lt;/DBUID&gt;&lt;/Extra&gt;&lt;/Item&gt;&lt;/References&gt;&lt;/Group&gt;&lt;/Citation&gt;_x000a_"/>
    <w:docVar w:name="NE.Ref{06DAC690-5189-464B-8B29-B389229AE759}" w:val=" ADDIN NE.Ref.{06DAC690-5189-464B-8B29-B389229AE759}&lt;Citation&gt;&lt;Group&gt;&lt;References&gt;&lt;Item&gt;&lt;ID&gt;669&lt;/ID&gt;&lt;UID&gt;{7EC44C19-7C58-46A7-BE31-E8D9FB307F6B}&lt;/UID&gt;&lt;Title&gt;生态补偿政策、生计资本对可持续生计的影响研究&lt;/Title&gt;&lt;Template&gt;Thesis&lt;/Template&gt;&lt;Star&gt;0&lt;/Star&gt;&lt;Tag&gt;0&lt;/Tag&gt;&lt;Author&gt;袁梁&lt;/Author&gt;&lt;Year&gt;2018&lt;/Year&gt;&lt;Details&gt;&lt;_created&gt;64144221&lt;/_created&gt;&lt;_db_provider&gt;CNKI&lt;/_db_provider&gt;&lt;_keywords&gt;双重困境;;可持续生计;;生计资本;;生态补偿;;秦巴生态功能区&lt;/_keywords&gt;&lt;_modified&gt;64547465&lt;/_modified&gt;&lt;_publisher&gt;西北农林科技大学&lt;/_publisher&gt;&lt;_tertiary_author&gt;张光强&lt;/_tertiary_author&gt;&lt;_type_work&gt;博士&lt;/_type_work&gt;&lt;_url&gt;https://bar.cnki.net/bar/download/order?id=jBGETXBNdPImvx70aLAuJKPd5%2bH15oC8gGzxs3xdBxgn1veP39jr9abatqiToay2EBmWIvuz0Y15xF283Q1NvFI6Vbr93P13YV%2fv9LcEZzz63KDnJ7T691%2b%2fxqKkU%2fIu4ZUGb5jRKRpG58MRjqGFG%2bLkNvX1T1oyTzo0iPXtbtkyI%2bMzzRbqad9DSrV8HgXo80fMPSb%2fmXF0UlcQU4a0TWDH2tAl%2fZ0I7N9V26jaCwc%3d _x000d__x000a_https://bar.cnki.net/bar/download/order?id=jBGETXBNdPImvx70aLAuJKPd5%2bH15oC8gGzxs3xdBxgn1veP39jr9abatqiToay2EBmWIvuz0Y15xF283Q1NvFI6Vbr93P13YV%2fv9LcEZzz63KDnJ7T691%2b%2fxqKkU%2fIu4ZUGb5jRKRpG58MRjqGFG%2bLkNvX1T1oyTzo0iPXtbtkyI%2bMzzRbqad9DSrV8HgXosZybgLjgemMVw2Fk3VE6WUJbLcOA0ff8V4kbvUHFCYfY9Rh0t1%2fsHPJmvPacC%2fDw _x000d__x000a_&lt;/_url&gt;&lt;_translated_author&gt;Yuan, Liang&lt;/_translated_author&gt;&lt;_translated_tertiary_author&gt;Zhang, Guangqiang&lt;/_translated_tertiary_author&gt;&lt;/Details&gt;&lt;Extra&gt;&lt;DBUID&gt;{BD8F6675-5345-4625-BBA4-8897723D22F5}&lt;/DBUID&gt;&lt;/Extra&gt;&lt;/Item&gt;&lt;/References&gt;&lt;/Group&gt;&lt;/Citation&gt;_x000a_"/>
    <w:docVar w:name="NE.Ref{0829F418-8F8A-4BCA-9980-4E6B461C7616}" w:val=" ADDIN NE.Ref.{0829F418-8F8A-4BCA-9980-4E6B461C7616}&lt;Citation&gt;&lt;Group&gt;&lt;References&gt;&lt;Item&gt;&lt;ID&gt;1682&lt;/ID&gt;&lt;UID&gt;{D18DC1C9-D3FF-4199-B3C6-4F7454921029}&lt;/UID&gt;&lt;Title&gt;The effects of degradation on alpine grassland resilience: A study based on meta-analysis data&lt;/Title&gt;&lt;Template&gt;Journal Article&lt;/Template&gt;&lt;Star&gt;0&lt;/Star&gt;&lt;Tag&gt;0&lt;/Tag&gt;&lt;Author&gt;Teng, Yanmin; Zhan, Jinyan; Agyemang, Frank Boappeah; Sun, Yongxiu&lt;/Author&gt;&lt;Year&gt;2020&lt;/Year&gt;&lt;Details&gt;&lt;_accessed&gt;64648872&lt;/_accessed&gt;&lt;_alternate_title&gt;GLOBAL ECOLOGY AND CONSERVATION&lt;/_alternate_title&gt;&lt;_collection_scope&gt;SCIE&lt;/_collection_scope&gt;&lt;_created&gt;64634190&lt;/_created&gt;&lt;_date&gt;2020-01-01&lt;/_date&gt;&lt;_date_display&gt;2020&lt;/_date_display&gt;&lt;_doi&gt;10.1016/j.gecco.2020.e01336&lt;/_doi&gt;&lt;_impact_factor&gt;   3.969&lt;/_impact_factor&gt;&lt;_isbn&gt;2351-9894&lt;/_isbn&gt;&lt;_journal&gt;GLOBAL ECOLOGY AND CONSERVATION&lt;/_journal&gt;&lt;_modified&gt;64648873&lt;/_modified&gt;&lt;_pages&gt;e01336&lt;/_pages&gt;&lt;_social_category&gt;环境科学与生态学(3)&lt;/_social_category&gt;&lt;_volume&gt;24&lt;/_volume&gt;&lt;/Details&gt;&lt;Extra&gt;&lt;DBUID&gt;{BD8F6675-5345-4625-BBA4-8897723D22F5}&lt;/DBUID&gt;&lt;/Extra&gt;&lt;/Item&gt;&lt;/References&gt;&lt;/Group&gt;&lt;/Citation&gt;_x000a_"/>
    <w:docVar w:name="NE.Ref{0A94A043-DEC7-4E09-B3B8-DD76EEEED74A}" w:val=" ADDIN NE.Ref.{0A94A043-DEC7-4E09-B3B8-DD76EEEED74A}&lt;Citation&gt;&lt;Group&gt;&lt;References&gt;&lt;Item&gt;&lt;ID&gt;349&lt;/ID&gt;&lt;UID&gt;{D6F2F183-625F-4E9A-A4C2-93428B5C10E4}&lt;/UID&gt;&lt;Title&gt;Local perspectives on a global phenomenon—Climate change in Eastern Tibetan villages&lt;/Title&gt;&lt;Template&gt;Journal Article&lt;/Template&gt;&lt;Star&gt;0&lt;/Star&gt;&lt;Tag&gt;0&lt;/Tag&gt;&lt;Author&gt;Byg, Anja; Salick, Jan&lt;/Author&gt;&lt;Year&gt;2009&lt;/Year&gt;&lt;Details&gt;&lt;_accessed&gt;64060480&lt;/_accessed&gt;&lt;_accession_num&gt;WOS:000266539000004&lt;/_accession_num&gt;&lt;_collection_scope&gt;SCI;SCIE;SSCI&lt;/_collection_scope&gt;&lt;_created&gt;64060478&lt;/_created&gt;&lt;_date&gt;1990-05-01&lt;/_date&gt;&lt;_date_display&gt;May&lt;/_date_display&gt;&lt;_db_updated&gt;CrossRef&lt;/_db_updated&gt;&lt;_doi&gt;10.1016/j.gloenvcha.2009.01.010&lt;/_doi&gt;&lt;_impact_factor&gt;  11.160&lt;/_impact_factor&gt;&lt;_isbn&gt;09593780&lt;/_isbn&gt;&lt;_issue&gt;2&lt;/_issue&gt;&lt;_journal&gt;Global Environmental Change&lt;/_journal&gt;&lt;_modified&gt;64633691&lt;/_modified&gt;&lt;_pages&gt;156-166&lt;/_pages&gt;&lt;_short_title&gt;Local perspectives on a global phenomenon-Climate change in Eastern Tibetan villages&lt;/_short_title&gt;&lt;_tertiary_title&gt;Global Environmental Change&lt;/_tertiary_title&gt;&lt;_url&gt;https://linkinghub.elsevier.com/retrieve/pii/S0959378009000193_x000d__x000a_https://api.elsevier.com/content/article/PII:S0959378009000193?httpAccept=text/xml&lt;/_url&gt;&lt;_volume&gt;19&lt;/_volume&gt;&lt;/Details&gt;&lt;Extra&gt;&lt;DBUID&gt;{BD8F6675-5345-4625-BBA4-8897723D22F5}&lt;/DBUID&gt;&lt;/Extra&gt;&lt;/Item&gt;&lt;/References&gt;&lt;/Group&gt;&lt;Group&gt;&lt;References&gt;&lt;Item&gt;&lt;ID&gt;406&lt;/ID&gt;&lt;UID&gt;{377EA812-A375-4473-A077-13651B430802}&lt;/UID&gt;&lt;Title&gt;藏族对气候变化的认知与应对——云南省德钦县果念行政村的考察&lt;/Title&gt;&lt;Template&gt;Journal Article&lt;/Template&gt;&lt;Star&gt;0&lt;/Star&gt;&lt;Tag&gt;0&lt;/Tag&gt;&lt;Author&gt;尹仑&lt;/Author&gt;&lt;Year&gt;2011&lt;/Year&gt;&lt;Details&gt;&lt;_accessed&gt;64060481&lt;/_accessed&gt;&lt;_author_adr&gt;云南省社会科学院民族文学研究所;中央民族大学生命与环境科学院;&lt;/_author_adr&gt;&lt;_author_aff&gt;云南省社会科学院民族文学研究所;中央民族大学生命与环境科学院;&lt;/_author_aff&gt;&lt;_call_num&gt;53-1002/C&lt;/_call_num&gt;&lt;_collection_scope&gt;CSSCI-C;PKU&lt;/_collection_scope&gt;&lt;_created&gt;64060478&lt;/_created&gt;&lt;_date&gt;58661280&lt;/_date&gt;&lt;_db_updated&gt;CNKI - Reference&lt;/_db_updated&gt;&lt;_isbn&gt;1001-778X&lt;/_isbn&gt;&lt;_issue&gt;04&lt;/_issue&gt;&lt;_journal&gt;思想战线&lt;/_journal&gt;&lt;_keywords&gt;气候变化;传统知识;生计;藏族;德钦&lt;/_keywords&gt;&lt;_modified&gt;64664269&lt;/_modified&gt;&lt;_pages&gt;24-28&lt;/_pages&gt;&lt;_short_title&gt;藏族对气候变化的认知与应对——云南省德钦县果念行政村的考察&lt;/_short_title&gt;&lt;_url&gt;https://kns.cnki.net/kcms/detail/detail.aspx?FileName=SXZX201104009&amp;amp;DbName=CJFQ2011 _x000d__x000a_https://bar.cnki.net/bar/download/order?id=jBGETXBNdPImvx70aLAuJPYxPoFw%2bp%2bi0fIiSrcN6lXE5lG27%2fMiNnw1RNGnXhffsshnTQdlzf0o9Rxczx2nOjh5tKpfWQTHmJ4z2jnC60otqddCdidyosdSaMNWur3ZJBjdlDrNnftoR5pdZPiFRNlKM4sfpT3nRHSqBOA4sms8GQBtE8Z8mK%2fNwS15YoSEGU%2ba5zNikXvtHAc9%2fNRyR6opkQ6JnjQzfIvFcCnka0M%3d _x000d__x000a_&lt;/_url&gt;&lt;_volume&gt;37&lt;/_volume&gt;&lt;_translated_author&gt;Yin, Lun&lt;/_translated_author&gt;&lt;/Details&gt;&lt;Extra&gt;&lt;DBUID&gt;{BD8F6675-5345-4625-BBA4-8897723D22F5}&lt;/DBUID&gt;&lt;/Extra&gt;&lt;/Item&gt;&lt;/References&gt;&lt;/Group&gt;&lt;/Citation&gt;_x000a_"/>
    <w:docVar w:name="NE.Ref{0FF5AC0C-2988-467A-BAE8-3E3B1CB0B3FE}" w:val=" ADDIN NE.Ref.{0FF5AC0C-2988-467A-BAE8-3E3B1CB0B3FE}&lt;Citation&gt;&lt;Group&gt;&lt;References&gt;&lt;Item&gt;&lt;ID&gt;448&lt;/ID&gt;&lt;UID&gt;{7FD439CA-47C9-4792-B2D4-A20925E0AB11}&lt;/UID&gt;&lt;Title&gt;社会关系和谐评价指标体系构建及实证研究&lt;/Title&gt;&lt;Template&gt;Journal Article&lt;/Template&gt;&lt;Star&gt;0&lt;/Star&gt;&lt;Tag&gt;0&lt;/Tag&gt;&lt;Author&gt;马辉; 王涛&lt;/Author&gt;&lt;Year&gt;2008&lt;/Year&gt;&lt;Details&gt;&lt;_accessed&gt;64060480&lt;/_accessed&gt;&lt;_author_adr&gt;哈尔滨商业大学; 哈尔滨商业大学&lt;/_author_adr&gt;&lt;_author_aff&gt;哈尔滨商业大学; 哈尔滨商业大学&lt;/_author_aff&gt;&lt;_call_num&gt;11-3215/G4&lt;/_call_num&gt;&lt;_created&gt;64060478&lt;/_created&gt;&lt;_db_provider&gt;北京万方数据股份有限公司&lt;/_db_provider&gt;&lt;_db_updated&gt;Wanfangdata&lt;/_db_updated&gt;&lt;_image&gt;internal-pdf://0736907073/社会关系和谐评价指标体系构建及实证研究_马辉.pdf&lt;/_image&gt;&lt;_isbn&gt;1005-5762&lt;/_isbn&gt;&lt;_issue&gt;8&lt;/_issue&gt;&lt;_journal&gt;统计教育&lt;/_journal&gt;&lt;_keywords&gt;社会关系和谐; 变异系数变动权重法&lt;/_keywords&gt;&lt;_language&gt;chi&lt;/_language&gt;&lt;_modified&gt;64060808&lt;/_modified&gt;&lt;_pages&gt;41-44&lt;/_pages&gt;&lt;_short_title&gt;社会关系和谐评价指标体系构建及实证研究&lt;/_short_title&gt;&lt;_tertiary_title&gt;STATISTICAL THINKTANK&lt;/_tertiary_title&gt;&lt;_translated_author&gt;TAO, MA HUI WANG&lt;/_translated_author&gt;&lt;_translated_title&gt;THE ESTABLISHMENT OF AND EMPIRICAL ANALYSIS TO EVALUATION CRITERIA SYSTEM FOR HARMONIOUS SOCIAL RELATIONSHIP&lt;/_translated_title&gt;&lt;_url&gt;http://www.wanfangdata.com.cn:443/details/detail.do?_type=perio&amp;amp;id=QK200802608777&lt;/_url&gt;&lt;/Details&gt;&lt;Extra&gt;&lt;DBUID&gt;{BD8F6675-5345-4625-BBA4-8897723D22F5}&lt;/DBUID&gt;&lt;/Extra&gt;&lt;/Item&gt;&lt;/References&gt;&lt;/Group&gt;&lt;/Citation&gt;_x000a_"/>
    <w:docVar w:name="NE.Ref{102C2655-5599-468C-B84C-8F596BEFB635}" w:val=" ADDIN NE.Ref.{102C2655-5599-468C-B84C-8F596BEFB635}&lt;Citation&gt;&lt;Group&gt;&lt;References&gt;&lt;Item&gt;&lt;ID&gt;496&lt;/ID&gt;&lt;UID&gt;{4DF871A2-2C2E-459A-89D9-F92E13D3C93E}&lt;/UID&gt;&lt;Title&gt;马克思恩格斯著作中“社会关系”概念的几种含义&lt;/Title&gt;&lt;Template&gt;Journal Article&lt;/Template&gt;&lt;Star&gt;0&lt;/Star&gt;&lt;Tag&gt;0&lt;/Tag&gt;&lt;Author&gt;权文荣&lt;/Author&gt;&lt;Year&gt;1986&lt;/Year&gt;&lt;Details&gt;&lt;_accessed&gt;64060479&lt;/_accessed&gt;&lt;_author_adr&gt;陕西省社会科学院&lt;/_author_adr&gt;&lt;_author_aff&gt;陕西省社会科学院,&lt;/_author_aff&gt;&lt;_call_num&gt;14-1057/C&lt;/_call_num&gt;&lt;_collection_scope&gt;CSSCI-E&lt;/_collection_scope&gt;&lt;_created&gt;64060478&lt;/_created&gt;&lt;_date&gt;45491040&lt;/_date&gt;&lt;_db_updated&gt;CNKI - Reference&lt;/_db_updated&gt;&lt;_image&gt;internal-pdf://3246216797/马克思恩格斯著作中_社会关系_概念的几种含义_权文荣.pdf&lt;/_image&gt;&lt;_isbn&gt;1000-2987&lt;/_isbn&gt;&lt;_issue&gt;03&lt;/_issue&gt;&lt;_journal&gt;晋阳学刊&lt;/_journal&gt;&lt;_keywords&gt;社会关系;生产关系;生产力;私人劳动;马克思、恩格斯;生产资料;马克思恩格斯著作;&lt;/_keywords&gt;&lt;_modified&gt;64060837&lt;/_modified&gt;&lt;_pages&gt;15-18&lt;/_pages&gt;&lt;_short_title&gt;马克思恩格斯著作中“社会关系”概念的几种含义&lt;/_short_title&gt;&lt;_url&gt;https://kns.cnki.net/kcms/detail/detail.aspx?FileName=JYXK198603002&amp;amp;DbName=CJFQ1986&lt;/_url&gt;&lt;_translated_author&gt;Quan, Wenrong&lt;/_translated_author&gt;&lt;/Details&gt;&lt;Extra&gt;&lt;DBUID&gt;{BD8F6675-5345-4625-BBA4-8897723D22F5}&lt;/DBUID&gt;&lt;/Extra&gt;&lt;/Item&gt;&lt;/References&gt;&lt;/Group&gt;&lt;/Citation&gt;_x000a_"/>
    <w:docVar w:name="NE.Ref{1105FB8A-1333-4F0E-9D3B-793D1C11156C}" w:val=" ADDIN NE.Ref.{1105FB8A-1333-4F0E-9D3B-793D1C11156C}&lt;Citation&gt;&lt;Group&gt;&lt;References&gt;&lt;Item&gt;&lt;ID&gt;1147&lt;/ID&gt;&lt;UID&gt;{6E2B07E9-7C1F-4B0A-8A55-51E5B550E097}&lt;/UID&gt;&lt;Title&gt;Livelihood resilience in pastoral communities: Methodological and field insights from Qinghai-Tibetan Plateau&lt;/Title&gt;&lt;Template&gt;Journal Article&lt;/Template&gt;&lt;Star&gt;0&lt;/Star&gt;&lt;Tag&gt;5&lt;/Tag&gt;&lt;Author&gt;Li, Tong; Cai, Shuohao; Singh, Ranjay K; Cui, Lizhen; Fava, Francesco; Tang, Li; Xu, Zhihong; Li, Congjia; Cui, Xiaoyong; Du, Jianqing; Hao, Yanbin; Liu, Yuexian; Wang, Yanfen&lt;/Author&gt;&lt;Year&gt;2022&lt;/Year&gt;&lt;Details&gt;&lt;_accessed&gt;64647052&lt;/_accessed&gt;&lt;_alternate_title&gt;Science of The Total Environment&lt;/_alternate_title&gt;&lt;_collection_scope&gt;SCI;SCIE;EI&lt;/_collection_scope&gt;&lt;_created&gt;64422289&lt;/_created&gt;&lt;_date&gt;2022-01-01&lt;/_date&gt;&lt;_date_display&gt;2022&lt;/_date_display&gt;&lt;_doi&gt;https://doi.org/10.1016/j.scitotenv.2022.155960&lt;/_doi&gt;&lt;_impact_factor&gt;  10.753&lt;/_impact_factor&gt;&lt;_isbn&gt;0048-9697&lt;/_isbn&gt;&lt;_journal&gt;Science of The Total Environment&lt;/_journal&gt;&lt;_keywords&gt;Stress and change; Livelihood assets; Alpine grassland; Entropy technique; Three River Headwaters Region (TRHR)&lt;/_keywords&gt;&lt;_modified&gt;64644825&lt;/_modified&gt;&lt;_pages&gt;155960&lt;/_pages&gt;&lt;_social_category&gt;环境科学与生态学(2)&lt;/_social_category&gt;&lt;_url&gt;https://www.sciencedirect.com/science/article/pii/S0048969722030571&lt;/_url&gt;&lt;_volume&gt;838&lt;/_volume&gt;&lt;/Details&gt;&lt;Extra&gt;&lt;DBUID&gt;{BD8F6675-5345-4625-BBA4-8897723D22F5}&lt;/DBUID&gt;&lt;/Extra&gt;&lt;/Item&gt;&lt;/References&gt;&lt;/Group&gt;&lt;/Citation&gt;_x000a_"/>
    <w:docVar w:name="NE.Ref{11356DB6-DB5A-4563-9BE1-E8DC49A4B0F0}" w:val=" ADDIN NE.Ref.{11356DB6-DB5A-4563-9BE1-E8DC49A4B0F0}&lt;Citation&gt;&lt;Group&gt;&lt;References&gt;&lt;Item&gt;&lt;ID&gt;122&lt;/ID&gt;&lt;UID&gt;{07B51592-A44A-4A4C-ABE2-950AF1CBA4B7}&lt;/UID&gt;&lt;Title&gt;Exploring Strategies that Build Livelihood Resilience: a Case from Cambodia&lt;/Title&gt;&lt;Template&gt;Journal Article&lt;/Template&gt;&lt;Star&gt;0&lt;/Star&gt;&lt;Tag&gt;0&lt;/Tag&gt;&lt;Author&gt;Marschke, Melissa J; Berkes, Fikret&lt;/Author&gt;&lt;Year&gt;2006&lt;/Year&gt;&lt;Details&gt;&lt;_accessed&gt;64051807&lt;/_accessed&gt;&lt;_accession_num&gt;WOS:000239121300021&lt;/_accession_num&gt;&lt;_collection_scope&gt;SCIE;SSCI&lt;/_collection_scope&gt;&lt;_created&gt;64051806&lt;/_created&gt;&lt;_date&gt;55751040&lt;/_date&gt;&lt;_date_display&gt;2006&lt;/_date_display&gt;&lt;_db_updated&gt;PKU Search&lt;/_db_updated&gt;&lt;_doi&gt;10.5751/ES-01730-110142&lt;/_doi&gt;&lt;_impact_factor&gt;   4.653&lt;/_impact_factor&gt;&lt;_isbn&gt;1708-3087&lt;/_isbn&gt;&lt;_issue&gt;1&lt;/_issue&gt;&lt;_journal&gt;Ecology and society&lt;/_journal&gt;&lt;_keywords&gt;Cambodia; Common fisheries policy; Communities; diversification; Ecological sustainability; Human ecology; livelihood; Natural resources; Nurturance; Research; Residential buildings; resilience; scale; Sustainable development; Synecology; uncertainty; well-being; Wellbeing&lt;/_keywords&gt;&lt;_modified&gt;64608215&lt;/_modified&gt;&lt;_number&gt;1&lt;/_number&gt;&lt;_ori_publication&gt;Resilience Alliance&lt;/_ori_publication&gt;&lt;_pages&gt;42&lt;/_pages&gt;&lt;_short_title&gt;Exploring strategies that build livelihood resilience: a case from Cambodia&lt;/_short_title&gt;&lt;_social_category&gt;法学(2)&lt;/_social_category&gt;&lt;_url&gt;https://go.exlibris.link/J7KhCHwq&lt;/_url&gt;&lt;_volume&gt;11&lt;/_volume&gt;&lt;/Details&gt;&lt;Extra&gt;&lt;DBUID&gt;{BD8F6675-5345-4625-BBA4-8897723D22F5}&lt;/DBUID&gt;&lt;/Extra&gt;&lt;/Item&gt;&lt;/References&gt;&lt;/Group&gt;&lt;/Citation&gt;_x000a_"/>
    <w:docVar w:name="NE.Ref{118910A8-84D9-4401-8DF8-DBA16B1D130E}" w:val=" ADDIN NE.Ref.{118910A8-84D9-4401-8DF8-DBA16B1D130E}&lt;Citation&gt;&lt;Group&gt;&lt;References&gt;&lt;Item&gt;&lt;ID&gt;538&lt;/ID&gt;&lt;UID&gt;{BB1A0878-AC93-4EDE-AB9A-7EA34F0EF189}&lt;/UID&gt;&lt;Title&gt;乡村社会关系研究&lt;/Title&gt;&lt;Template&gt;Thesis&lt;/Template&gt;&lt;Star&gt;0&lt;/Star&gt;&lt;Tag&gt;0&lt;/Tag&gt;&lt;Author&gt;王静&lt;/Author&gt;&lt;Year&gt;2012&lt;/Year&gt;&lt;Details&gt;&lt;_created&gt;64063514&lt;/_created&gt;&lt;_image&gt;internal-pdf://3051166571/乡村社会关系研究_王静.caj&lt;/_image&gt;&lt;_keywords&gt;农村_x000d__x000a_社会关系_x000d__x000a_特点&lt;/_keywords&gt;&lt;_modified&gt;64063514&lt;/_modified&gt;&lt;_publisher&gt;西北师范大学&lt;/_publisher&gt;&lt;_short_title&gt;乡村社会关系研究&lt;/_short_title&gt;&lt;_tertiary_author&gt;路宪民&lt;/_tertiary_author&gt;&lt;_type_work&gt;硕士&lt;/_type_work&gt;&lt;_translated_author&gt;Wang, Jing&lt;/_translated_author&gt;&lt;_translated_tertiary_author&gt;Lu, Xianmin&lt;/_translated_tertiary_author&gt;&lt;/Details&gt;&lt;Extra&gt;&lt;DBUID&gt;{BD8F6675-5345-4625-BBA4-8897723D22F5}&lt;/DBUID&gt;&lt;/Extra&gt;&lt;/Item&gt;&lt;/References&gt;&lt;/Group&gt;&lt;/Citation&gt;_x000a_"/>
    <w:docVar w:name="NE.Ref{1484B55D-15E6-4B5C-950C-D29D26859E43}" w:val=" ADDIN NE.Ref.{1484B55D-15E6-4B5C-950C-D29D26859E43}&lt;Citation&gt;&lt;Group&gt;&lt;References&gt;&lt;Item&gt;&lt;ID&gt;1692&lt;/ID&gt;&lt;UID&gt;{054BD772-AB78-4BB2-9606-FF004AB1AFCC}&lt;/UID&gt;&lt;Title&gt;Ecological consequence of nomad settlement policy in the pasture area of Qinghai-Tibetan Plateau: From plant and soil perspectives&lt;/Title&gt;&lt;Template&gt;Journal Article&lt;/Template&gt;&lt;Star&gt;0&lt;/Star&gt;&lt;Tag&gt;0&lt;/Tag&gt;&lt;Author&gt;Zhang, Jing; Cui, Xiaoyong; Wang, Yanfen; Gongbuzeren; Zhuang, Minghao; Ji, Baoming&lt;/Author&gt;&lt;Year&gt;2020&lt;/Year&gt;&lt;Details&gt;&lt;_alternate_title&gt;Journal of Environmental Management&lt;/_alternate_title&gt;&lt;_collection_scope&gt;SCIE&lt;/_collection_scope&gt;&lt;_created&gt;64644835&lt;/_created&gt;&lt;_date&gt;2020-01-01&lt;/_date&gt;&lt;_date_display&gt;2020&lt;/_date_display&gt;&lt;_doi&gt;https://doi.org/10.1016/j.jenvman.2020.110114&lt;/_doi&gt;&lt;_impact_factor&gt;   8.910&lt;/_impact_factor&gt;&lt;_isbn&gt;0301-4797&lt;/_isbn&gt;&lt;_journal&gt;Journal of Environmental Management&lt;/_journal&gt;&lt;_keywords&gt;Settlement distance; Alpine steppe ecosystem; Plant characteristics; Soil quality; Arbuscular mycorrhizal fungi; Qinghai-Tibetan plateau&lt;/_keywords&gt;&lt;_modified&gt;64644835&lt;/_modified&gt;&lt;_pages&gt;110114&lt;/_pages&gt;&lt;_social_category&gt;环境科学与生态学(2)&lt;/_social_category&gt;&lt;_url&gt;https://www.sciencedirect.com/science/article/pii/S0301479720300529&lt;/_url&gt;&lt;_volume&gt;260&lt;/_volume&gt;&lt;/Details&gt;&lt;Extra&gt;&lt;DBUID&gt;{BD8F6675-5345-4625-BBA4-8897723D22F5}&lt;/DBUID&gt;&lt;/Extra&gt;&lt;/Item&gt;&lt;/References&gt;&lt;/Group&gt;&lt;/Citation&gt;_x000a_"/>
    <w:docVar w:name="NE.Ref{149DA564-7300-4F74-878C-70D01B3047B4}" w:val=" ADDIN NE.Ref.{149DA564-7300-4F74-878C-70D01B3047B4}&lt;Citation&gt;&lt;Group&gt;&lt;References&gt;&lt;Item&gt;&lt;ID&gt;515&lt;/ID&gt;&lt;UID&gt;{0ABCEB38-FC72-4CDA-A821-DAA26DFA8F1F}&lt;/UID&gt;&lt;Title&gt;农民社会关系的现状及影响因素分析&lt;/Title&gt;&lt;Template&gt;Journal Article&lt;/Template&gt;&lt;Star&gt;0&lt;/Star&gt;&lt;Tag&gt;0&lt;/Tag&gt;&lt;Author&gt;白描; 苑鹏&lt;/Author&gt;&lt;Year&gt;2014&lt;/Year&gt;&lt;Details&gt;&lt;_accessed&gt;64060482&lt;/_accessed&gt;&lt;_author_adr&gt;中国社会科学院农村发展研究所;&lt;/_author_adr&gt;&lt;_author_aff&gt;中国社会科学院农村发展研究所;&lt;/_author_aff&gt;&lt;_call_num&gt;11-3586/F&lt;/_call_num&gt;&lt;_collection_scope&gt;CSSCI-C;PKU&lt;/_collection_scope&gt;&lt;_created&gt;64060478&lt;/_created&gt;&lt;_date&gt;59986080&lt;/_date&gt;&lt;_db_updated&gt;CNKI - Reference&lt;/_db_updated&gt;&lt;_image&gt;internal-pdf://3836890417/农民社会关系的现状及影响因素分析_白描.pdf&lt;/_image&gt;&lt;_isbn&gt;1006-4583&lt;/_isbn&gt;&lt;_issue&gt;01&lt;/_issue&gt;&lt;_journal&gt;中国农村观察&lt;/_journal&gt;&lt;_keywords&gt;社会关系;农民;有序Logit模型&lt;/_keywords&gt;&lt;_modified&gt;64060813&lt;/_modified&gt;&lt;_pages&gt;40-49&lt;/_pages&gt;&lt;_short_title&gt;农民社会关系的现状及影响因素分析&lt;/_short_title&gt;&lt;_url&gt;https://kns.cnki.net/kcms/detail/detail.aspx?FileName=ZNCG201401005&amp;amp;DbName=CJFQ2014&lt;/_url&gt;&lt;_translated_author&gt;Bai, Miao;Yuan, Peng&lt;/_translated_author&gt;&lt;/Details&gt;&lt;Extra&gt;&lt;DBUID&gt;{BD8F6675-5345-4625-BBA4-8897723D22F5}&lt;/DBUID&gt;&lt;/Extra&gt;&lt;/Item&gt;&lt;/References&gt;&lt;/Group&gt;&lt;Group&gt;&lt;References&gt;&lt;Item&gt;&lt;ID&gt;491&lt;/ID&gt;&lt;UID&gt;{E146D69C-0983-46A6-94BE-26DF20CE5D13}&lt;/UID&gt;&lt;Title&gt;中国乡村社会关系的变迁与民间借贷&lt;/Title&gt;&lt;Template&gt;Journal Article&lt;/Template&gt;&lt;Star&gt;0&lt;/Star&gt;&lt;Tag&gt;0&lt;/Tag&gt;&lt;Author&gt;戴菊贵; 何祥勇&lt;/Author&gt;&lt;Year&gt;2018&lt;/Year&gt;&lt;Details&gt;&lt;_accessed&gt;64060484&lt;/_accessed&gt;&lt;_author_adr&gt;温州大学;浙江大学经济学院博士后科研流动站;湖州职业技术学院;&lt;/_author_adr&gt;&lt;_author_aff&gt;温州大学;浙江大学经济学院博士后科研流动站;湖州职业技术学院;&lt;/_author_aff&gt;&lt;_call_num&gt;44-1479/F&lt;/_call_num&gt;&lt;_collection_scope&gt;PKU&lt;/_collection_scope&gt;&lt;_created&gt;64060478&lt;/_created&gt;&lt;_date&gt;62157600&lt;/_date&gt;&lt;_db_updated&gt;CNKI - Reference&lt;/_db_updated&gt;&lt;_image&gt;internal-pdf://3044978555/中国乡村社会关系的变迁与民间借贷_戴菊贵.pdf&lt;/_image&gt;&lt;_isbn&gt;1007-9041&lt;/_isbn&gt;&lt;_issue&gt;04&lt;/_issue&gt;&lt;_journal&gt;南方金融&lt;/_journal&gt;&lt;_keywords&gt;民间金融;民间借贷;儒家文化;道义金融;理性金融&lt;/_keywords&gt;&lt;_label&gt;借贷&lt;/_label&gt;&lt;_modified&gt;64061954&lt;/_modified&gt;&lt;_pages&gt;41-50&lt;/_pages&gt;&lt;_short_title&gt;中国乡村社会关系的变迁与民间借贷&lt;/_short_title&gt;&lt;_url&gt;https://kns.cnki.net/kcms/detail/detail.aspx?FileName=GDJR201804006&amp;amp;DbName=CJFQ2018&lt;/_url&gt;&lt;_translated_author&gt;Dai, Jugui;He, Xiangyong&lt;/_translated_author&gt;&lt;/Details&gt;&lt;Extra&gt;&lt;DBUID&gt;{BD8F6675-5345-4625-BBA4-8897723D22F5}&lt;/DBUID&gt;&lt;/Extra&gt;&lt;/Item&gt;&lt;/References&gt;&lt;/Group&gt;&lt;Group&gt;&lt;References&gt;&lt;Item&gt;&lt;ID&gt;427&lt;/ID&gt;&lt;UID&gt;{0F56F59D-ADD2-4216-92C5-33D37BDF6F30}&lt;/UID&gt;&lt;Title&gt;农户对水土保持技术的支付意愿及影响因素分析——基于社会关系网络视角&lt;/Title&gt;&lt;Template&gt;Journal Article&lt;/Template&gt;&lt;Star&gt;0&lt;/Star&gt;&lt;Tag&gt;5&lt;/Tag&gt;&lt;Author&gt;李玉贝; 陆迁; 郭格&lt;/Author&gt;&lt;Year&gt;2018&lt;/Year&gt;&lt;Details&gt;&lt;_accessed&gt;64060484&lt;/_accessed&gt;&lt;_author_adr&gt;西北农林科技大学经济管理学院;&lt;/_author_adr&gt;&lt;_author_aff&gt;西北农林科技大学经济管理学院;&lt;/_author_aff&gt;&lt;_call_num&gt;15-1112/N&lt;/_call_num&gt;&lt;_collection_scope&gt;CSCD;CSSCI-C;PKU&lt;/_collection_scope&gt;&lt;_created&gt;64060478&lt;/_created&gt;&lt;_date&gt;62154720&lt;/_date&gt;&lt;_db_updated&gt;CNKI - Reference&lt;/_db_updated&gt;&lt;_image&gt;internal-pdf://0363593442/农户对水土保持技术的支付意愿及影响因素分析_基于社会关系.pdf&lt;/_image&gt;&lt;_isbn&gt;1003-7578&lt;/_isbn&gt;&lt;_issue&gt;04&lt;/_issue&gt;&lt;_journal&gt;干旱区资源与环境&lt;/_journal&gt;&lt;_keywords&gt;农户;水土保持技术;Probit模型;支付意愿;社会关系网络&lt;/_keywords&gt;&lt;_modified&gt;64060843&lt;/_modified&gt;&lt;_pages&gt;31-36&lt;/_pages&gt;&lt;_short_title&gt;农户对水土保持技术的支付意愿及影响因素分析——基于社会关系网络视角&lt;/_short_title&gt;&lt;_url&gt;https://kns.cnki.net/kcms/detail/detail.aspx?FileName=GHZH201804006&amp;amp;DbName=CJFQ2018&lt;/_url&gt;&lt;_volume&gt;32&lt;/_volume&gt;&lt;_translated_author&gt;Li, Yubei;Lu, Qian;Guo, Ge&lt;/_translated_author&gt;&lt;/Details&gt;&lt;Extra&gt;&lt;DBUID&gt;{BD8F6675-5345-4625-BBA4-8897723D22F5}&lt;/DBUID&gt;&lt;/Extra&gt;&lt;/Item&gt;&lt;/References&gt;&lt;/Group&gt;&lt;/Citation&gt;_x000a_"/>
    <w:docVar w:name="NE.Ref{152D073C-7AEA-4AE6-99CE-6188A1FD72F0}" w:val=" ADDIN NE.Ref.{152D073C-7AEA-4AE6-99CE-6188A1FD72F0}&lt;Citation SecTmpl=&quot;1&quot;&gt;&lt;Group&gt;&lt;References&gt;&lt;Item&gt;&lt;ID&gt;1658&lt;/ID&gt;&lt;UID&gt;{7A869AC0-93AA-4126-9381-5DFD80BC86A9}&lt;/UID&gt;&lt;Title&gt;Livelihoods perspectives and rural development&lt;/Title&gt;&lt;Template&gt;Journal Article&lt;/Template&gt;&lt;Star&gt;0&lt;/Star&gt;&lt;Tag&gt;0&lt;/Tag&gt;&lt;Author&gt;Scoones, I&lt;/Author&gt;&lt;Year&gt;2009&lt;/Year&gt;&lt;Details&gt;&lt;_accessed&gt;64586524&lt;/_accessed&gt;&lt;_alternate_title&gt;JOURNAL OF PEASANT STUDIES&lt;/_alternate_title&gt;&lt;_collection_scope&gt;SSCI&lt;/_collection_scope&gt;&lt;_created&gt;64586523&lt;/_created&gt;&lt;_date&gt;2009-01-01&lt;/_date&gt;&lt;_date_display&gt;2009&lt;/_date_display&gt;&lt;_doi&gt;10.1080/03066150902820503&lt;/_doi&gt;&lt;_impact_factor&gt;   5.333&lt;/_impact_factor&gt;&lt;_isbn&gt;0306-6150&lt;/_isbn&gt;&lt;_issue&gt;1&lt;/_issue&gt;&lt;_journal&gt;JOURNAL OF PEASANT STUDIES&lt;/_journal&gt;&lt;_modified&gt;64586523&lt;/_modified&gt;&lt;_pages&gt;171-196&lt;/_pages&gt;&lt;_social_category&gt;法学(1)&lt;/_social_category&gt;&lt;_volume&gt;36&lt;/_volume&gt;&lt;/Details&gt;&lt;Extra&gt;&lt;DBUID&gt;{BD8F6675-5345-4625-BBA4-8897723D22F5}&lt;/DBUID&gt;&lt;/Extra&gt;&lt;/Item&gt;&lt;/References&gt;&lt;/Group&gt;&lt;/Citation&gt;_x000a_"/>
    <w:docVar w:name="NE.Ref{17451AD9-D63A-42B8-A10B-87288B02F065}" w:val=" ADDIN NE.Ref.{17451AD9-D63A-42B8-A10B-87288B02F065}&lt;Citation&gt;&lt;Group&gt;&lt;References&gt;&lt;Item&gt;&lt;ID&gt;661&lt;/ID&gt;&lt;UID&gt;{8A0F8746-DC34-4CAB-BDF6-044783CCA782}&lt;/UID&gt;&lt;Title&gt;社会资本与农户多维贫困&lt;/Title&gt;&lt;Template&gt;Thesis&lt;/Template&gt;&lt;Star&gt;0&lt;/Star&gt;&lt;Tag&gt;0&lt;/Tag&gt;&lt;Author&gt;车四方&lt;/Author&gt;&lt;Year&gt;2019&lt;/Year&gt;&lt;Details&gt;&lt;_accessed&gt;64436969&lt;/_accessed&gt;&lt;_created&gt;64142847&lt;/_created&gt;&lt;_db_provider&gt;CNKI&lt;/_db_provider&gt;&lt;_keywords&gt;农户多维贫困;;社会资本;;非农就业;;中介效应;;门槛效应&lt;/_keywords&gt;&lt;_modified&gt;64436969&lt;/_modified&gt;&lt;_publisher&gt;西南大学&lt;/_publisher&gt;&lt;_tertiary_author&gt;谢家智&lt;/_tertiary_author&gt;&lt;_type_work&gt;博士&lt;/_type_work&gt;&lt;_url&gt;https://bar.cnki.net/bar/download/order?id=jBGETXBNdPImvx70aLAuJPYxPoFw%2bp%2bi0fIiSrcN6lUQOgHQRSgCxCKPkybm4PFMLDZRoj5cV7XU4AV9w9D206ly%2bcoaUbxKfbohfVkk2oLl8E%2bCUVp5GtDTYhVF2dNUoJeGx62Ssygg68TNXJ%2b5JrigejDAar8Xqw%2f6WR22OFXUdUGh4At8VBYSvh%2fCUD5aivRLj2FSwJzc0DhVECzwdXOLInYABgt19TR8%2fOouWlQ%3d _x000d__x000a_&lt;/_url&gt;&lt;_translated_author&gt;Che, Sifang&lt;/_translated_author&gt;&lt;_translated_tertiary_author&gt;Xie, Jiazhi&lt;/_translated_tertiary_author&gt;&lt;/Details&gt;&lt;Extra&gt;&lt;DBUID&gt;{BD8F6675-5345-4625-BBA4-8897723D22F5}&lt;/DBUID&gt;&lt;/Extra&gt;&lt;/Item&gt;&lt;/References&gt;&lt;/Group&gt;&lt;/Citation&gt;_x000a_"/>
    <w:docVar w:name="NE.Ref{18DD774D-EBE0-424C-995B-E0AF01D47104}" w:val=" ADDIN NE.Ref.{18DD774D-EBE0-424C-995B-E0AF01D47104}&lt;Citation SecTmpl=&quot;1&quot;&gt;&lt;Group&gt;&lt;References&gt;&lt;Item&gt;&lt;ID&gt;355&lt;/ID&gt;&lt;UID&gt;{243210E5-90A6-4132-9186-0AA5336A051A}&lt;/UID&gt;&lt;Title&gt;Household strategies and rural livelihood diversification&lt;/Title&gt;&lt;Template&gt;Journal Article&lt;/Template&gt;&lt;Star&gt;0&lt;/Star&gt;&lt;Tag&gt;0&lt;/Tag&gt;&lt;Author&gt;Ellis, Frank&lt;/Author&gt;&lt;Year&gt;1998&lt;/Year&gt;&lt;Details&gt;&lt;_accessed&gt;64060479&lt;/_accessed&gt;&lt;_accession_num&gt;WOS:000077317500002&lt;/_accession_num&gt;&lt;_collection_scope&gt;SSCI&lt;/_collection_scope&gt;&lt;_created&gt;64060478&lt;/_created&gt;&lt;_date&gt;1990-10-01&lt;/_date&gt;&lt;_date_display&gt;Oct&lt;/_date_display&gt;&lt;_db_updated&gt;CrossRef&lt;/_db_updated&gt;&lt;_doi&gt;10.1080/00220389808422553&lt;/_doi&gt;&lt;_impact_factor&gt;   2.519&lt;/_impact_factor&gt;&lt;_isbn&gt;0022-0388&lt;/_isbn&gt;&lt;_issue&gt;1&lt;/_issue&gt;&lt;_journal&gt;Journal of Development Studies&lt;/_journal&gt;&lt;_modified&gt;64594249&lt;/_modified&gt;&lt;_pages&gt;1-38&lt;/_pages&gt;&lt;_short_title&gt;Household strategies and rural livelihood diversification&lt;/_short_title&gt;&lt;_social_category&gt;经济学(3)&lt;/_social_category&gt;&lt;_tertiary_title&gt;Journal of Development Studies&lt;/_tertiary_title&gt;&lt;_url&gt;http://www.tandfonline.com/doi/abs/10.1080/00220389808422553_x000d__x000a_http://www.tandfonline.com/doi/pdf/10.1080/00220389808422553&lt;/_url&gt;&lt;_volume&gt;35&lt;/_volume&gt;&lt;/Details&gt;&lt;Extra&gt;&lt;DBUID&gt;{BD8F6675-5345-4625-BBA4-8897723D22F5}&lt;/DBUID&gt;&lt;/Extra&gt;&lt;/Item&gt;&lt;/References&gt;&lt;/Group&gt;&lt;/Citation&gt;_x000a_"/>
    <w:docVar w:name="NE.Ref{1A3CDE05-A89E-4101-A9B8-B83640C46E6B}" w:val=" ADDIN NE.Ref.{1A3CDE05-A89E-4101-A9B8-B83640C46E6B}&lt;Citation&gt;&lt;Group&gt;&lt;References&gt;&lt;Item&gt;&lt;ID&gt;355&lt;/ID&gt;&lt;UID&gt;{243210E5-90A6-4132-9186-0AA5336A051A}&lt;/UID&gt;&lt;Title&gt;Household strategies and rural livelihood diversification&lt;/Title&gt;&lt;Template&gt;Journal Article&lt;/Template&gt;&lt;Star&gt;0&lt;/Star&gt;&lt;Tag&gt;0&lt;/Tag&gt;&lt;Author&gt;Ellis, Frank&lt;/Author&gt;&lt;Year&gt;1998&lt;/Year&gt;&lt;Details&gt;&lt;_accessed&gt;64060479&lt;/_accessed&gt;&lt;_accession_num&gt;WOS:000077317500002&lt;/_accession_num&gt;&lt;_collection_scope&gt;SSCI&lt;/_collection_scope&gt;&lt;_created&gt;64060478&lt;/_created&gt;&lt;_date&gt;1990-10-01&lt;/_date&gt;&lt;_date_display&gt;Oct&lt;/_date_display&gt;&lt;_db_updated&gt;CrossRef&lt;/_db_updated&gt;&lt;_doi&gt;10.1080/00220389808422553&lt;/_doi&gt;&lt;_impact_factor&gt;   2.210&lt;/_impact_factor&gt;&lt;_isbn&gt;0022-0388&lt;/_isbn&gt;&lt;_issue&gt;1&lt;/_issue&gt;&lt;_journal&gt;Journal of Development Studies&lt;/_journal&gt;&lt;_modified&gt;64060862&lt;/_modified&gt;&lt;_pages&gt;1-38&lt;/_pages&gt;&lt;_short_title&gt;Household strategies and rural livelihood diversification&lt;/_short_title&gt;&lt;_tertiary_title&gt;Journal of Development Studies&lt;/_tertiary_title&gt;&lt;_url&gt;http://www.tandfonline.com/doi/abs/10.1080/00220389808422553_x000d__x000a_http://www.tandfonline.com/doi/pdf/10.1080/00220389808422553&lt;/_url&gt;&lt;_volume&gt;35&lt;/_volume&gt;&lt;/Details&gt;&lt;Extra&gt;&lt;DBUID&gt;{BD8F6675-5345-4625-BBA4-8897723D22F5}&lt;/DBUID&gt;&lt;/Extra&gt;&lt;/Item&gt;&lt;/References&gt;&lt;/Group&gt;&lt;/Citation&gt;_x000a_"/>
    <w:docVar w:name="NE.Ref{1C6A9DFB-D016-4C64-9981-9D76B2942AA9}" w:val=" ADDIN NE.Ref.{1C6A9DFB-D016-4C64-9981-9D76B2942AA9}&lt;Citation&gt;&lt;Group&gt;&lt;References&gt;&lt;Item&gt;&lt;ID&gt;1011&lt;/ID&gt;&lt;UID&gt;{0895A968-7C97-4321-ADFD-F2B44C516137}&lt;/UID&gt;&lt;Title&gt;甘南黄河水源补给区农户的生计恢复力研究&lt;/Title&gt;&lt;Template&gt;Thesis&lt;/Template&gt;&lt;Star&gt;0&lt;/Star&gt;&lt;Tag&gt;0&lt;/Tag&gt;&lt;Author&gt;陈欢欢&lt;/Author&gt;&lt;Year&gt;2019&lt;/Year&gt;&lt;Details&gt;&lt;_created&gt;64294092&lt;/_created&gt;&lt;_db_provider&gt;CNKI&lt;/_db_provider&gt;&lt;_keywords&gt;农户;;生计恢复力;;生计资本;;甘南黄河水源补给区&lt;/_keywords&gt;&lt;_modified&gt;64294094&lt;/_modified&gt;&lt;_publisher&gt;西北师范大学&lt;/_publisher&gt;&lt;_tertiary_author&gt;赵雪雁&lt;/_tertiary_author&gt;&lt;_type_work&gt;硕士&lt;/_type_work&gt;&lt;_url&gt;https://bar.cnki.net/bar/download/order?id=jBGETXBNdPImvx70aLAuJFo8d3crjALHLDOld0RphO3uDo2JdTZYzNrEKa2shVGQRsbAoyvB4t8pFeksLzfjVtF0S3Sx3IFFnYSDhPEoBRF0kLXJs8oIrymTj1517PLaNtkhhqQSRKIuUpambLA7bQkHsxGDxQo5Kqbx7ZlvVJnDLQCqA1Hl3VpFjUT%2bGtlkaLfawYU6djp3eoYLqGUpAw3pB4mNLtmMnQURlS70XAg%3d _x000d__x000a_&lt;/_url&gt;&lt;_translated_author&gt;Chen, Huanhuan&lt;/_translated_author&gt;&lt;_translated_tertiary_author&gt;Zhao, Xueyan&lt;/_translated_tertiary_author&gt;&lt;/Details&gt;&lt;Extra&gt;&lt;DBUID&gt;{BD8F6675-5345-4625-BBA4-8897723D22F5}&lt;/DBUID&gt;&lt;/Extra&gt;&lt;/Item&gt;&lt;/References&gt;&lt;/Group&gt;&lt;/Citation&gt;_x000a_"/>
    <w:docVar w:name="NE.Ref{22F80B0D-F470-4568-8B91-18DB8BC09821}" w:val=" ADDIN NE.Ref.{22F80B0D-F470-4568-8B91-18DB8BC09821}&lt;Citation&gt;&lt;Group&gt;&lt;References&gt;&lt;Item&gt;&lt;ID&gt;1034&lt;/ID&gt;&lt;UID&gt;{32AC881E-442E-4785-97DC-410DE71A6427}&lt;/UID&gt;&lt;Title&gt;结构方程模型的特点及应用&lt;/Title&gt;&lt;Template&gt;Journal Article&lt;/Template&gt;&lt;Star&gt;0&lt;/Star&gt;&lt;Tag&gt;0&lt;/Tag&gt;&lt;Author&gt;程开明&lt;/Author&gt;&lt;Year&gt;2006&lt;/Year&gt;&lt;Details&gt;&lt;_accessed&gt;64359470&lt;/_accessed&gt;&lt;_author_adr&gt;浙江工商大学统计与计算科学学院 杭州310035&lt;/_author_adr&gt;&lt;_call_num&gt;42-1009/C&lt;/_call_num&gt;&lt;_collection_scope&gt;CSSCI-C;PKU&lt;/_collection_scope&gt;&lt;_created&gt;64359469&lt;/_created&gt;&lt;_image&gt;internal-pdf://4131143213/结构方程模型的特点及应用_程开明.pdf&lt;/_image&gt;&lt;_isbn&gt;1002-6487&lt;/_isbn&gt;&lt;_issue&gt;10&lt;/_issue&gt;&lt;_journal&gt;统计与决策&lt;/_journal&gt;&lt;_keywords&gt;结构方程模型_x000d__x000a_隐变量_x000d__x000a_验证_x000d__x000a_一致性&lt;/_keywords&gt;&lt;_modified&gt;64359470&lt;/_modified&gt;&lt;_pages&gt;22-25&lt;/_pages&gt;&lt;_short_title&gt;结构方程模型的特点及应用&lt;/_short_title&gt;&lt;_translated_author&gt;Cheng, Kaiming&lt;/_translated_author&gt;&lt;/Details&gt;&lt;Extra&gt;&lt;DBUID&gt;{BD8F6675-5345-4625-BBA4-8897723D22F5}&lt;/DBUID&gt;&lt;/Extra&gt;&lt;/Item&gt;&lt;/References&gt;&lt;/Group&gt;&lt;/Citation&gt;_x000a_"/>
    <w:docVar w:name="NE.Ref{264F896D-3B27-43B0-976B-0FD1394F1EE8}" w:val=" ADDIN NE.Ref.{264F896D-3B27-43B0-976B-0FD1394F1EE8}&lt;Citation&gt;&lt;Group&gt;&lt;References&gt;&lt;Item&gt;&lt;ID&gt;1008&lt;/ID&gt;&lt;UID&gt;{665BB650-BFA8-4807-8A88-44E6550E5B18}&lt;/UID&gt;&lt;Title&gt;陕北黄土高原农户生计恢复力评价及影响因素研究&lt;/Title&gt;&lt;Template&gt;Thesis&lt;/Template&gt;&lt;Star&gt;0&lt;/Star&gt;&lt;Tag&gt;0&lt;/Tag&gt;&lt;Author&gt;王晨&lt;/Author&gt;&lt;Year&gt;2019&lt;/Year&gt;&lt;Details&gt;&lt;_accessed&gt;64537537&lt;/_accessed&gt;&lt;_created&gt;64294092&lt;/_created&gt;&lt;_db_provider&gt;CNKI&lt;/_db_provider&gt;&lt;_keywords&gt;生计恢复力;;缓冲能力;;适应能力;;转型能力;;障碍因子;;黄土高原&lt;/_keywords&gt;&lt;_modified&gt;64537535&lt;/_modified&gt;&lt;_publisher&gt;西北大学&lt;/_publisher&gt;&lt;_tertiary_author&gt;黄晓军&lt;/_tertiary_author&gt;&lt;_type_work&gt;硕士&lt;/_type_work&gt;&lt;_url&gt;https://bar.cnki.net/bar/download/order?id=jBGETXBNdPImvx70aLAuJFo8d3crjALHLDOld0RphO3oH3haj%2bBvbGrmWHhCshm3RsbAoyvB4t8pFeksLzfjVvHn0Y3rZUVMAjPppNnIzz50kLXJs8oIrymTj1517PLaNtkhhqQSRKIuUpambLA7bQkHsxGDxQo5Kqbx7ZlvVJnDLQCqA1Hl3VpFjUT%2bGtlkPmpb1h14c5afAMJnDDG%2fWQRdP4lr4svVRZYD8k%2fwTi4%3d _x000d__x000a_&lt;/_url&gt;&lt;_translated_author&gt;Wang, Chen&lt;/_translated_author&gt;&lt;_translated_tertiary_author&gt;Huang, Xiaojun&lt;/_translated_tertiary_author&gt;&lt;/Details&gt;&lt;Extra&gt;&lt;DBUID&gt;{BD8F6675-5345-4625-BBA4-8897723D22F5}&lt;/DBUID&gt;&lt;/Extra&gt;&lt;/Item&gt;&lt;/References&gt;&lt;/Group&gt;&lt;/Citation&gt;_x000a_"/>
    <w:docVar w:name="NE.Ref{26EA420C-D96A-40CA-9710-34D2AA76EDE4}" w:val=" ADDIN NE.Ref.{26EA420C-D96A-40CA-9710-34D2AA76EDE4}&lt;Citation&gt;&lt;Group&gt;&lt;References&gt;&lt;Item&gt;&lt;ID&gt;411&lt;/ID&gt;&lt;UID&gt;{E3F2D347-13CF-4B4D-B49D-F05CE2DB0E2E}&lt;/UID&gt;&lt;Title&gt;论青藏高原范围与面积&lt;/Title&gt;&lt;Template&gt;Journal Article&lt;/Template&gt;&lt;Star&gt;0&lt;/Star&gt;&lt;Tag&gt;0&lt;/Tag&gt;&lt;Author&gt;张镱锂; 李炳元; 郑度&lt;/Author&gt;&lt;Year&gt;2002&lt;/Year&gt;&lt;Details&gt;&lt;_accessed&gt;64061970&lt;/_accessed&gt;&lt;_author_adr&gt;中国科学院地理科学与资源研究所,中国科学院地理科学与资源研究所,中国科学院地理科学与资源研究所 北京100101 ,北京100101 ,北京100101&lt;/_author_adr&gt;&lt;_call_num&gt;11-1848/P&lt;/_call_num&gt;&lt;_collection_scope&gt;CSCD;CSSCI-C;PKU&lt;/_collection_scope&gt;&lt;_created&gt;64060478&lt;/_created&gt;&lt;_isbn&gt;1000-0585&lt;/_isbn&gt;&lt;_issue&gt;01&lt;/_issue&gt;&lt;_journal&gt;地理研究&lt;/_journal&gt;&lt;_keywords&gt;青藏高原_x000d__x000a_范围_x000d__x000a_面积&lt;/_keywords&gt;&lt;_modified&gt;64061970&lt;/_modified&gt;&lt;_pages&gt;1-8&lt;/_pages&gt;&lt;_short_title&gt;论青藏高原范围与面积&lt;/_short_title&gt;&lt;_translated_author&gt;Zhang, Yili;Li, Bingyuan;Zheng, Du&lt;/_translated_author&gt;&lt;/Details&gt;&lt;Extra&gt;&lt;DBUID&gt;{BD8F6675-5345-4625-BBA4-8897723D22F5}&lt;/DBUID&gt;&lt;/Extra&gt;&lt;/Item&gt;&lt;/References&gt;&lt;/Group&gt;&lt;Group&gt;&lt;References&gt;&lt;Item&gt;&lt;ID&gt;400&lt;/ID&gt;&lt;UID&gt;{0CCA3BC1-EFC8-4DAF-8448-4C8217B2C743}&lt;/UID&gt;&lt;Title&gt;青藏高原国家生态安全屏障保护与建设&lt;/Title&gt;&lt;Template&gt;Journal Article&lt;/Template&gt;&lt;Star&gt;0&lt;/Star&gt;&lt;Tag&gt;0&lt;/Tag&gt;&lt;Author&gt;孙鸿烈; 郑度; 姚檀栋; 张镱锂&lt;/Author&gt;&lt;Year&gt;2012&lt;/Year&gt;&lt;Details&gt;&lt;_accessed&gt;64060481&lt;/_accessed&gt;&lt;_author_adr&gt;中国科学院地理科学与资源研究所;中国科学院青藏高原研究所;&lt;/_author_adr&gt;&lt;_author_aff&gt;中国科学院地理科学与资源研究所;中国科学院青藏高原研究所;&lt;/_author_aff&gt;&lt;_call_num&gt;11-1856/P&lt;/_call_num&gt;&lt;_collection_scope&gt;CSCD;CSSCI-C;PKU;EI&lt;/_collection_scope&gt;&lt;_created&gt;64060478&lt;/_created&gt;&lt;_date&gt;58926240&lt;/_date&gt;&lt;_db_updated&gt;CNKI - Reference&lt;/_db_updated&gt;&lt;_isbn&gt;0375-5444&lt;/_isbn&gt;&lt;_issue&gt;01&lt;/_issue&gt;&lt;_journal&gt;地理学报&lt;/_journal&gt;&lt;_keywords&gt;青藏高原;生态建设;生态安全;生态屏障&lt;/_keywords&gt;&lt;_modified&gt;64060815&lt;/_modified&gt;&lt;_pages&gt;3-12&lt;/_pages&gt;&lt;_short_title&gt;青藏高原国家生态安全屏障保护与建设&lt;/_short_title&gt;&lt;_url&gt;https://kns.cnki.net/kcms/detail/detail.aspx?FileName=DLXB201201003&amp;amp;DbName=CJFQ2012&lt;/_url&gt;&lt;_volume&gt;67&lt;/_volume&gt;&lt;_translated_author&gt;Sun, Honglie;Zheng, Du;Yao, Tandong;Zhang, Yili&lt;/_translated_author&gt;&lt;/Details&gt;&lt;Extra&gt;&lt;DBUID&gt;{BD8F6675-5345-4625-BBA4-8897723D22F5}&lt;/DBUID&gt;&lt;/Extra&gt;&lt;/Item&gt;&lt;/References&gt;&lt;/Group&gt;&lt;/Citation&gt;_x000a_"/>
    <w:docVar w:name="NE.Ref{2B8D25F0-1B5E-4CA7-A499-51B5EA58C505}" w:val=" ADDIN NE.Ref.{2B8D25F0-1B5E-4CA7-A499-51B5EA58C505}&lt;Citation&gt;&lt;Group&gt;&lt;References&gt;&lt;Item&gt;&lt;ID&gt;126&lt;/ID&gt;&lt;UID&gt;{2A5445E2-3F78-4DEE-A016-DCD46B7CE515}&lt;/UID&gt;&lt;Title&gt;Resilience and sustainable development: Building adaptive capacity in a world of transformations&lt;/Title&gt;&lt;Template&gt;Journal Article&lt;/Template&gt;&lt;Star&gt;0&lt;/Star&gt;&lt;Tag&gt;0&lt;/Tag&gt;&lt;Author&gt;Folke, C; Carpenter, S; Elmqvist, T; Gunderson, L; Holling, C S; Walker, B&lt;/Author&gt;&lt;Year&gt;2002&lt;/Year&gt;&lt;Details&gt;&lt;_accession_num&gt;WOS:000178085900008&lt;/_accession_num&gt;&lt;_collection_scope&gt;SCI;SCIE&lt;/_collection_scope&gt;&lt;_created&gt;64051806&lt;/_created&gt;&lt;_date&gt;1990-08-01&lt;/_date&gt;&lt;_date_display&gt;Aug&lt;/_date_display&gt;&lt;_doi&gt;10.1639/0044-7447(2002)031[0437:Rasdba]2.0.Co;2&lt;/_doi&gt;&lt;_impact_factor&gt;   6.943&lt;/_impact_factor&gt;&lt;_isbn&gt;0044-7447&lt;/_isbn&gt;&lt;_issue&gt;5&lt;/_issue&gt;&lt;_journal&gt;Ambio&lt;/_journal&gt;&lt;_modified&gt;64587762&lt;/_modified&gt;&lt;_pages&gt;437-440&lt;/_pages&gt;&lt;_short_title&gt;Resilience and sustainable development: Building adaptive capacity in a world of transformations&lt;/_short_title&gt;&lt;_social_category&gt;环境科学与生态学(2)&lt;/_social_category&gt;&lt;_url&gt;&amp;lt;Go to ISI&amp;gt;://WOS:000178085900008&lt;/_url&gt;&lt;_volume&gt;31&lt;/_volume&gt;&lt;/Details&gt;&lt;Extra&gt;&lt;DBUID&gt;{BD8F6675-5345-4625-BBA4-8897723D22F5}&lt;/DBUID&gt;&lt;/Extra&gt;&lt;/Item&gt;&lt;/References&gt;&lt;/Group&gt;&lt;Group&gt;&lt;References&gt;&lt;Item&gt;&lt;ID&gt;120&lt;/ID&gt;&lt;UID&gt;{A71E4278-4EB6-4ED6-8126-C33558843E45}&lt;/UID&gt;&lt;Title&gt;The brief resilience scale: Assessing the ability to bounce back&lt;/Title&gt;&lt;Template&gt;Journal Article&lt;/Template&gt;&lt;Star&gt;0&lt;/Star&gt;&lt;Tag&gt;0&lt;/Tag&gt;&lt;Author&gt;Smith, Bruce W; Dalen, Jeanne; Wiggins, Kathryn; Tooley, Erin; Christopher, Paulette; Bernard, Jennifer&lt;/Author&gt;&lt;Year&gt;2008&lt;/Year&gt;&lt;Details&gt;&lt;_accessed&gt;64051808&lt;/_accessed&gt;&lt;_accession_num&gt;WOS:000258820800006&lt;/_accession_num&gt;&lt;_collection_scope&gt;SSCI&lt;/_collection_scope&gt;&lt;_created&gt;64051806&lt;/_created&gt;&lt;_date&gt;1990-07-01&lt;/_date&gt;&lt;_date_display&gt;Jul-Sep&lt;/_date_display&gt;&lt;_db_updated&gt;CrossRef&lt;/_db_updated&gt;&lt;_doi&gt;10.1080/10705500802222972&lt;/_doi&gt;&lt;_image&gt;internal-pdf://0524461930/Smith-2008-The brief resilience scale_ Assessi.pdf&lt;/_image&gt;&lt;_impact_factor&gt;   2.229&lt;/_impact_factor&gt;&lt;_isbn&gt;1070-5503&lt;/_isbn&gt;&lt;_issue&gt;3&lt;/_issue&gt;&lt;_journal&gt;International Journal of Behavioral Medicine&lt;/_journal&gt;&lt;_modified&gt;64171342&lt;/_modified&gt;&lt;_pages&gt;194-200&lt;/_pages&gt;&lt;_short_title&gt;The brief resilience scale: Assessing the ability to bounce back&lt;/_short_title&gt;&lt;_tertiary_title&gt;Int. J. Behav. Med.&lt;/_tertiary_title&gt;&lt;_url&gt;http://link.springer.com/10.1080/10705500802222972 _x000d__x000a_http://www.springerlink.com/index/pdf/10.1080/10705500802222972 _x000d__x000a_http://link.springer.com/content/pdf/10.1080%2F10705500802222972.pdf _x000d__x000a_&lt;/_url&gt;&lt;_volume&gt;15&lt;/_volume&gt;&lt;/Details&gt;&lt;Extra&gt;&lt;DBUID&gt;{BD8F6675-5345-4625-BBA4-8897723D22F5}&lt;/DBUID&gt;&lt;/Extra&gt;&lt;/Item&gt;&lt;/References&gt;&lt;/Group&gt;&lt;Group&gt;&lt;References&gt;&lt;Item&gt;&lt;ID&gt;107&lt;/ID&gt;&lt;UID&gt;{C871BDB0-08F2-4ABE-8B19-B3556CB36C78}&lt;/UID&gt;&lt;Title&gt;Livelihood resilience and adaptive capacity: Tracing changes in household access to capital in Central Vietnam&lt;/Title&gt;&lt;Template&gt;Journal Article&lt;/Template&gt;&lt;Star&gt;0&lt;/Star&gt;&lt;Tag&gt;0&lt;/Tag&gt;&lt;Author&gt;Thulstrup, Andreas Waaben&lt;/Author&gt;&lt;Year&gt;2015&lt;/Year&gt;&lt;Details&gt;&lt;_accessed&gt;64529056&lt;/_accessed&gt;&lt;_collection_scope&gt;SSCI&lt;/_collection_scope&gt;&lt;_created&gt;64051806&lt;/_created&gt;&lt;_date&gt;2015-01-01&lt;/_date&gt;&lt;_date_display&gt;2015/10/01/&lt;/_date_display&gt;&lt;_doi&gt;https://doi.org/10.1016/j.worlddev.2015.05.019&lt;/_doi&gt;&lt;_image&gt;internal-pdf://2647401155/Livelihood-Resilience-and-Adaptive-Capacity--T.pdf&lt;/_image&gt;&lt;_impact_factor&gt;   6.678&lt;/_impact_factor&gt;&lt;_isbn&gt;0305-750X&lt;/_isbn&gt;&lt;_journal&gt;World Development&lt;/_journal&gt;&lt;_keywords&gt;resilience_x000d__x000a_livelihoods_x000d__x000a_adaptive capacity_x000d__x000a_Asia_x000d__x000a_Vietnam_x000d__x000a_reforestation&lt;/_keywords&gt;&lt;_modified&gt;64586050&lt;/_modified&gt;&lt;_pages&gt;352-362&lt;/_pages&gt;&lt;_short_title&gt;Livelihood Resilience and Adaptive Capacity: Tracing Changes in Household Access to Capital in Central Vietnam&lt;/_short_title&gt;&lt;_social_category&gt;经济学(1)&lt;/_social_category&gt;&lt;_url&gt;https://www.sciencedirect.com/science/article/pii/S0305750X1500128X&lt;/_url&gt;&lt;_volume&gt;74&lt;/_volume&gt;&lt;/Details&gt;&lt;Extra&gt;&lt;DBUID&gt;{BD8F6675-5345-4625-BBA4-8897723D22F5}&lt;/DBUID&gt;&lt;/Extra&gt;&lt;/Item&gt;&lt;/References&gt;&lt;/Group&gt;&lt;/Citation&gt;_x000a_"/>
    <w:docVar w:name="NE.Ref{31F31E23-CB86-4AC6-90A9-DDE62CC5320E}" w:val=" ADDIN NE.Ref.{31F31E23-CB86-4AC6-90A9-DDE62CC5320E}&lt;Citation&gt;&lt;Group&gt;&lt;References&gt;&lt;Item&gt;&lt;ID&gt;1499&lt;/ID&gt;&lt;UID&gt;{6AB85206-5344-4A4E-8D9F-78700B73FAF0}&lt;/UID&gt;&lt;Title&gt;生计资本对云南脱贫农户可持续生计能力影响机理研究&lt;/Title&gt;&lt;Template&gt;Thesis&lt;/Template&gt;&lt;Star&gt;0&lt;/Star&gt;&lt;Tag&gt;0&lt;/Tag&gt;&lt;Author&gt;和月月&lt;/Author&gt;&lt;Year&gt;2021&lt;/Year&gt;&lt;Details&gt;&lt;_accessed&gt;64665687&lt;/_accessed&gt;&lt;_created&gt;64431150&lt;/_created&gt;&lt;_db_provider&gt;CNKI&lt;/_db_provider&gt;&lt;_keywords&gt;乡村振兴;;可持续生计能力;;生计资本;;生计风险;;脱贫农户&lt;/_keywords&gt;&lt;_label&gt;指标体系构建依据&lt;/_label&gt;&lt;_modified&gt;64665687&lt;/_modified&gt;&lt;_publisher&gt;昆明理工大学&lt;/_publisher&gt;&lt;_tertiary_author&gt;周常春&lt;/_tertiary_author&gt;&lt;_type_work&gt;博士&lt;/_type_work&gt;&lt;_url&gt;https://bar.cnki.net/bar/download/order?id=jBGETXBNdPImvx70aLAuJKPd5%2bH15oC8gGzxs3xdBxicXqy6YDgNJUvFAAgzzq5%2bEBmWIvuz0Y15xF283Q1NvAuKwE6bAq9gYW%2fVQo64jGr63KDnJ7T691%2b%2fxqKkU%2fIu4ZUGb5jRKRpG58MRjqGFG%2bLkNvX1T1oyTzo0iPXtbtkyI%2bMzzRbqad9DSrV8HgXoxhpnnz7dYnYDFbC8OumeTy9QZng0hekrJyIQ9w5VBinY9Rh0t1%2fsHPJmvPacC%2fDw _x000d__x000a_https://bar.cnki.net/bar/download/order?id=jBGETXBNdPImvx70aLAuJKPd5%2bH15oC8gGzxs3xdBxicXqy6YDgNJUvFAAgzzq5%2bEBmWIvuz0Y15xF283Q1NvAuKwE6bAq9gYW%2fVQo64jGr63KDnJ7T691%2b%2fxqKkU%2fIu4ZUGb5jRKRpG58MRjqGFG%2bLkNvX1T1oyTzo0iPXtbtkyI%2bMzzRbqad9DSrV8HgXonbGx6cLAtyjek51WBJhgAGme%2b%2bFPx2X0gPOMI8jhKurY9Rh0t1%2fsHPJmvPacC%2fDw _x000d__x000a_&lt;/_url&gt;&lt;_translated_author&gt;He, Yueyue&lt;/_translated_author&gt;&lt;_translated_tertiary_author&gt;Zhou, Changchun&lt;/_translated_tertiary_author&gt;&lt;/Details&gt;&lt;Extra&gt;&lt;DBUID&gt;{BD8F6675-5345-4625-BBA4-8897723D22F5}&lt;/DBUID&gt;&lt;/Extra&gt;&lt;/Item&gt;&lt;/References&gt;&lt;/Group&gt;&lt;/Citation&gt;_x000a_"/>
    <w:docVar w:name="NE.Ref{331A514A-F77A-4BA4-A0D3-B1D6579FB41D}" w:val=" ADDIN NE.Ref.{331A514A-F77A-4BA4-A0D3-B1D6579FB41D}&lt;Citation&gt;&lt;Group&gt;&lt;References&gt;&lt;Item&gt;&lt;ID&gt;329&lt;/ID&gt;&lt;UID&gt;{8C08DFCB-B997-424F-A25C-F69EF09E262C}&lt;/UID&gt;&lt;Title&gt;可持续生计分析研究综述&lt;/Title&gt;&lt;Template&gt;Journal Article&lt;/Template&gt;&lt;Star&gt;0&lt;/Star&gt;&lt;Tag&gt;0&lt;/Tag&gt;&lt;Author&gt;苏芳; 徐中民; 尚海洋&lt;/Author&gt;&lt;Year&gt;2009&lt;/Year&gt;&lt;Details&gt;&lt;_author_adr&gt;中国科学院寒区旱区环境与工程研究所寒旱区流域水文及应用生态实验室;&lt;/_author_adr&gt;&lt;_collection_scope&gt;CSCD;PKU&lt;/_collection_scope&gt;&lt;_created&gt;64053637&lt;/_created&gt;&lt;_db_provider&gt;CNKI&lt;/_db_provider&gt;&lt;_isbn&gt;1001-8166&lt;/_isbn&gt;&lt;_issue&gt;01&lt;/_issue&gt;&lt;_journal&gt;地球科学进展&lt;/_journal&gt;&lt;_keywords&gt;可持续生计;;脆弱性背景;;生计资本&lt;/_keywords&gt;&lt;_modified&gt;64055088&lt;/_modified&gt;&lt;_pages&gt;61-69&lt;/_pages&gt;&lt;_url&gt;https://bar.cnki.net/bar/download/order?id=jBGETXBNdPImvx70aLAuJPYxPoFw%2bp%2bi0fIiSrcN6lWeAsz2xmLOQieNEvzEmt5ssshnTQdlzf0o9Rxczx2nOhiuqSlCZOKwDrp5qZ4QW%2bgtqddCdidyosdSaMNWur3ZJBjdlDrNnftoR5pdZPiFRNlKM4sfpT3nRHSqBOA4sms8GQBtE8Z8mK%2fNwS15YoSEIkdzZIfYyhaetHdUMYorbQ%3d%3d _x000d__x000a_&lt;/_url&gt;&lt;_volume&gt;24&lt;/_volume&gt;&lt;_translated_author&gt;Su, Fang;Xu, Zhongmin;Shang, Haiyang&lt;/_translated_author&gt;&lt;/Details&gt;&lt;Extra&gt;&lt;DBUID&gt;{BD8F6675-5345-4625-BBA4-8897723D22F5}&lt;/DBUID&gt;&lt;/Extra&gt;&lt;/Item&gt;&lt;/References&gt;&lt;/Group&gt;&lt;Group&gt;&lt;References&gt;&lt;Item&gt;&lt;ID&gt;310&lt;/ID&gt;&lt;UID&gt;{D47088DF-DF5F-4A1F-8100-AA4140EF8E43}&lt;/UID&gt;&lt;Title&gt;可持续生计视角下中国农村贫困治理研究综述&lt;/Title&gt;&lt;Template&gt;Journal Article&lt;/Template&gt;&lt;Star&gt;0&lt;/Star&gt;&lt;Tag&gt;0&lt;/Tag&gt;&lt;Author&gt;何仁伟; 李光勤; 刘邵权; 徐定德; 李立娜&lt;/Author&gt;&lt;Year&gt;2017&lt;/Year&gt;&lt;Details&gt;&lt;_author_adr&gt;北京市社会科学院市情调研中心;上海财经大学财经研究所/城市与区域科学学院;中国科学院水利部成都山地灾害与环境研究所;西昌学院资源与环境学院;&lt;/_author_adr&gt;&lt;_collection_scope&gt;CSSCI;PKU;CSCD&lt;/_collection_scope&gt;&lt;_created&gt;64053637&lt;/_created&gt;&lt;_db_provider&gt;CNKI&lt;/_db_provider&gt;&lt;_isbn&gt;1002-2104&lt;/_isbn&gt;&lt;_issue&gt;11&lt;/_issue&gt;&lt;_journal&gt;中国人口·资源与环境&lt;/_journal&gt;&lt;_keywords&gt;可持续生计;;生计资本;;生计策略;;精准扶贫;;贫困治理&lt;/_keywords&gt;&lt;_modified&gt;64594159&lt;/_modified&gt;&lt;_pages&gt;69-85&lt;/_pages&gt;&lt;_url&gt;https://bar.cnki.net/bar/download/order?id=jBGETXBNdPImvx70aLAuJPYxPoFw%2bp%2bi0fIiSrcN6lWuuTP8dwXoLfavsfS7mdAaLDZRoj5cV7XU4AV9w9D201aDlGRGqfvrZs8WIjNZTiDl8E%2bCUVp5GtDTYhVF2dNUoJeGx62Ssygg68TNXJ%2b5JrigejDAar8Xqw%2f6WR22OFXUdUGh4At8VBYSvh%2fCUD5a9tPi389KZ1%2f%2fln327zMTcSMKpkchz4FhDB3rwF6z1gE%3d _x000d__x000a_&lt;/_url&gt;&lt;_volume&gt;27&lt;/_volume&gt;&lt;_translated_author&gt;He, Renwei;Li, Guangqin;Liu, Shaoquan;Xu, Dingde;Li, Lina&lt;/_translated_author&gt;&lt;/Details&gt;&lt;Extra&gt;&lt;DBUID&gt;{BD8F6675-5345-4625-BBA4-8897723D22F5}&lt;/DBUID&gt;&lt;/Extra&gt;&lt;/Item&gt;&lt;/References&gt;&lt;/Group&gt;&lt;/Citation&gt;_x000a_"/>
    <w:docVar w:name="NE.Ref{334B0A35-3AED-4782-889D-E98D59942B6A}" w:val=" ADDIN NE.Ref.{334B0A35-3AED-4782-889D-E98D59942B6A}&lt;Citation&gt;&lt;Group&gt;&lt;References&gt;&lt;Item&gt;&lt;ID&gt;469&lt;/ID&gt;&lt;UID&gt;{6C811EFF-94C1-4C88-8AAB-21F3B6F7711D}&lt;/UID&gt;&lt;Title&gt;气候灾害下黄土高原农户生计恢复力研究&lt;/Title&gt;&lt;Template&gt;Thesis&lt;/Template&gt;&lt;Star&gt;0&lt;/Star&gt;&lt;Tag&gt;0&lt;/Tag&gt;&lt;Author&gt;吴晓萍&lt;/Author&gt;&lt;Year&gt;2019&lt;/Year&gt;&lt;Details&gt;&lt;_accessed&gt;64292831&lt;/_accessed&gt;&lt;_created&gt;64060478&lt;/_created&gt;&lt;_db_updated&gt;CNKI - Reference&lt;/_db_updated&gt;&lt;_image&gt;internal-pdf://1855923281/气候灾害下黄土高原农户生计恢复力研究_吴晓萍.caj&lt;/_image&gt;&lt;_keywords&gt;气候灾害;生计恢复力;黄土高原;农户&lt;/_keywords&gt;&lt;_label&gt;在经典框架上加上心里感知能力&lt;/_label&gt;&lt;_modified&gt;64293924&lt;/_modified&gt;&lt;_pages&gt;69&lt;/_pages&gt;&lt;_publisher&gt;西北农林科技大学&lt;/_publisher&gt;&lt;_short_title&gt;气候灾害下黄土高原农户生计恢复力研究&lt;/_short_title&gt;&lt;_tertiary_author&gt;淮建军&lt;/_tertiary_author&gt;&lt;_type_work&gt;硕士&lt;/_type_work&gt;&lt;_url&gt;https://kns.cnki.net/kcms/detail/detail.aspx?FileName=1019844895.nh&amp;amp;DbName=CMFD2019 _x000d__x000a_https://bar.cnki.net/bar/download/order?id=jBGETXBNdPImvx70aLAuJFo8d3crjALHLDOld0RphO0ibb2zJvg0iCM%2b10Q1jPegRsbAoyvB4t8pFeksLzfjVvHn0Y3rZUVMAjPppNnIzz50kLXJs8oIrymTj1517PLaNtkhhqQSRKIuUpambLA7bQkHsxGDxQo5Kqbx7ZlvVJnDLQCqA1Hl3VpFjUT%2bGtlkqYMIgoyuiZE%2fgnJft7wBqw3pB4mNLtmMnQURlS70XAg%3d _x000d__x000a_&lt;/_url&gt;&lt;_volume&gt;硕士&lt;/_volume&gt;&lt;_translated_author&gt;Wu, Xiaoping&lt;/_translated_author&gt;&lt;_translated_tertiary_author&gt;Huai, Jianjun&lt;/_translated_tertiary_author&gt;&lt;/Details&gt;&lt;Extra&gt;&lt;DBUID&gt;{BD8F6675-5345-4625-BBA4-8897723D22F5}&lt;/DBUID&gt;&lt;/Extra&gt;&lt;/Item&gt;&lt;/References&gt;&lt;/Group&gt;&lt;/Citation&gt;_x000a_"/>
    <w:docVar w:name="NE.Ref{33C0D3DF-A9FA-41E9-9ACA-BA9018BCDF8A}" w:val=" ADDIN NE.Ref.{33C0D3DF-A9FA-41E9-9ACA-BA9018BCDF8A}&lt;Citation&gt;&lt;Group&gt;&lt;References&gt;&lt;Item&gt;&lt;ID&gt;471&lt;/ID&gt;&lt;UID&gt;{D447D657-0E78-495D-AE57-C52BA5C02124}&lt;/UID&gt;&lt;Title&gt;社会-生态系统恢复力研究综述&lt;/Title&gt;&lt;Template&gt;Journal Article&lt;/Template&gt;&lt;Star&gt;0&lt;/Star&gt;&lt;Tag&gt;0&lt;/Tag&gt;&lt;Author&gt;孙晶; 王俊; 杨新军&lt;/Author&gt;&lt;Year&gt;2007&lt;/Year&gt;&lt;Details&gt;&lt;_accessed&gt;64060480&lt;/_accessed&gt;&lt;_author_adr&gt;西北大学城市与资源学系,西北大学城市与资源学系,西北大学城市与资源学系 陕西西安710127,陕西西安710127,陕西西安710127&lt;/_author_adr&gt;&lt;_author_aff&gt;西北大学城市与资源学系,西北大学城市与资源学系,西北大学城市与资源学系 陕西西安710127,陕西西安710127,陕西西安710127&lt;/_author_aff&gt;&lt;_call_num&gt;11-2031/Q&lt;/_call_num&gt;&lt;_collection_scope&gt;CSCD;PKU&lt;/_collection_scope&gt;&lt;_created&gt;64060478&lt;/_created&gt;&lt;_date&gt;56777760&lt;/_date&gt;&lt;_db_updated&gt;CNKI - Reference&lt;/_db_updated&gt;&lt;_image&gt;internal-pdf://1993302766/社会_生态系统恢复力研究综述_孙晶.pdf&lt;/_image&gt;&lt;_isbn&gt;1000-0933&lt;/_isbn&gt;&lt;_issue&gt;12&lt;/_issue&gt;&lt;_journal&gt;生态学报&lt;/_journal&gt;&lt;_keywords&gt;社会-生态系统;干扰;恢复力;适应性循环;扰沌&lt;/_keywords&gt;&lt;_modified&gt;64061952&lt;/_modified&gt;&lt;_pages&gt;5371-5381&lt;/_pages&gt;&lt;_short_title&gt;社会-生态系统恢复力研究综述&lt;/_short_title&gt;&lt;_url&gt;https://kns.cnki.net/kcms/detail/detail.aspx?FileName=STXB200712051&amp;amp;DbName=CJFQ2007&lt;/_url&gt;&lt;_translated_author&gt;Sun, Jing;Wang, Jun;Yang, Xinjun&lt;/_translated_author&gt;&lt;/Details&gt;&lt;Extra&gt;&lt;DBUID&gt;{BD8F6675-5345-4625-BBA4-8897723D22F5}&lt;/DBUID&gt;&lt;/Extra&gt;&lt;/Item&gt;&lt;/References&gt;&lt;/Group&gt;&lt;Group&gt;&lt;References&gt;&lt;Item&gt;&lt;ID&gt;508&lt;/ID&gt;&lt;UID&gt;{B1F41ED4-07D7-4DC8-BE3C-6B0EB47768FA}&lt;/UID&gt;&lt;Title&gt;恢复力研究的新进展与评述&lt;/Title&gt;&lt;Template&gt;Journal Article&lt;/Template&gt;&lt;Star&gt;0&lt;/Star&gt;&lt;Tag&gt;0&lt;/Tag&gt;&lt;Author&gt;葛怡; 史培军; 徐伟; 刘婧; 钱瑜; 陈磊&lt;/Author&gt;&lt;Year&gt;2010&lt;/Year&gt;&lt;Details&gt;&lt;_accessed&gt;64060481&lt;/_accessed&gt;&lt;_author_adr&gt;污染控制与资源化研究国家重点实验室;北京师范大学资源学院灾害与公共安全研究所;北京师范大学环境演变与自然灾害教育部重点实验室;民政部、教育部减灾与应急管理研究院;污染控制与资源化研究国家重点实验室南京大学环境学院;&lt;/_author_adr&gt;&lt;_author_aff&gt;污染控制与资源化研究国家重点实验室;北京师范大学资源学院灾害与公共安全研究所;北京师范大学环境演变与自然灾害教育部重点实验室;民政部、教育部减灾与应急管理研究院;污染控制与资源化研究国家重点实验室南京大学环境学院;&lt;/_author_aff&gt;&lt;_call_num&gt;61-1097/P&lt;/_call_num&gt;&lt;_collection_scope&gt;CSCD&lt;/_collection_scope&gt;&lt;_created&gt;64060478&lt;/_created&gt;&lt;_date&gt;58232160&lt;/_date&gt;&lt;_db_updated&gt;CNKI - Reference&lt;/_db_updated&gt;&lt;_image&gt;internal-pdf://3583501402/恢复力研究的新进展与评述_葛怡.pdf&lt;/_image&gt;&lt;_isbn&gt;1000-811X&lt;/_isbn&gt;&lt;_issue&gt;03&lt;/_issue&gt;&lt;_journal&gt;灾害学&lt;/_journal&gt;&lt;_keywords&gt;工程恢复力;生态恢复力;灾害;社会-生态系统&lt;/_keywords&gt;&lt;_modified&gt;64061126&lt;/_modified&gt;&lt;_pages&gt;119-124+129&lt;/_pages&gt;&lt;_short_title&gt;恢复力研究的新进展与评述&lt;/_short_title&gt;&lt;_url&gt;https://kns.cnki.net/kcms/detail/detail.aspx?FileName=ZHXU201003027&amp;amp;DbName=CJFQ2010&lt;/_url&gt;&lt;_volume&gt;25&lt;/_volume&gt;&lt;_translated_author&gt;Ge, Yi;Shi, Peijun;Xu, Wei;Liu, Jing;Qian, Yu;Chen, Lei&lt;/_translated_author&gt;&lt;/Details&gt;&lt;Extra&gt;&lt;DBUID&gt;{BD8F6675-5345-4625-BBA4-8897723D22F5}&lt;/DBUID&gt;&lt;/Extra&gt;&lt;/Item&gt;&lt;/References&gt;&lt;/Group&gt;&lt;Group&gt;&lt;References&gt;&lt;Item&gt;&lt;ID&gt;1627&lt;/ID&gt;&lt;UID&gt;{8CC7BCB6-CB6C-4A44-A397-0782A329984C}&lt;/UID&gt;&lt;Title&gt;继续增加财政转移性支出可以提高脱贫质量吗——基于生计抗逆力和CFPS数据的实证&lt;/Title&gt;&lt;Template&gt;Journal Article&lt;/Template&gt;&lt;Star&gt;0&lt;/Star&gt;&lt;Tag&gt;0&lt;/Tag&gt;&lt;Author&gt;李志平; 吴凡夫&lt;/Author&gt;&lt;Year&gt;2020&lt;/Year&gt;&lt;Details&gt;&lt;_author_adr&gt;华中农业大学经济管理学院;&lt;/_author_adr&gt;&lt;_collection_scope&gt;CSSCI-C&lt;/_collection_scope&gt;&lt;_created&gt;64547470&lt;/_created&gt;&lt;_db_provider&gt;CNKI&lt;/_db_provider&gt;&lt;_isbn&gt;1000-6389&lt;/_isbn&gt;&lt;_issue&gt;11&lt;/_issue&gt;&lt;_journal&gt;农业经济问题&lt;/_journal&gt;&lt;_keywords&gt;财政转移性支出;;生计抗逆力;;贫困户;;脱贫质量;;生计决策&lt;/_keywords&gt;&lt;_modified&gt;64664254&lt;/_modified&gt;&lt;_pages&gt;65-76&lt;/_pages&gt;&lt;_url&gt;https://bar.cnki.net/bar/download/order?id=jBGETXBNdPImvx70aLAuJPYxPoFw%2bp%2bi0fIiSrcN6lUOQO01GuvXxgNpVU9Z7%2bJ6LDZRoj5cV7XU4AV9w9D20znQrP31sd3qbIpJim%2fvA8Tl8E%2bCUVp5GtDTYhVF2dNUoJeGx62Ssygg68TNXJ%2b5JrigejDAar8Xqw%2f6WR22OFXUdUGh4At8VBYSvh%2fCUD5a1UpGZOoNqfUmQZLY4no754kWl%2f5%2bM02t3C4Rt6mdaoj5LXYX1qwFXwOc1HUZT%2bTB _x000d__x000a_&lt;/_url&gt;&lt;_translated_author&gt;Li, Zhiping;Wu, Fanfu&lt;/_translated_author&gt;&lt;/Details&gt;&lt;Extra&gt;&lt;DBUID&gt;{BD8F6675-5345-4625-BBA4-8897723D22F5}&lt;/DBUID&gt;&lt;/Extra&gt;&lt;/Item&gt;&lt;/References&gt;&lt;/Group&gt;&lt;Group&gt;&lt;References&gt;&lt;Item&gt;&lt;ID&gt;334&lt;/ID&gt;&lt;UID&gt;{6989E675-3120-4AD9-B5A0-45B02F0B0088}&lt;/UID&gt;&lt;Title&gt;生计恢复力研究进展与启示&lt;/Title&gt;&lt;Template&gt;Journal Article&lt;/Template&gt;&lt;Star&gt;0&lt;/Star&gt;&lt;Tag&gt;0&lt;/Tag&gt;&lt;Author&gt;卜诗洁; 马金海; 卓玛措; 潘昊; 刘华蓉&lt;/Author&gt;&lt;Year&gt;2021&lt;/Year&gt;&lt;Details&gt;&lt;_accessed&gt;64292552&lt;/_accessed&gt;&lt;_author_adr&gt;青海民族大学旅游学院;&lt;/_author_adr&gt;&lt;_collection_scope&gt;CSCD;PKU&lt;/_collection_scope&gt;&lt;_created&gt;64053637&lt;/_created&gt;&lt;_db_provider&gt;CNKI&lt;/_db_provider&gt;&lt;_isbn&gt;1672-0504&lt;/_isbn&gt;&lt;_issue&gt;01&lt;/_issue&gt;&lt;_journal&gt;地理与地理信息科学&lt;/_journal&gt;&lt;_keywords&gt;生计恢复力;;分析框架;;旅游生计恢复力;;个体福祉;;生计恢复力适应性管理&lt;/_keywords&gt;&lt;_modified&gt;64396401&lt;/_modified&gt;&lt;_pages&gt;74-79&lt;/_pages&gt;&lt;_url&gt;https://bar.cnki.net/bar/download/order?id=jBGETXBNdPImvx70aLAuJPYxPoFw%2bp%2bi0fIiSrcN6lX8GETAQrgCZqk38oxiAFapIPqgR38m15LFMAZn%2bx0j%2f0GxVkq8YHJNz4jV3WhknTrl8E%2bCUVp5GtDTYhVF2dNUoJeGx62Ssygg68TNXJ%2b5JrigejDAar8Xqw%2f6WR22OFXUdUGh4At8VBYSvh%2fCUD5ayqc9OOYWWhxN6qJ9DJ6Hbk0o7hPx9DIcLPjh8hose0g%3d _x000d__x000a_https://bar.cnki.net/bar/download/order?id=jBGETXBNdPImvx70aLAuJPYxPoFw%2bp%2bi0fIiSrcN6lX8GETAQrgCZqk38oxiAFapIPqgR38m15LFMAZn%2bx0j%2f0GxVkq8YHJNz4jV3WhknTrl8E%2bCUVp5GtDTYhVF2dNUoJeGx62Ssygg68TNXJ%2b5JrigejDAar8Xqw%2f6WR22OFXUdUGh4At8VBYSvh%2fCUD5aC052mm6dlCb33GXy89qOnfTYGftZzTarqejxrpk3b2n5LXYX1qwFXwOc1HUZT%2bTB _x000d__x000a_&lt;/_url&gt;&lt;_volume&gt;37&lt;/_volume&gt;&lt;_translated_author&gt;Bu, Shijie;Ma, Jinhai;Zhuo, Macuo;Pan, Hao;Liu, Huarong&lt;/_translated_author&gt;&lt;/Details&gt;&lt;Extra&gt;&lt;DBUID&gt;{BD8F6675-5345-4625-BBA4-8897723D22F5}&lt;/DBUID&gt;&lt;/Extra&gt;&lt;/Item&gt;&lt;/References&gt;&lt;/Group&gt;&lt;Group&gt;&lt;References&gt;&lt;Item&gt;&lt;ID&gt;467&lt;/ID&gt;&lt;UID&gt;{4646721B-2F19-4D1B-A498-EF5E74F4033A}&lt;/UID&gt;&lt;Title&gt;农户生计多样性弹性测度研究——以陕西省安康市为例&lt;/Title&gt;&lt;Template&gt;Journal Article&lt;/Template&gt;&lt;Star&gt;0&lt;/Star&gt;&lt;Tag&gt;0&lt;/Tag&gt;&lt;Author&gt;刘永茂; 李树茁&lt;/Author&gt;&lt;Year&gt;2017&lt;/Year&gt;&lt;Details&gt;&lt;_accessed&gt;64060483&lt;/_accessed&gt;&lt;_author_adr&gt;西安交通大学管理学院;西安交通大学人口与发展研究所;&lt;/_author_adr&gt;&lt;_author_aff&gt;西安交通大学管理学院;西安交通大学人口与发展研究所;&lt;/_author_aff&gt;&lt;_call_num&gt;11-3868/N&lt;/_call_num&gt;&lt;_collection_scope&gt;CSCD;CSSCI-C;PKU&lt;/_collection_scope&gt;&lt;_created&gt;64060478&lt;/_created&gt;&lt;_date&gt;61686720&lt;/_date&gt;&lt;_db_updated&gt;CNKI - Reference&lt;/_db_updated&gt;&lt;_image&gt;internal-pdf://1772716652/农户生计多样性弹性测度研究_以陕西省安康市为例_刘永茂.pdf&lt;/_image&gt;&lt;_isbn&gt;1007-7588&lt;/_isbn&gt;&lt;_issue&gt;04&lt;/_issue&gt;&lt;_journal&gt;资源科学&lt;/_journal&gt;&lt;_keywords&gt;生计多样性;弹性;战略;测度;农户;陕西省安康市&lt;/_keywords&gt;&lt;_modified&gt;64664263&lt;/_modified&gt;&lt;_pages&gt;766-781&lt;/_pages&gt;&lt;_short_title&gt;农户生计多样性弹性测度研究——以陕西省安康市为例&lt;/_short_title&gt;&lt;_url&gt;https://kns.cnki.net/kcms/detail/detail.aspx?FileName=ZRZY201704017&amp;amp;DbName=CJFQ2017 _x000d__x000a_https://bar.cnki.net/bar/download/order?id=jBGETXBNdPImvx70aLAuJPYxPoFw%2bp%2bi0fIiSrcN6lWvlx%2b20heDzrF0w1TrPcaiRSIKUaJzJKUPX09ooTadl1aDlGRGqfvrZs8WIjNZTiDl8E%2bCUVp5GtDTYhVF2dNUoJeGx62Ssygg68TNXJ%2b5JrigejDAar8Xqw%2f6WR22OFXUdUGh4At8VBYSvh%2fCUD5azixEoLcM%2bKskpno0PiCPKx05HpuPZzlK20fRUMAauHD5LXYX1qwFXwOc1HUZT%2bTB _x000d__x000a_&lt;/_url&gt;&lt;_volume&gt;39&lt;/_volume&gt;&lt;_translated_author&gt;Liu, Yongmao;Li, Shuzhuo&lt;/_translated_author&gt;&lt;/Details&gt;&lt;Extra&gt;&lt;DBUID&gt;{BD8F6675-5345-4625-BBA4-8897723D22F5}&lt;/DBUID&gt;&lt;/Extra&gt;&lt;/Item&gt;&lt;/References&gt;&lt;/Group&gt;&lt;/Citation&gt;_x000a_"/>
    <w:docVar w:name="NE.Ref{34DBA468-9AC3-4473-AC9F-6DE0C8527D96}" w:val=" ADDIN NE.Ref.{34DBA468-9AC3-4473-AC9F-6DE0C8527D96}&lt;Citation SecTmpl=&quot;1&quot;&gt;&lt;Group&gt;&lt;References&gt;&lt;Item&gt;&lt;ID&gt;483&lt;/ID&gt;&lt;UID&gt;{EFD73075-451B-4544-B477-D3EA74CA8B47}&lt;/UID&gt;&lt;Title&gt;Seasonal migration and livelihood resilience in the face of climate change in Nepal&lt;/Title&gt;&lt;Template&gt;Journal Article&lt;/Template&gt;&lt;Star&gt;0&lt;/Star&gt;&lt;Tag&gt;0&lt;/Tag&gt;&lt;Author&gt;Gautam, Yograj&lt;/Author&gt;&lt;Year&gt;2017&lt;/Year&gt;&lt;Details&gt;&lt;_accessed&gt;64529022&lt;/_accessed&gt;&lt;_accession_num&gt;WOS:000418447700007&lt;/_accession_num&gt;&lt;_collection_scope&gt;SCI;SCIE&lt;/_collection_scope&gt;&lt;_created&gt;64060478&lt;/_created&gt;&lt;_date&gt;1990-11-01&lt;/_date&gt;&lt;_date_display&gt;Nov&lt;/_date_display&gt;&lt;_db_updated&gt;CrossRef&lt;/_db_updated&gt;&lt;_doi&gt;10.1659/MRD-JOURNAL-D-17-00035.1&lt;/_doi&gt;&lt;_image&gt;internal-pdf://2693933376/Gautam-2017-Seasonal-migration-and-livelihood-.pdf&lt;/_image&gt;&lt;_impact_factor&gt;   1.506&lt;/_impact_factor&gt;&lt;_isbn&gt;0276-4741&lt;/_isbn&gt;&lt;_issue&gt;4&lt;/_issue&gt;&lt;_journal&gt;Mountain Research and Development&lt;/_journal&gt;&lt;_modified&gt;64608218&lt;/_modified&gt;&lt;_pages&gt;436-445&lt;/_pages&gt;&lt;_short_title&gt;Seasonal Migration and Livelihood Resilience in the Face of Climate Change in Nepal&lt;/_short_title&gt;&lt;_social_category&gt;环境科学与生态学(4)&lt;/_social_category&gt;&lt;_tertiary_title&gt;Mountain Research and Development&lt;/_tertiary_title&gt;&lt;_url&gt;https://bioone.org/journals/mountain-research-and-development/volume-37/issue-4/MRD-JOURNAL-D-17-00035.1/Seasonal-Migration-and-Livelihood-Resilience-in-the-Face-of-Climate/10.1659/MRD-JOURNAL-D-17-00035.1.full_x000d__x000a_http://www.bioone.org/doi/pdf/10.1659/MRD-JOURNAL-D-17-00035.1&lt;/_url&gt;&lt;_volume&gt;37&lt;/_volume&gt;&lt;/Details&gt;&lt;Extra&gt;&lt;DBUID&gt;{BD8F6675-5345-4625-BBA4-8897723D22F5}&lt;/DBUID&gt;&lt;/Extra&gt;&lt;/Item&gt;&lt;/References&gt;&lt;/Group&gt;&lt;/Citation&gt;_x000a_"/>
    <w:docVar w:name="NE.Ref{38420F71-4F67-4DDC-80BF-D89768D93FDB}" w:val=" ADDIN NE.Ref.{38420F71-4F67-4DDC-80BF-D89768D93FDB}&lt;Citation&gt;&lt;Group&gt;&lt;References&gt;&lt;Item&gt;&lt;ID&gt;1702&lt;/ID&gt;&lt;UID&gt;{3A116FBB-6ADF-42B9-86A6-163A8E638BEC}&lt;/UID&gt;&lt;Title&gt;Comparing the determinants of cropland abandonment in Albania and Romania using boosted regression trees&lt;/Title&gt;&lt;Template&gt;Journal Article&lt;/Template&gt;&lt;Star&gt;0&lt;/Star&gt;&lt;Tag&gt;0&lt;/Tag&gt;&lt;Author&gt;Müller, Daniel; Leitão, Pedro J; Sikor, Thomas&lt;/Author&gt;&lt;Year&gt;2013&lt;/Year&gt;&lt;Details&gt;&lt;_alternate_title&gt;Agricultural Systems&lt;/_alternate_title&gt;&lt;_collection_scope&gt;SCIE&lt;/_collection_scope&gt;&lt;_created&gt;64669868&lt;/_created&gt;&lt;_date&gt;2013-01-01&lt;/_date&gt;&lt;_date_display&gt;2013&lt;/_date_display&gt;&lt;_doi&gt;https://doi.org/10.1016/j.agsy.2012.12.010&lt;/_doi&gt;&lt;_impact_factor&gt;   6.765&lt;/_impact_factor&gt;&lt;_isbn&gt;0308-521X&lt;/_isbn&gt;&lt;_journal&gt;Agricultural Systems&lt;/_journal&gt;&lt;_keywords&gt;Land use change; Agricultural abandonment; Transition; Boosted regression trees; Eastern Europe&lt;/_keywords&gt;&lt;_modified&gt;64669868&lt;/_modified&gt;&lt;_pages&gt;66-77&lt;/_pages&gt;&lt;_social_category&gt;农林科学(1)&lt;/_social_category&gt;&lt;_url&gt;https://www.sciencedirect.com/science/article/pii/S0308521X12001795&lt;/_url&gt;&lt;_volume&gt;117&lt;/_volume&gt;&lt;/Details&gt;&lt;Extra&gt;&lt;DBUID&gt;{BD8F6675-5345-4625-BBA4-8897723D22F5}&lt;/DBUID&gt;&lt;/Extra&gt;&lt;/Item&gt;&lt;/References&gt;&lt;/Group&gt;&lt;/Citation&gt;_x000a_"/>
    <w:docVar w:name="NE.Ref{38704E19-53A6-4FCF-AD37-19152906DF31}" w:val=" ADDIN NE.Ref.{38704E19-53A6-4FCF-AD37-19152906DF31}&lt;Citation&gt;&lt;Group&gt;&lt;References&gt;&lt;Item&gt;&lt;ID&gt;413&lt;/ID&gt;&lt;UID&gt;{03D3EED2-B830-4D28-BD91-C6B4C61E2036}&lt;/UID&gt;&lt;Title&gt;对人的本质“是一切社会关系的总和”观点的再认识&lt;/Title&gt;&lt;Template&gt;Journal Article&lt;/Template&gt;&lt;Star&gt;0&lt;/Star&gt;&lt;Tag&gt;0&lt;/Tag&gt;&lt;Author&gt;周永霞&lt;/Author&gt;&lt;Year&gt;2006&lt;/Year&gt;&lt;Details&gt;&lt;_accessed&gt;64060480&lt;/_accessed&gt;&lt;_author_adr&gt;北京师范大学 北京100875&lt;/_author_adr&gt;&lt;_author_aff&gt;北京师范大学 北京100875&lt;/_author_aff&gt;&lt;_call_num&gt;14-1250/C&lt;/_call_num&gt;&lt;_created&gt;64060478&lt;/_created&gt;&lt;_date&gt;55830240&lt;/_date&gt;&lt;_db_updated&gt;CNKI - Reference&lt;/_db_updated&gt;&lt;_isbn&gt;1008-6285&lt;/_isbn&gt;&lt;_issue&gt;02&lt;/_issue&gt;&lt;_journal&gt;山西高等学校社会科学学报&lt;/_journal&gt;&lt;_keywords&gt;人的本质;社会关系;认识误区&lt;/_keywords&gt;&lt;_modified&gt;64061948&lt;/_modified&gt;&lt;_pages&gt;48-50+129&lt;/_pages&gt;&lt;_short_title&gt;对人的本质“是一切社会关系的总和”观点的再认识&lt;/_short_title&gt;&lt;_url&gt;https://kns.cnki.net/kcms/detail/detail.aspx?FileName=SXGD200602016&amp;amp;DbName=CJFQ2006&lt;/_url&gt;&lt;_translated_author&gt;Zhou, Yongxia&lt;/_translated_author&gt;&lt;/Details&gt;&lt;Extra&gt;&lt;DBUID&gt;{BD8F6675-5345-4625-BBA4-8897723D22F5}&lt;/DBUID&gt;&lt;/Extra&gt;&lt;/Item&gt;&lt;/References&gt;&lt;/Group&gt;&lt;/Citation&gt;_x000a_"/>
    <w:docVar w:name="NE.Ref{3FC48001-E268-408D-B501-B0DB9D4C943A}" w:val=" ADDIN NE.Ref.{3FC48001-E268-408D-B501-B0DB9D4C943A}&lt;Citation&gt;&lt;Group&gt;&lt;References&gt;&lt;Item&gt;&lt;ID&gt;1532&lt;/ID&gt;&lt;UID&gt;{D3D7A9F8-9F29-4B1A-BF57-A2AA93CBE255}&lt;/UID&gt;&lt;Title&gt;贫困地区农户生计安全研究&lt;/Title&gt;&lt;Template&gt;Journal Article&lt;/Template&gt;&lt;Star&gt;0&lt;/Star&gt;&lt;Tag&gt;0&lt;/Tag&gt;&lt;Author&gt;赵靖伟&lt;/Author&gt;&lt;Year&gt;2014&lt;/Year&gt;&lt;Details&gt;&lt;_author_adr&gt;西北政法大学政治与公共管理学院;&lt;/_author_adr&gt;&lt;_collection_scope&gt;CSSCI;PKU&lt;/_collection_scope&gt;&lt;_created&gt;64537483&lt;/_created&gt;&lt;_db_provider&gt;CNKI&lt;/_db_provider&gt;&lt;_isbn&gt;1009-9107&lt;/_isbn&gt;&lt;_issue&gt;05&lt;/_issue&gt;&lt;_journal&gt;西北农林科技大学学报(社会科学版)&lt;/_journal&gt;&lt;_keywords&gt;农户生计安全;;贫困地区农村;;脆弱性;;生态资源;;可持续发展&lt;/_keywords&gt;&lt;_modified&gt;64664268&lt;/_modified&gt;&lt;_pages&gt;109-114&lt;/_pages&gt;&lt;_url&gt;https://bar.cnki.net/bar/download/order?id=jBGETXBNdPImvx70aLAuJPYxPoFw%2bp%2bi0fIiSrcN6lW%2bC3A2DFwCt%2bZecjSSPdee3JUuTL1dvsZiVw3pzpeSMmHgiO0UtQt9x07MuJvq%2bx0tqddCdidyosdSaMNWur3ZJBjdlDrNnftoR5pdZPiFRNlKM4sfpT3nRHSqBOA4sms8GQBtE8Z8mK%2fNwS15YoSEcuRQZvHekSrUC%2biG3C3eUKopkQ6JnjQzfIvFcCnka0M%3d _x000d__x000a_&lt;/_url&gt;&lt;_volume&gt;14&lt;/_volume&gt;&lt;_translated_author&gt;Zhao, Jingwei&lt;/_translated_author&gt;&lt;/Details&gt;&lt;Extra&gt;&lt;DBUID&gt;{BD8F6675-5345-4625-BBA4-8897723D22F5}&lt;/DBUID&gt;&lt;/Extra&gt;&lt;/Item&gt;&lt;/References&gt;&lt;/Group&gt;&lt;/Citation&gt;_x000a_"/>
    <w:docVar w:name="NE.Ref{413C7E8F-847D-4552-A25D-BD46F245254C}" w:val=" ADDIN NE.Ref.{413C7E8F-847D-4552-A25D-BD46F245254C}&lt;Citation&gt;&lt;Group&gt;&lt;References&gt;&lt;Item&gt;&lt;ID&gt;413&lt;/ID&gt;&lt;UID&gt;{03D3EED2-B830-4D28-BD91-C6B4C61E2036}&lt;/UID&gt;&lt;Title&gt;对人的本质“是一切社会关系的总和”观点的再认识&lt;/Title&gt;&lt;Template&gt;Journal Article&lt;/Template&gt;&lt;Star&gt;0&lt;/Star&gt;&lt;Tag&gt;0&lt;/Tag&gt;&lt;Author&gt;周永霞&lt;/Author&gt;&lt;Year&gt;2006&lt;/Year&gt;&lt;Details&gt;&lt;_accessed&gt;64060480&lt;/_accessed&gt;&lt;_author_adr&gt;北京师范大学 北京100875&lt;/_author_adr&gt;&lt;_author_aff&gt;北京师范大学 北京100875&lt;/_author_aff&gt;&lt;_call_num&gt;14-1250/C&lt;/_call_num&gt;&lt;_created&gt;64060478&lt;/_created&gt;&lt;_date&gt;55830240&lt;/_date&gt;&lt;_db_updated&gt;CNKI - Reference&lt;/_db_updated&gt;&lt;_isbn&gt;1008-6285&lt;/_isbn&gt;&lt;_issue&gt;02&lt;/_issue&gt;&lt;_journal&gt;山西高等学校社会科学学报&lt;/_journal&gt;&lt;_keywords&gt;人的本质;社会关系;认识误区&lt;/_keywords&gt;&lt;_modified&gt;64061948&lt;/_modified&gt;&lt;_pages&gt;48-50+129&lt;/_pages&gt;&lt;_short_title&gt;对人的本质“是一切社会关系的总和”观点的再认识&lt;/_short_title&gt;&lt;_url&gt;https://kns.cnki.net/kcms/detail/detail.aspx?FileName=SXGD200602016&amp;amp;DbName=CJFQ2006&lt;/_url&gt;&lt;_translated_author&gt;Zhou, Yongxia&lt;/_translated_author&gt;&lt;/Details&gt;&lt;Extra&gt;&lt;DBUID&gt;{BD8F6675-5345-4625-BBA4-8897723D22F5}&lt;/DBUID&gt;&lt;/Extra&gt;&lt;/Item&gt;&lt;/References&gt;&lt;/Group&gt;&lt;Group&gt;&lt;References&gt;&lt;Item&gt;&lt;ID&gt;448&lt;/ID&gt;&lt;UID&gt;{7FD439CA-47C9-4792-B2D4-A20925E0AB11}&lt;/UID&gt;&lt;Title&gt;社会关系和谐评价指标体系构建及实证研究&lt;/Title&gt;&lt;Template&gt;Journal Article&lt;/Template&gt;&lt;Star&gt;0&lt;/Star&gt;&lt;Tag&gt;0&lt;/Tag&gt;&lt;Author&gt;马辉; 王涛&lt;/Author&gt;&lt;Year&gt;2008&lt;/Year&gt;&lt;Details&gt;&lt;_accessed&gt;64060480&lt;/_accessed&gt;&lt;_author_adr&gt;哈尔滨商业大学; 哈尔滨商业大学&lt;/_author_adr&gt;&lt;_author_aff&gt;哈尔滨商业大学; 哈尔滨商业大学&lt;/_author_aff&gt;&lt;_call_num&gt;11-3215/G4&lt;/_call_num&gt;&lt;_created&gt;64060478&lt;/_created&gt;&lt;_db_provider&gt;北京万方数据股份有限公司&lt;/_db_provider&gt;&lt;_db_updated&gt;Wanfangdata&lt;/_db_updated&gt;&lt;_image&gt;internal-pdf://0736907073/社会关系和谐评价指标体系构建及实证研究_马辉.pdf&lt;/_image&gt;&lt;_isbn&gt;1005-5762&lt;/_isbn&gt;&lt;_issue&gt;8&lt;/_issue&gt;&lt;_journal&gt;统计教育&lt;/_journal&gt;&lt;_keywords&gt;社会关系和谐; 变异系数变动权重法&lt;/_keywords&gt;&lt;_language&gt;chi&lt;/_language&gt;&lt;_modified&gt;64671059&lt;/_modified&gt;&lt;_pages&gt;41-44&lt;/_pages&gt;&lt;_short_title&gt;社会关系和谐评价指标体系构建及实证研究&lt;/_short_title&gt;&lt;_tertiary_title&gt;STATISTICAL THINKTANK&lt;/_tertiary_title&gt;&lt;_translated_author&gt;TAO, MA HUI WANG&lt;/_translated_author&gt;&lt;_translated_title&gt;THE ESTABLISHMENT OF AND EMPIRICAL ANALYSIS TO EVALUATION CRITERIA SYSTEM FOR HARMONIOUS SOCIAL RELATIONSHIP&lt;/_translated_title&gt;&lt;_url&gt;http://www.wanfangdata.com.cn:443/details/detail.do?_type=perio&amp;amp;id=QK200802608777 _x000d__x000a_https://bar.cnki.net/bar/download/order?id=jBGETXBNdPImvx70aLAuJPYxPoFw%2bp%2bi0fIiSrcN6lVvlDeRYuqyLFUqDRHL2dPTIPqgR38m15LFMAZn%2bx0j%2f1a3UETubEuE%2flf6XVLBujEtqddCdidyosdSaMNWur3ZJBjdlDrNnftoR5pdZPiFRNlKM4sfpT3nRHSqBOA4sms8GQBtE8Z8mK%2fNwS15YoSELQfLMCAMC91IznHTLqfS9KopkQ6JnjQzfIvFcCnka0M%3d _x000d__x000a_&lt;/_url&gt;&lt;/Details&gt;&lt;Extra&gt;&lt;DBUID&gt;{BD8F6675-5345-4625-BBA4-8897723D22F5}&lt;/DBUID&gt;&lt;/Extra&gt;&lt;/Item&gt;&lt;/References&gt;&lt;/Group&gt;&lt;/Citation&gt;_x000a_"/>
    <w:docVar w:name="NE.Ref{42F93FB8-D9F4-445B-BD15-3B4606BDBD68}" w:val=" ADDIN NE.Ref.{42F93FB8-D9F4-445B-BD15-3B4606BDBD68}&lt;Citation&gt;&lt;Group&gt;&lt;References&gt;&lt;Item&gt;&lt;ID&gt;508&lt;/ID&gt;&lt;UID&gt;{B1F41ED4-07D7-4DC8-BE3C-6B0EB47768FA}&lt;/UID&gt;&lt;Title&gt;恢复力研究的新进展与评述&lt;/Title&gt;&lt;Template&gt;Journal Article&lt;/Template&gt;&lt;Star&gt;0&lt;/Star&gt;&lt;Tag&gt;0&lt;/Tag&gt;&lt;Author&gt;葛怡; 史培军; 徐伟; 刘婧; 钱瑜; 陈磊&lt;/Author&gt;&lt;Year&gt;2010&lt;/Year&gt;&lt;Details&gt;&lt;_accessed&gt;64060481&lt;/_accessed&gt;&lt;_author_adr&gt;污染控制与资源化研究国家重点实验室;北京师范大学资源学院灾害与公共安全研究所;北京师范大学环境演变与自然灾害教育部重点实验室;民政部、教育部减灾与应急管理研究院;污染控制与资源化研究国家重点实验室南京大学环境学院;&lt;/_author_adr&gt;&lt;_author_aff&gt;污染控制与资源化研究国家重点实验室;北京师范大学资源学院灾害与公共安全研究所;北京师范大学环境演变与自然灾害教育部重点实验室;民政部、教育部减灾与应急管理研究院;污染控制与资源化研究国家重点实验室南京大学环境学院;&lt;/_author_aff&gt;&lt;_call_num&gt;61-1097/P&lt;/_call_num&gt;&lt;_collection_scope&gt;CSCD&lt;/_collection_scope&gt;&lt;_created&gt;64060478&lt;/_created&gt;&lt;_date&gt;58232160&lt;/_date&gt;&lt;_db_updated&gt;CNKI - Reference&lt;/_db_updated&gt;&lt;_image&gt;internal-pdf://3583501402/恢复力研究的新进展与评述_葛怡.pdf&lt;/_image&gt;&lt;_isbn&gt;1000-811X&lt;/_isbn&gt;&lt;_issue&gt;03&lt;/_issue&gt;&lt;_journal&gt;灾害学&lt;/_journal&gt;&lt;_keywords&gt;工程恢复力;生态恢复力;灾害;社会-生态系统&lt;/_keywords&gt;&lt;_modified&gt;64061126&lt;/_modified&gt;&lt;_pages&gt;119-124+129&lt;/_pages&gt;&lt;_short_title&gt;恢复力研究的新进展与评述&lt;/_short_title&gt;&lt;_url&gt;https://kns.cnki.net/kcms/detail/detail.aspx?FileName=ZHXU201003027&amp;amp;DbName=CJFQ2010&lt;/_url&gt;&lt;_volume&gt;25&lt;/_volume&gt;&lt;_translated_author&gt;Ge, Yi;Shi, Peijun;Xu, Wei;Liu, Jing;Qian, Yu;Chen, Lei&lt;/_translated_author&gt;&lt;/Details&gt;&lt;Extra&gt;&lt;DBUID&gt;{BD8F6675-5345-4625-BBA4-8897723D22F5}&lt;/DBUID&gt;&lt;/Extra&gt;&lt;/Item&gt;&lt;/References&gt;&lt;/Group&gt;&lt;/Citation&gt;_x000a_"/>
    <w:docVar w:name="NE.Ref{4E9B34AE-867C-4450-8009-EA50FD50F2F6}" w:val=" ADDIN NE.Ref.{4E9B34AE-867C-4450-8009-EA50FD50F2F6}&lt;Citation SecTmpl=&quot;1&quot;&gt;&lt;Group&gt;&lt;References&gt;&lt;Item&gt;&lt;ID&gt;470&lt;/ID&gt;&lt;UID&gt;{9B2F9548-EBDB-4641-A23D-10038ABB9C30}&lt;/UID&gt;&lt;Title&gt;An indicator framework for assessing livelihood resilience in the context of social–ecological dynamics&lt;/Title&gt;&lt;Template&gt;Journal Article&lt;/Template&gt;&lt;Star&gt;0&lt;/Star&gt;&lt;Tag&gt;0&lt;/Tag&gt;&lt;Author&gt;Speranza, Chinwe Ifejika; Wiesmann, Urs; Rist, Stephan&lt;/Author&gt;&lt;Year&gt;2014&lt;/Year&gt;&lt;Details&gt;&lt;_accessed&gt;64573624&lt;/_accessed&gt;&lt;_accession_num&gt;WOS:000343839100010&lt;/_accession_num&gt;&lt;_collection_scope&gt;SCI;SCIE;SSCI&lt;/_collection_scope&gt;&lt;_created&gt;64060478&lt;/_created&gt;&lt;_date&gt;1990-09-01&lt;/_date&gt;&lt;_date_display&gt;Sep&lt;/_date_display&gt;&lt;_db_updated&gt;CrossRef&lt;/_db_updated&gt;&lt;_doi&gt;10.1016/j.gloenvcha.2014.06.005&lt;/_doi&gt;&lt;_image&gt;internal-pdf://1898458805/1-s2.0-S0959378014001101-main.pdf&lt;/_image&gt;&lt;_impact_factor&gt;  11.160&lt;/_impact_factor&gt;&lt;_isbn&gt;09593780&lt;/_isbn&gt;&lt;_journal&gt;Global Environmental Change&lt;/_journal&gt;&lt;_label&gt;从缓冲能力、自组织能力和学习能力构建生计恢复力分析框架，最为经典的框架&lt;/_label&gt;&lt;_modified&gt;64586500&lt;/_modified&gt;&lt;_pages&gt;109-119&lt;/_pages&gt;&lt;_short_title&gt;An indicator framework for assessing livelihood resilience in the context of social-ecological dynamics&lt;/_short_title&gt;&lt;_tertiary_title&gt;Global Environmental Change&lt;/_tertiary_title&gt;&lt;_url&gt;https://linkinghub.elsevier.com/retrieve/pii/S0959378014001101_x000d__x000a_https://api.elsevier.com/content/article/PII:S0959378014001101?httpAccept=text/plain&lt;/_url&gt;&lt;_volume&gt;28&lt;/_volume&gt;&lt;/Details&gt;&lt;Extra&gt;&lt;DBUID&gt;{BD8F6675-5345-4625-BBA4-8897723D22F5}&lt;/DBUID&gt;&lt;/Extra&gt;&lt;/Item&gt;&lt;/References&gt;&lt;/Group&gt;&lt;/Citation&gt;_x000a_"/>
    <w:docVar w:name="NE.Ref{569A76C8-CC6D-4C92-A051-527BE7020398}" w:val=" ADDIN NE.Ref.{569A76C8-CC6D-4C92-A051-527BE7020398}&lt;Citation SecTmpl=&quot;1&quot;&gt;&lt;Group&gt;&lt;References&gt;&lt;Item&gt;&lt;ID&gt;347&lt;/ID&gt;&lt;UID&gt;{47329480-2524-4E15-8D2B-3CBD78DF2235}&lt;/UID&gt;&lt;Title&gt;Capitals and capabilities: A framework for analyzing peasant viability, rural livelihoods and poverty&lt;/Title&gt;&lt;Template&gt;Journal Article&lt;/Template&gt;&lt;Star&gt;0&lt;/Star&gt;&lt;Tag&gt;0&lt;/Tag&gt;&lt;Author&gt;Bebbington, A&lt;/Author&gt;&lt;Year&gt;1999&lt;/Year&gt;&lt;Details&gt;&lt;_accession_num&gt;WOS:000083906300001&lt;/_accession_num&gt;&lt;_collection_scope&gt;SSCI&lt;/_collection_scope&gt;&lt;_created&gt;64060478&lt;/_created&gt;&lt;_date&gt;1990-12-01&lt;/_date&gt;&lt;_date_display&gt;Dec&lt;/_date_display&gt;&lt;_doi&gt;10.1016/s0305-750x(99)00104-7&lt;/_doi&gt;&lt;_impact_factor&gt;   6.678&lt;/_impact_factor&gt;&lt;_isbn&gt;0305-750X&lt;/_isbn&gt;&lt;_issue&gt;12&lt;/_issue&gt;&lt;_journal&gt;World Development&lt;/_journal&gt;&lt;_modified&gt;64594249&lt;/_modified&gt;&lt;_pages&gt;2021-2044&lt;/_pages&gt;&lt;_short_title&gt;Capitals and capabilities: A framework for analyzing peasant viability, rural livelihoods and poverty&lt;/_short_title&gt;&lt;_social_category&gt;经济学(1)&lt;/_social_category&gt;&lt;_url&gt;&amp;lt;Go to ISI&amp;gt;://WOS:000083906300001&lt;/_url&gt;&lt;_volume&gt;27&lt;/_volume&gt;&lt;/Details&gt;&lt;Extra&gt;&lt;DBUID&gt;{BD8F6675-5345-4625-BBA4-8897723D22F5}&lt;/DBUID&gt;&lt;/Extra&gt;&lt;/Item&gt;&lt;/References&gt;&lt;/Group&gt;&lt;/Citation&gt;_x000a_"/>
    <w:docVar w:name="NE.Ref{56E5062E-9422-4331-B4FF-CA209008C3D0}" w:val=" ADDIN NE.Ref.{56E5062E-9422-4331-B4FF-CA209008C3D0}&lt;Citation SecTmpl=&quot;1&quot;&gt;&lt;Group&gt;&lt;References&gt;&lt;Item&gt;&lt;ID&gt;1414&lt;/ID&gt;&lt;UID&gt;{E26D3EE8-02F3-4A00-948F-9F83623CB805}&lt;/UID&gt;&lt;Title&gt;Rethinking livelihood resilience after development-induced displacement and resettlement: a case study of Qianping Reservoir&lt;/Title&gt;&lt;Template&gt;Journal Article&lt;/Template&gt;&lt;Star&gt;0&lt;/Star&gt;&lt;Tag&gt;0&lt;/Tag&gt;&lt;Author&gt;Gong, Y C; Yao, K W; Zhang, R L; Liu, B W; Wang, F L&lt;/Author&gt;&lt;Year&gt;2021&lt;/Year&gt;&lt;Details&gt;&lt;_alternate_title&gt;INTERNATIONAL JOURNAL OF WATER RESOURCES DEVELOPMENT&lt;/_alternate_title&gt;&lt;_collection_scope&gt;SCIE;EI&lt;/_collection_scope&gt;&lt;_created&gt;64422310&lt;/_created&gt;&lt;_date&gt;2021-01-01&lt;/_date&gt;&lt;_date_display&gt;2021&lt;/_date_display&gt;&lt;_doi&gt;10.1080/07900627.2020.1790340&lt;/_doi&gt;&lt;_impact_factor&gt;   3.776&lt;/_impact_factor&gt;&lt;_isbn&gt;0790-0627&lt;/_isbn&gt;&lt;_issue&gt;5&lt;/_issue&gt;&lt;_journal&gt;INTERNATIONAL JOURNAL OF WATER RESOURCES DEVELOPMENT&lt;/_journal&gt;&lt;_modified&gt;64618177&lt;/_modified&gt;&lt;_pages&gt;841-864&lt;/_pages&gt;&lt;_social_category&gt;环境科学与生态学(2)&lt;/_social_category&gt;&lt;_volume&gt;37&lt;/_volume&gt;&lt;/Details&gt;&lt;Extra&gt;&lt;DBUID&gt;{BD8F6675-5345-4625-BBA4-8897723D22F5}&lt;/DBUID&gt;&lt;/Extra&gt;&lt;/Item&gt;&lt;/References&gt;&lt;/Group&gt;&lt;/Citation&gt;_x000a_"/>
    <w:docVar w:name="NE.Ref{5807DE78-76DC-4CF5-AF9A-91AE77185001}" w:val=" ADDIN NE.Ref.{5807DE78-76DC-4CF5-AF9A-91AE77185001}&lt;Citation&gt;&lt;Group&gt;&lt;References&gt;&lt;Item&gt;&lt;ID&gt;350&lt;/ID&gt;&lt;UID&gt;{FD367F82-82D7-4BB2-9375-47CDF7E1EEFB}&lt;/UID&gt;&lt;Title&gt;Sustainable rural livelihoods: practical concepts for the 21st century&lt;/Title&gt;&lt;Template&gt;Journal Article&lt;/Template&gt;&lt;Star&gt;0&lt;/Star&gt;&lt;Tag&gt;0&lt;/Tag&gt;&lt;Author&gt;Chambers, R; Conway, G&lt;/Author&gt;&lt;Year&gt;1992&lt;/Year&gt;&lt;Details&gt;&lt;_accessed&gt;64062004&lt;/_accessed&gt;&lt;_created&gt;64060478&lt;/_created&gt;&lt;_journal&gt;IDS Discussion Paper No. 296. Brighton, Institute of Development Studies&lt;/_journal&gt;&lt;_modified&gt;64062004&lt;/_modified&gt;&lt;_pages&gt;21-25&lt;/_pages&gt;&lt;_short_title&gt;Sustainable rural livelihoods: practical concepts for the 21st century&lt;/_short_title&gt;&lt;_volume&gt;296&lt;/_volume&gt;&lt;/Details&gt;&lt;Extra&gt;&lt;DBUID&gt;{BD8F6675-5345-4625-BBA4-8897723D22F5}&lt;/DBUID&gt;&lt;/Extra&gt;&lt;/Item&gt;&lt;/References&gt;&lt;/Group&gt;&lt;/Citation&gt;_x000a_"/>
    <w:docVar w:name="NE.Ref{581481EC-1FF9-446C-9BD7-F4AF84E41F7F}" w:val=" ADDIN NE.Ref.{581481EC-1FF9-446C-9BD7-F4AF84E41F7F}&lt;Citation SecTmpl=&quot;1&quot;&gt;&lt;Group&gt;&lt;References&gt;&lt;Item&gt;&lt;ID&gt;1667&lt;/ID&gt;&lt;UID&gt;{5DD2398E-B464-4125-85DD-C588C38E4197}&lt;/UID&gt;&lt;Title&gt;A Review of the Elements of Human Well-Being with an Emphasis on the Contribution of Ecosystem Services&lt;/Title&gt;&lt;Template&gt;Journal Article&lt;/Template&gt;&lt;Star&gt;0&lt;/Star&gt;&lt;Tag&gt;0&lt;/Tag&gt;&lt;Author&gt;Summers, J K; Smith, L M; Case, J L; Linthurst, R A&lt;/Author&gt;&lt;Year&gt;2012&lt;/Year&gt;&lt;Details&gt;&lt;_alternate_title&gt;AMBIO&lt;/_alternate_title&gt;&lt;_collection_scope&gt;SCIE&lt;/_collection_scope&gt;&lt;_created&gt;64594343&lt;/_created&gt;&lt;_date&gt;2012-01-01&lt;/_date&gt;&lt;_date_display&gt;2012&lt;/_date_display&gt;&lt;_doi&gt;10.1007/s13280-012-0256-7&lt;/_doi&gt;&lt;_impact_factor&gt;   6.943&lt;/_impact_factor&gt;&lt;_isbn&gt;0044-7447&lt;/_isbn&gt;&lt;_issue&gt;4&lt;/_issue&gt;&lt;_journal&gt;AMBIO&lt;/_journal&gt;&lt;_modified&gt;64594343&lt;/_modified&gt;&lt;_pages&gt;327-340&lt;/_pages&gt;&lt;_social_category&gt;环境科学与生态学(2)&lt;/_social_category&gt;&lt;_volume&gt;41&lt;/_volume&gt;&lt;/Details&gt;&lt;Extra&gt;&lt;DBUID&gt;{BD8F6675-5345-4625-BBA4-8897723D22F5}&lt;/DBUID&gt;&lt;/Extra&gt;&lt;/Item&gt;&lt;/References&gt;&lt;/Group&gt;&lt;/Citation&gt;_x000a_"/>
    <w:docVar w:name="NE.Ref{5BF2D87E-D79F-44CF-B3DC-F754DED2FC92}" w:val=" ADDIN NE.Ref.{5BF2D87E-D79F-44CF-B3DC-F754DED2FC92}&lt;Citation&gt;&lt;Group&gt;&lt;References&gt;&lt;Item&gt;&lt;ID&gt;1464&lt;/ID&gt;&lt;UID&gt;{F563AA7C-ABD5-41B9-8B6F-F0A9F0989F36}&lt;/UID&gt;&lt;Title&gt;田园综合体建设对农户生计恢复力的影响——以重庆市忠县为例&lt;/Title&gt;&lt;Template&gt;Journal Article&lt;/Template&gt;&lt;Star&gt;0&lt;/Star&gt;&lt;Tag&gt;0&lt;/Tag&gt;&lt;Author&gt;郭蕾蕾; 尹珂&lt;/Author&gt;&lt;Year&gt;2020&lt;/Year&gt;&lt;Details&gt;&lt;_author_adr&gt;重庆师范大学地理与旅游学院;&lt;/_author_adr&gt;&lt;_collection_scope&gt;CSCD;PKU&lt;/_collection_scope&gt;&lt;_created&gt;64422326&lt;/_created&gt;&lt;_db_provider&gt;CNKI&lt;/_db_provider&gt;&lt;_isbn&gt;1005-9121&lt;/_isbn&gt;&lt;_issue&gt;09&lt;/_issue&gt;&lt;_journal&gt;中国农业资源与区划&lt;/_journal&gt;&lt;_keywords&gt;田园综合体;生计恢复力;农户;影响因素;障碍度模型&lt;/_keywords&gt;&lt;_modified&gt;64664251&lt;/_modified&gt;&lt;_pages&gt;136-145&lt;/_pages&gt;&lt;_url&gt;https://bar.cnki.net/bar/download/order?id=jBGETXBNdPImvx70aLAuJPYxPoFw%2bp%2bi0fIiSrcN6lWwQAYBdtNJxcY2sc5xTPX7FV%2b%2fuL8qdq3fK6G18C2CLUGxVkq8YHJNz4jV3WhknTrl8E%2bCUVp5GtDTYhVF2dNUoJeGx62Ssygg68TNXJ%2b5JrigejDAar8Xqw%2f6WR22OFXUdUGh4At8VBYSvh%2fCUD5aaOpJfYK%2bADtn1wboPrJsIBbrt8ryXX8jnVXryit1EEz5LXYX1qwFXwOc1HUZT%2bTB _x000d__x000a_&lt;/_url&gt;&lt;_volume&gt;41&lt;/_volume&gt;&lt;_translated_author&gt;Guo, Leilei;Yin, Ke&lt;/_translated_author&gt;&lt;/Details&gt;&lt;Extra&gt;&lt;DBUID&gt;{BD8F6675-5345-4625-BBA4-8897723D22F5}&lt;/DBUID&gt;&lt;/Extra&gt;&lt;/Item&gt;&lt;/References&gt;&lt;/Group&gt;&lt;Group&gt;&lt;References&gt;&lt;Item&gt;&lt;ID&gt;1044&lt;/ID&gt;&lt;UID&gt;{21A65CA0-076A-409B-9F37-4719A4137DBD}&lt;/UID&gt;&lt;Title&gt;农户生计策略选择与生计恢复力评估——基于三峡田园综合体农户调查数据的分析&lt;/Title&gt;&lt;Template&gt;Journal Article&lt;/Template&gt;&lt;Star&gt;0&lt;/Star&gt;&lt;Tag&gt;0&lt;/Tag&gt;&lt;Author&gt;郭蕾蕾&lt;/Author&gt;&lt;Year&gt;2021&lt;/Year&gt;&lt;Details&gt;&lt;_accessed&gt;64573461&lt;/_accessed&gt;&lt;_author_adr&gt;重庆师范大学地理与旅游学院;&lt;/_author_adr&gt;&lt;_created&gt;64396393&lt;/_created&gt;&lt;_db_provider&gt;CNKI&lt;/_db_provider&gt;&lt;_isbn&gt;1000-6850&lt;/_isbn&gt;&lt;_issue&gt;08&lt;/_issue&gt;&lt;_journal&gt;中国农学通报&lt;/_journal&gt;&lt;_keywords&gt;生计恢复力;;生计策略;;农户;;田园综合体&lt;/_keywords&gt;&lt;_modified&gt;64573461&lt;/_modified&gt;&lt;_pages&gt;151-158&lt;/_pages&gt;&lt;_url&gt;https://bar.cnki.net/bar/download/order?id=jBGETXBNdPImvx70aLAuJPYxPoFw%2bp%2bi0fIiSrcN6lWe8gY%2fb1U4cydqvKi9xbCffIposeNU2ImrJAJ3lANen0GxVkq8YHJNz4jV3WhknTrl8E%2bCUVp5GtDTYhVF2dNUoJeGx62Ssygg68TNXJ%2b5JrigejDAar8Xqw%2f6WR22OFXUdUGh4At8VBYSvh%2fCUD5aXOA9AEr8%2fL9RWMJs6HW68%2bPyk0KAUx%2bvRb2nBqtXw1r5LXYX1qwFXwOc1HUZT%2bTB _x000d__x000a_&lt;/_url&gt;&lt;_volume&gt;37&lt;/_volume&gt;&lt;_translated_author&gt;Guo, Leilei&lt;/_translated_author&gt;&lt;/Details&gt;&lt;Extra&gt;&lt;DBUID&gt;{BD8F6675-5345-4625-BBA4-8897723D22F5}&lt;/DBUID&gt;&lt;/Extra&gt;&lt;/Item&gt;&lt;/References&gt;&lt;/Group&gt;&lt;/Citation&gt;_x000a_"/>
    <w:docVar w:name="NE.Ref{5CD6772E-504A-47EC-BB1C-DAECD03BB6AF}" w:val=" ADDIN NE.Ref.{5CD6772E-504A-47EC-BB1C-DAECD03BB6AF}&lt;Citation&gt;&lt;Group&gt;&lt;References&gt;&lt;Item&gt;&lt;ID&gt;1527&lt;/ID&gt;&lt;UID&gt;{BB7F0BEC-36F8-40F3-843E-62B2342F7CC2}&lt;/UID&gt;&lt;Title&gt;Spatial identification of multi-dimensional poverty in rural China: A perspective of nighttime-light remote sensing data&lt;/Title&gt;&lt;Template&gt;Journal Article&lt;/Template&gt;&lt;Star&gt;0&lt;/Star&gt;&lt;Tag&gt;0&lt;/Tag&gt;&lt;Author&gt;Pan, Jinghu; Hu, Yanxing&lt;/Author&gt;&lt;Year&gt;2018&lt;/Year&gt;&lt;Details&gt;&lt;_accessed&gt;64529024&lt;/_accessed&gt;&lt;_alternate_title&gt;JOURNAL OF THE INDIAN SOCIETY OF REMOTE SENSING&lt;/_alternate_title&gt;&lt;_collection_scope&gt;SCIE&lt;/_collection_scope&gt;&lt;_created&gt;64528821&lt;/_created&gt;&lt;_date&gt;2018-01-01&lt;/_date&gt;&lt;_date_display&gt;2018&lt;/_date_display&gt;&lt;_doi&gt;10.1007/s12524-018-0772-4&lt;/_doi&gt;&lt;_impact_factor&gt;   1.563&lt;/_impact_factor&gt;&lt;_isbn&gt;0255-660X&lt;/_isbn&gt;&lt;_issue&gt;7&lt;/_issue&gt;&lt;_journal&gt;JOURNAL OF THE INDIAN SOCIETY OF REMOTE SENSING&lt;/_journal&gt;&lt;_modified&gt;64529025&lt;/_modified&gt;&lt;_pages&gt;1093-1111&lt;/_pages&gt;&lt;_volume&gt;46&lt;/_volume&gt;&lt;/Details&gt;&lt;Extra&gt;&lt;DBUID&gt;{BD8F6675-5345-4625-BBA4-8897723D22F5}&lt;/DBUID&gt;&lt;/Extra&gt;&lt;/Item&gt;&lt;/References&gt;&lt;/Group&gt;&lt;Group&gt;&lt;References&gt;&lt;Item&gt;&lt;ID&gt;1529&lt;/ID&gt;&lt;UID&gt;{FBF010C1-A900-4262-8723-2FDA5099E378}&lt;/UID&gt;&lt;Title&gt;生态脆弱区农户生计恢复力与多维贫困脱钩关系时空演变规律——以陕西省佳县为例&lt;/Title&gt;&lt;Template&gt;Journal Article&lt;/Template&gt;&lt;Star&gt;0&lt;/Star&gt;&lt;Tag&gt;0&lt;/Tag&gt;&lt;Author&gt;叶文丽; 王银; 闵典; 杨新军&lt;/Author&gt;&lt;Year&gt;2021&lt;/Year&gt;&lt;Details&gt;&lt;_author_adr&gt;西北大学城市与环境学院;陕西省地表系统与环境承载力重点实验室;&lt;/_author_adr&gt;&lt;_collection_scope&gt;CSCD;CSSCI-C;PKU&lt;/_collection_scope&gt;&lt;_created&gt;64528827&lt;/_created&gt;&lt;_db_provider&gt;CNKI&lt;/_db_provider&gt;&lt;_isbn&gt;1003-7578&lt;/_isbn&gt;&lt;_issue&gt;10&lt;/_issue&gt;&lt;_journal&gt;干旱区资源与环境&lt;/_journal&gt;&lt;_keywords&gt;生计恢复力;;多维贫困;;脱钩模型;;佳县&lt;/_keywords&gt;&lt;_modified&gt;64528828&lt;/_modified&gt;&lt;_pages&gt;7-15&lt;/_pages&gt;&lt;_url&gt;https://bar.cnki.net/bar/download/order?id=jBGETXBNdPImvx70aLAuJPYxPoFw%2bp%2bi0fIiSrcN6lXbN%2bojoM0qGl84XYGimodw9OEo97ZCiBA9x8JL1XYq2UGxVkq8YHJNz4jV3WhknTrl8E%2bCUVp5GtDTYhVF2dNUoJeGx62Ssygg68TNXJ%2b5JrigejDAar8Xqw%2f6WR22OFXUdUGh4At8VBYSvh%2fCUD5as1EAZwY1CuF%2bAm5wMhzAUl3AzXvBD%2fXxQB9W306NGNr5LXYX1qwFXwOc1HUZT%2bTB _x000d__x000a_&lt;/_url&gt;&lt;_volume&gt;35&lt;/_volume&gt;&lt;_translated_author&gt;Ye, Wenli;Wang, Yin;Min, Dian;Yang, Xinjun&lt;/_translated_author&gt;&lt;/Details&gt;&lt;Extra&gt;&lt;DBUID&gt;{BD8F6675-5345-4625-BBA4-8897723D22F5}&lt;/DBUID&gt;&lt;/Extra&gt;&lt;/Item&gt;&lt;/References&gt;&lt;/Group&gt;&lt;/Citation&gt;_x000a_"/>
    <w:docVar w:name="NE.Ref{5E758E96-8186-4EDC-AA6C-16DE64CAD293}" w:val=" ADDIN NE.Ref.{5E758E96-8186-4EDC-AA6C-16DE64CAD293}&lt;Citation&gt;&lt;Group&gt;&lt;References&gt;&lt;Item&gt;&lt;ID&gt;374&lt;/ID&gt;&lt;UID&gt;{54367F97-098C-4EC0-BCFE-985271AF6FFF}&lt;/UID&gt;&lt;Title&gt;Famines and Poverty&lt;/Title&gt;&lt;Template&gt;Book&lt;/Template&gt;&lt;Star&gt;0&lt;/Star&gt;&lt;Tag&gt;0&lt;/Tag&gt;&lt;Author&gt;Sen, A&lt;/Author&gt;&lt;Year&gt;1981&lt;/Year&gt;&lt;Details&gt;&lt;_accessed&gt;64433496&lt;/_accessed&gt;&lt;_created&gt;64060478&lt;/_created&gt;&lt;_modified&gt;64060789&lt;/_modified&gt;&lt;_place_published&gt;London&lt;/_place_published&gt;&lt;_publisher&gt;Oxford University Press&lt;/_publisher&gt;&lt;_short_title&gt;Famines and Poverty&lt;/_short_title&gt;&lt;/Details&gt;&lt;Extra&gt;&lt;DBUID&gt;{BD8F6675-5345-4625-BBA4-8897723D22F5}&lt;/DBUID&gt;&lt;/Extra&gt;&lt;/Item&gt;&lt;/References&gt;&lt;/Group&gt;&lt;/Citation&gt;_x000a_"/>
    <w:docVar w:name="NE.Ref{5FE0CEAB-8027-4C20-B11C-11D67558A6E5}" w:val=" ADDIN NE.Ref.{5FE0CEAB-8027-4C20-B11C-11D67558A6E5}&lt;Citation SecTmpl=&quot;1&quot;&gt;&lt;Group&gt;&lt;References&gt;&lt;Item&gt;&lt;ID&gt;467&lt;/ID&gt;&lt;UID&gt;{4646721B-2F19-4D1B-A498-EF5E74F4033A}&lt;/UID&gt;&lt;Title&gt;农户生计多样性弹性测度研究——以陕西省安康市为例&lt;/Title&gt;&lt;Template&gt;Journal Article&lt;/Template&gt;&lt;Star&gt;0&lt;/Star&gt;&lt;Tag&gt;0&lt;/Tag&gt;&lt;Author&gt;刘永茂; 李树茁&lt;/Author&gt;&lt;Year&gt;2017&lt;/Year&gt;&lt;Details&gt;&lt;_accessed&gt;64060483&lt;/_accessed&gt;&lt;_author_adr&gt;西安交通大学管理学院;西安交通大学人口与发展研究所;&lt;/_author_adr&gt;&lt;_author_aff&gt;西安交通大学管理学院;西安交通大学人口与发展研究所;&lt;/_author_aff&gt;&lt;_call_num&gt;11-3868/N&lt;/_call_num&gt;&lt;_collection_scope&gt;CSCD;CSSCI-C;PKU&lt;/_collection_scope&gt;&lt;_created&gt;64060478&lt;/_created&gt;&lt;_date&gt;61686720&lt;/_date&gt;&lt;_db_updated&gt;CNKI - Reference&lt;/_db_updated&gt;&lt;_image&gt;internal-pdf://1772716652/农户生计多样性弹性测度研究_以陕西省安康市为例_刘永茂.pdf&lt;/_image&gt;&lt;_isbn&gt;1007-7588&lt;/_isbn&gt;&lt;_issue&gt;04&lt;/_issue&gt;&lt;_journal&gt;资源科学&lt;/_journal&gt;&lt;_keywords&gt;生计多样性;弹性;战略;测度;农户;陕西省安康市&lt;/_keywords&gt;&lt;_modified&gt;64664263&lt;/_modified&gt;&lt;_pages&gt;766-781&lt;/_pages&gt;&lt;_short_title&gt;农户生计多样性弹性测度研究——以陕西省安康市为例&lt;/_short_title&gt;&lt;_url&gt;https://kns.cnki.net/kcms/detail/detail.aspx?FileName=ZRZY201704017&amp;amp;DbName=CJFQ2017 _x000d__x000a_https://bar.cnki.net/bar/download/order?id=jBGETXBNdPImvx70aLAuJPYxPoFw%2bp%2bi0fIiSrcN6lWvlx%2b20heDzrF0w1TrPcaiRSIKUaJzJKUPX09ooTadl1aDlGRGqfvrZs8WIjNZTiDl8E%2bCUVp5GtDTYhVF2dNUoJeGx62Ssygg68TNXJ%2b5JrigejDAar8Xqw%2f6WR22OFXUdUGh4At8VBYSvh%2fCUD5azixEoLcM%2bKskpno0PiCPKx05HpuPZzlK20fRUMAauHD5LXYX1qwFXwOc1HUZT%2bTB _x000d__x000a_&lt;/_url&gt;&lt;_volume&gt;39&lt;/_volume&gt;&lt;_translated_author&gt;Liu, Yongmao;Li, Shuzhuo&lt;/_translated_author&gt;&lt;/Details&gt;&lt;Extra&gt;&lt;DBUID&gt;{BD8F6675-5345-4625-BBA4-8897723D22F5}&lt;/DBUID&gt;&lt;/Extra&gt;&lt;/Item&gt;&lt;/References&gt;&lt;/Group&gt;&lt;/Citation&gt;_x000a_"/>
    <w:docVar w:name="NE.Ref{6159DF2B-8B6E-4F1B-9A36-48FA453D6A6B}" w:val=" ADDIN NE.Ref.{6159DF2B-8B6E-4F1B-9A36-48FA453D6A6B}&lt;Citation&gt;&lt;Group&gt;&lt;References&gt;&lt;Item&gt;&lt;ID&gt;486&lt;/ID&gt;&lt;UID&gt;{73227348-DE99-4E45-A4EF-D9595E59B8AE}&lt;/UID&gt;&lt;Title&gt;Understanding farmers&amp;apos; perceptions and risk responses to climate change in China&lt;/Title&gt;&lt;Template&gt;Journal Article&lt;/Template&gt;&lt;Star&gt;0&lt;/Star&gt;&lt;Tag&gt;0&lt;/Tag&gt;&lt;Author&gt;Wang, Y J; Chen, X H&lt;/Author&gt;&lt;Year&gt;2015&lt;/Year&gt;&lt;Details&gt;&lt;_accessed&gt;64529026&lt;/_accessed&gt;&lt;_accession_num&gt;WOS:000409646100001&lt;/_accession_num&gt;&lt;_created&gt;64060478&lt;/_created&gt;&lt;_date&gt;1990-04-01&lt;/_date&gt;&lt;_date_display&gt;Apr&lt;/_date_display&gt;&lt;_doi&gt;10.15302/j-fem-2015050&lt;/_doi&gt;&lt;_image&gt;internal-pdf://2764451869/Understanding Farmers&amp;apos; Perceptions and Risk Re.pdf&lt;/_image&gt;&lt;_isbn&gt;2095-7513&lt;/_isbn&gt;&lt;_issue&gt;3&lt;/_issue&gt;&lt;_journal&gt;Frontiers of Engineering Management&lt;/_journal&gt;&lt;_modified&gt;64529027&lt;/_modified&gt;&lt;_pages&gt;201-210&lt;/_pages&gt;&lt;_short_title&gt;Understanding Farmers&amp;apos; Perceptions and Risk Responses to Climate Change in China&lt;/_short_title&gt;&lt;_url&gt;&amp;lt;Go to ISI&amp;gt;://WOS:000409646100001&lt;/_url&gt;&lt;_volume&gt;2&lt;/_volume&gt;&lt;/Details&gt;&lt;Extra&gt;&lt;DBUID&gt;{BD8F6675-5345-4625-BBA4-8897723D22F5}&lt;/DBUID&gt;&lt;/Extra&gt;&lt;/Item&gt;&lt;/References&gt;&lt;/Group&gt;&lt;Group&gt;&lt;References&gt;&lt;Item&gt;&lt;ID&gt;476&lt;/ID&gt;&lt;UID&gt;{7EE9077C-90E7-4B66-8B36-A5B32C179A82}&lt;/UID&gt;&lt;Title&gt;Do farmers care about climate change? Evidence from five major grain producing areas of China&lt;/Title&gt;&lt;Template&gt;Journal Article&lt;/Template&gt;&lt;Star&gt;0&lt;/Star&gt;&lt;Tag&gt;0&lt;/Tag&gt;&lt;Author&gt;Song, Chun Xiao; Liu, Rui Feng; Oxley, Les; Ma, Heng Yun&lt;/Author&gt;&lt;Year&gt;2019&lt;/Year&gt;&lt;Details&gt;&lt;_collection_scope&gt;SCIE;CSCD&lt;/_collection_scope&gt;&lt;_created&gt;64060478&lt;/_created&gt;&lt;_date&gt;2019-01-01&lt;/_date&gt;&lt;_date_display&gt;2019/06/01/&lt;/_date_display&gt;&lt;_doi&gt;https://doi.org/10.1016/S2095-3119(19)62687-0&lt;/_doi&gt;&lt;_image&gt;internal-pdf://2393094044/1-s2.0-S2095311919626870-main.pdf&lt;/_image&gt;&lt;_impact_factor&gt;   2.848&lt;/_impact_factor&gt;&lt;_isbn&gt;2095-3119&lt;/_isbn&gt;&lt;_issue&gt;6&lt;/_issue&gt;&lt;_journal&gt;Journal of Integrative Agriculture&lt;/_journal&gt;&lt;_keywords&gt;China_x000d__x000a_major grain producing areas_x000d__x000a_determinants_x000d__x000a_climate change perception_x000d__x000a_irrigation areas&lt;/_keywords&gt;&lt;_modified&gt;64060777&lt;/_modified&gt;&lt;_pages&gt;1402-1414&lt;/_pages&gt;&lt;_short_title&gt;Do farmers care about climate change? Evidence from five major grain producing areas of China&lt;/_short_title&gt;&lt;_url&gt;http://www.sciencedirect.com/science/article/pii/S2095311919626870&lt;/_url&gt;&lt;_volume&gt;18&lt;/_volume&gt;&lt;/Details&gt;&lt;Extra&gt;&lt;DBUID&gt;{BD8F6675-5345-4625-BBA4-8897723D22F5}&lt;/DBUID&gt;&lt;/Extra&gt;&lt;/Item&gt;&lt;/References&gt;&lt;/Group&gt;&lt;/Citation&gt;_x000a_"/>
    <w:docVar w:name="NE.Ref{6233D5BB-3455-44A4-A3AC-6E42676BB125}" w:val=" ADDIN NE.Ref.{6233D5BB-3455-44A4-A3AC-6E42676BB125}&lt;Citation&gt;&lt;Group&gt;&lt;References&gt;&lt;Item&gt;&lt;ID&gt;102&lt;/ID&gt;&lt;UID&gt;{D40EF584-AAF8-4E76-8031-2A1C87DF6359}&lt;/UID&gt;&lt;Title&gt;Water and human livelihood resilience: a regional-to-global outlook&lt;/Title&gt;&lt;Template&gt;Journal Article&lt;/Template&gt;&lt;Star&gt;0&lt;/Star&gt;&lt;Tag&gt;0&lt;/Tag&gt;&lt;Author&gt;Falkenmark, Malin&lt;/Author&gt;&lt;Year&gt;2016&lt;/Year&gt;&lt;Details&gt;&lt;_accessed&gt;64051807&lt;/_accessed&gt;&lt;_accession_num&gt;WOS:000395009200001&lt;/_accession_num&gt;&lt;_collection_scope&gt;SCIE;EI&lt;/_collection_scope&gt;&lt;_created&gt;64051806&lt;/_created&gt;&lt;_date&gt;61626240&lt;/_date&gt;&lt;_date_display&gt;Mar&lt;/_date_display&gt;&lt;_db_updated&gt;CrossRef&lt;/_db_updated&gt;&lt;_doi&gt;10.1080/07900627.2016.1190320&lt;/_doi&gt;&lt;_image&gt;internal-pdf://0647050136/Falkenmark-2017-Water-and-human-livelihood-res.pdf&lt;/_image&gt;&lt;_impact_factor&gt;   4.660&lt;/_impact_factor&gt;&lt;_isbn&gt;0790-0627&lt;/_isbn&gt;&lt;_issue&gt;2&lt;/_issue&gt;&lt;_journal&gt;International Journal of Water Resources Development&lt;/_journal&gt;&lt;_modified&gt;64051807&lt;/_modified&gt;&lt;_pages&gt;181-197&lt;/_pages&gt;&lt;_short_title&gt;Water and human livelihood resilience: a regional-to-global outlook&lt;/_short_title&gt;&lt;_tertiary_title&gt;International Journal of Water Resources Development&lt;/_tertiary_title&gt;&lt;_url&gt;https://www.tandfonline.com/doi/full/10.1080/07900627.2016.1190320_x000d__x000a_https://www.tandfonline.com/doi/pdf/10.1080/07900627.2016.1190320&lt;/_url&gt;&lt;_volume&gt;33&lt;/_volume&gt;&lt;/Details&gt;&lt;Extra&gt;&lt;DBUID&gt;{BD8F6675-5345-4625-BBA4-8897723D22F5}&lt;/DBUID&gt;&lt;/Extra&gt;&lt;/Item&gt;&lt;/References&gt;&lt;/Group&gt;&lt;/Citation&gt;_x000a_"/>
    <w:docVar w:name="NE.Ref{623661AA-E145-47D0-AB9A-9508E4F7DDB6}" w:val=" ADDIN NE.Ref.{623661AA-E145-47D0-AB9A-9508E4F7DDB6}&lt;Citation SecTmpl=&quot;1&quot;&gt;&lt;Group&gt;&lt;References&gt;&lt;Item&gt;&lt;ID&gt;361&lt;/ID&gt;&lt;UID&gt;{A242D422-17A7-41F2-936C-6A4AA9ED26FD}&lt;/UID&gt;&lt;Title&gt;Resilience and stability of ecological systems&lt;/Title&gt;&lt;Template&gt;Journal Article&lt;/Template&gt;&lt;Star&gt;0&lt;/Star&gt;&lt;Tag&gt;0&lt;/Tag&gt;&lt;Author&gt;Holling, C S&lt;/Author&gt;&lt;Year&gt;1973&lt;/Year&gt;&lt;Details&gt;&lt;_accessed&gt;64587765&lt;/_accessed&gt;&lt;_created&gt;64060478&lt;/_created&gt;&lt;_issue&gt;1&lt;/_issue&gt;&lt;_journal&gt;Annual Review of Ecology &amp;amp; Systematics&lt;/_journal&gt;&lt;_modified&gt;64587770&lt;/_modified&gt;&lt;_pages&gt;1-23&lt;/_pages&gt;&lt;_short_title&gt;Resilience and Stability of Ecological Systems&lt;/_short_title&gt;&lt;_volume&gt;4&lt;/_volume&gt;&lt;/Details&gt;&lt;Extra&gt;&lt;DBUID&gt;{BD8F6675-5345-4625-BBA4-8897723D22F5}&lt;/DBUID&gt;&lt;/Extra&gt;&lt;/Item&gt;&lt;/References&gt;&lt;/Group&gt;&lt;/Citation&gt;_x000a_"/>
    <w:docVar w:name="NE.Ref{623B2ACE-338F-4DAA-965B-B71E7D66DF0D}" w:val=" ADDIN NE.Ref.{623B2ACE-338F-4DAA-965B-B71E7D66DF0D}&lt;Citation SecTmpl=&quot;1&quot;&gt;&lt;Group&gt;&lt;References&gt;&lt;Item&gt;&lt;ID&gt;350&lt;/ID&gt;&lt;UID&gt;{FD367F82-82D7-4BB2-9375-47CDF7E1EEFB}&lt;/UID&gt;&lt;Title&gt;Sustainable rural livelihoods: practical concepts for the 21st century&lt;/Title&gt;&lt;Template&gt;Journal Article&lt;/Template&gt;&lt;Star&gt;0&lt;/Star&gt;&lt;Tag&gt;0&lt;/Tag&gt;&lt;Author&gt;Chambers, R; Conway, G&lt;/Author&gt;&lt;Year&gt;1992&lt;/Year&gt;&lt;Details&gt;&lt;_accessed&gt;64062004&lt;/_accessed&gt;&lt;_created&gt;64060478&lt;/_created&gt;&lt;_journal&gt;IDS Discussion Paper No. 296. Brighton, Institute of Development Studies&lt;/_journal&gt;&lt;_modified&gt;64062004&lt;/_modified&gt;&lt;_pages&gt;21-25&lt;/_pages&gt;&lt;_short_title&gt;Sustainable rural livelihoods: practical concepts for the 21st century&lt;/_short_title&gt;&lt;_volume&gt;296&lt;/_volume&gt;&lt;/Details&gt;&lt;Extra&gt;&lt;DBUID&gt;{BD8F6675-5345-4625-BBA4-8897723D22F5}&lt;/DBUID&gt;&lt;/Extra&gt;&lt;/Item&gt;&lt;/References&gt;&lt;/Group&gt;&lt;/Citation&gt;_x000a_"/>
    <w:docVar w:name="NE.Ref{63990F65-C090-49AE-8778-E5049419E115}" w:val=" ADDIN NE.Ref.{63990F65-C090-49AE-8778-E5049419E115}&lt;Citation SecTmpl=&quot;1&quot;&gt;&lt;Group&gt;&lt;References&gt;&lt;Item&gt;&lt;ID&gt;68&lt;/ID&gt;&lt;UID&gt;{A383B92D-D5B3-4F62-BF30-8A637FCE4752}&lt;/UID&gt;&lt;Title&gt;Environmental change and the livelihood resilience of coffee farmers in Jamaica: A case study of the Cedar Valley farming region&lt;/Title&gt;&lt;Template&gt;Journal Article&lt;/Template&gt;&lt;Star&gt;0&lt;/Star&gt;&lt;Tag&gt;0&lt;/Tag&gt;&lt;Author&gt;Campbell, Donovan&lt;/Author&gt;&lt;Year&gt;2021&lt;/Year&gt;&lt;Details&gt;&lt;_accessed&gt;64051807&lt;/_accessed&gt;&lt;_accession_num&gt;WOS:000609218200005&lt;/_accession_num&gt;&lt;_collection_scope&gt;SSCI&lt;/_collection_scope&gt;&lt;_created&gt;64051806&lt;/_created&gt;&lt;_date&gt;1990-01-01&lt;/_date&gt;&lt;_date_display&gt;Jan&lt;/_date_display&gt;&lt;_db_updated&gt;CrossRef&lt;/_db_updated&gt;&lt;_doi&gt;10.1016/j.jrurstud.2020.10.027&lt;/_doi&gt;&lt;_image&gt;internal-pdf://1740528900/Environmental change and the livelihood resili.pdf&lt;/_image&gt;&lt;_impact_factor&gt;   5.157&lt;/_impact_factor&gt;&lt;_isbn&gt;07430167&lt;/_isbn&gt;&lt;_journal&gt;Journal of Rural Studies&lt;/_journal&gt;&lt;_modified&gt;64608210&lt;/_modified&gt;&lt;_pages&gt;220-234&lt;/_pages&gt;&lt;_short_title&gt;Environmental change and the livelihood resilience of coffee farmers in Jamaica: A case study of the Cedar Valley farming region&lt;/_short_title&gt;&lt;_social_category&gt;法学(1)&lt;/_social_category&gt;&lt;_tertiary_title&gt;Journal of Rural Studies&lt;/_tertiary_title&gt;&lt;_url&gt;https://linkinghub.elsevier.com/retrieve/pii/S0743016720302588_x000d__x000a_https://api.elsevier.com/content/article/PII:S0743016720302588?httpAccept=text/xml&lt;/_url&gt;&lt;_volume&gt;81&lt;/_volume&gt;&lt;/Details&gt;&lt;Extra&gt;&lt;DBUID&gt;{BD8F6675-5345-4625-BBA4-8897723D22F5}&lt;/DBUID&gt;&lt;/Extra&gt;&lt;/Item&gt;&lt;/References&gt;&lt;/Group&gt;&lt;/Citation&gt;_x000a_"/>
    <w:docVar w:name="NE.Ref{6581388A-C9AC-40A4-AEF6-BE6CC93051AC}" w:val=" ADDIN NE.Ref.{6581388A-C9AC-40A4-AEF6-BE6CC93051AC}&lt;Citation SecTmpl=&quot;1&quot;&gt;&lt;Group&gt;&lt;References&gt;&lt;Item&gt;&lt;ID&gt;999&lt;/ID&gt;&lt;UID&gt;{0190992B-6204-455B-9BDD-EEEA390A102F}&lt;/UID&gt;&lt;Title&gt;Sustainable rural livelihoods: practical concepts for the 21st century&lt;/Title&gt;&lt;Template&gt;Journal Article&lt;/Template&gt;&lt;Star&gt;0&lt;/Star&gt;&lt;Tag&gt;0&lt;/Tag&gt;&lt;Author&gt;Chambers, R; Conway, G&lt;/Author&gt;&lt;Year&gt;1992&lt;/Year&gt;&lt;Details&gt;&lt;_accessed&gt;64292799&lt;/_accessed&gt;&lt;_created&gt;64292799&lt;/_created&gt;&lt;_journal&gt;IDS Discussion Paper No. 296. Brighton, Institute of Development Studies&lt;/_journal&gt;&lt;_label&gt;提出生计恢复力概念，作为可持续生计一部分&lt;/_label&gt;&lt;_modified&gt;64292800&lt;/_modified&gt;&lt;_volume&gt;296&lt;/_volume&gt;&lt;/Details&gt;&lt;Extra&gt;&lt;DBUID&gt;{BD8F6675-5345-4625-BBA4-8897723D22F5}&lt;/DBUID&gt;&lt;/Extra&gt;&lt;/Item&gt;&lt;/References&gt;&lt;/Group&gt;&lt;/Citation&gt;_x000a_"/>
    <w:docVar w:name="NE.Ref{663B6035-0FA0-4595-96F1-5BAF9C3749AD}" w:val=" ADDIN NE.Ref.{663B6035-0FA0-4595-96F1-5BAF9C3749AD}&lt;Citation&gt;&lt;Group&gt;&lt;References&gt;&lt;Item&gt;&lt;ID&gt;374&lt;/ID&gt;&lt;UID&gt;{54367F97-098C-4EC0-BCFE-985271AF6FFF}&lt;/UID&gt;&lt;Title&gt;Famines and Poverty&lt;/Title&gt;&lt;Template&gt;Book&lt;/Template&gt;&lt;Star&gt;0&lt;/Star&gt;&lt;Tag&gt;0&lt;/Tag&gt;&lt;Author&gt;Sen, A&lt;/Author&gt;&lt;Year&gt;1981&lt;/Year&gt;&lt;Details&gt;&lt;_accessed&gt;64528912&lt;/_accessed&gt;&lt;_created&gt;64060478&lt;/_created&gt;&lt;_modified&gt;64060789&lt;/_modified&gt;&lt;_place_published&gt;London&lt;/_place_published&gt;&lt;_publisher&gt;Oxford University Press&lt;/_publisher&gt;&lt;_short_title&gt;Famines and Poverty&lt;/_short_title&gt;&lt;/Details&gt;&lt;Extra&gt;&lt;DBUID&gt;{BD8F6675-5345-4625-BBA4-8897723D22F5}&lt;/DBUID&gt;&lt;/Extra&gt;&lt;/Item&gt;&lt;/References&gt;&lt;/Group&gt;&lt;/Citation&gt;_x000a_"/>
    <w:docVar w:name="NE.Ref{6C51FD25-A2B1-4A94-A1DE-6ECFB4F3D14D}" w:val=" ADDIN NE.Ref.{6C51FD25-A2B1-4A94-A1DE-6ECFB4F3D14D}&lt;Citation&gt;&lt;Group&gt;&lt;References&gt;&lt;Item&gt;&lt;ID&gt;361&lt;/ID&gt;&lt;UID&gt;{A242D422-17A7-41F2-936C-6A4AA9ED26FD}&lt;/UID&gt;&lt;Title&gt;Resilience and stability of ecological systems&lt;/Title&gt;&lt;Template&gt;Journal Article&lt;/Template&gt;&lt;Star&gt;0&lt;/Star&gt;&lt;Tag&gt;0&lt;/Tag&gt;&lt;Author&gt;Holling, C S&lt;/Author&gt;&lt;Year&gt;1973&lt;/Year&gt;&lt;Details&gt;&lt;_accessed&gt;64587765&lt;/_accessed&gt;&lt;_created&gt;64060478&lt;/_created&gt;&lt;_issue&gt;1&lt;/_issue&gt;&lt;_journal&gt;Annual Review of Ecology &amp;amp; Systematics&lt;/_journal&gt;&lt;_modified&gt;64587770&lt;/_modified&gt;&lt;_pages&gt;1-23&lt;/_pages&gt;&lt;_short_title&gt;Resilience and Stability of Ecological Systems&lt;/_short_title&gt;&lt;_volume&gt;4&lt;/_volume&gt;&lt;/Details&gt;&lt;Extra&gt;&lt;DBUID&gt;{BD8F6675-5345-4625-BBA4-8897723D22F5}&lt;/DBUID&gt;&lt;/Extra&gt;&lt;/Item&gt;&lt;/References&gt;&lt;/Group&gt;&lt;Group&gt;&lt;References&gt;&lt;Item&gt;&lt;ID&gt;365&lt;/ID&gt;&lt;UID&gt;{3F84B0C6-F0CA-44A0-BF9C-250BD241EBB3}&lt;/UID&gt;&lt;Title&gt;Resilience and vulnerability: Coastal dynamics or dutch dikes?&lt;/Title&gt;&lt;Template&gt;Journal Article&lt;/Template&gt;&lt;Star&gt;0&lt;/Star&gt;&lt;Tag&gt;0&lt;/Tag&gt;&lt;Author&gt;Klein, Richard J T; Smit, Marion J; Goosen, Hasse; Hulsbergen, Cornelis H&lt;/Author&gt;&lt;Year&gt;1998&lt;/Year&gt;&lt;Details&gt;&lt;_accessed&gt;64529047&lt;/_accessed&gt;&lt;_accession_num&gt;WOS:000077269200002&lt;/_accession_num&gt;&lt;_collection_scope&gt;SSCI&lt;/_collection_scope&gt;&lt;_created&gt;64060478&lt;/_created&gt;&lt;_date&gt;1990-11-01&lt;/_date&gt;&lt;_date_display&gt;Nov&lt;/_date_display&gt;&lt;_db_updated&gt;CrossRef&lt;/_db_updated&gt;&lt;_doi&gt;10.2307/3060615&lt;/_doi&gt;&lt;_impact_factor&gt;   3.384&lt;/_impact_factor&gt;&lt;_isbn&gt;00167398&lt;/_isbn&gt;&lt;_issue&gt;3&lt;/_issue&gt;&lt;_journal&gt;The Geographical Journal&lt;/_journal&gt;&lt;_modified&gt;64632553&lt;/_modified&gt;&lt;_pages&gt;259&lt;/_pages&gt;&lt;_short_title&gt;Resilience and vulnerability: Coastal dynamics or Dutch dikes?&lt;/_short_title&gt;&lt;_tertiary_title&gt;The Geographical Journal&lt;/_tertiary_title&gt;&lt;_url&gt;https://www.jstor.org/stable/3060615?origin=crossref&lt;/_url&gt;&lt;_volume&gt;164&lt;/_volume&gt;&lt;/Details&gt;&lt;Extra&gt;&lt;DBUID&gt;{BD8F6675-5345-4625-BBA4-8897723D22F5}&lt;/DBUID&gt;&lt;/Extra&gt;&lt;/Item&gt;&lt;/References&gt;&lt;/Group&gt;&lt;Group&gt;&lt;References&gt;&lt;Item&gt;&lt;ID&gt;344&lt;/ID&gt;&lt;UID&gt;{6BB4A38F-1E4D-4C77-B42E-C1D473E4D38A}&lt;/UID&gt;&lt;Title&gt;Social and ecological resilience: are they related?&lt;/Title&gt;&lt;Template&gt;Journal Article&lt;/Template&gt;&lt;Star&gt;0&lt;/Star&gt;&lt;Tag&gt;0&lt;/Tag&gt;&lt;Author&gt;Adger, W Neil&lt;/Author&gt;&lt;Year&gt;2000&lt;/Year&gt;&lt;Details&gt;&lt;_accessed&gt;64060479&lt;/_accessed&gt;&lt;_accession_num&gt;WOS:000088806400001&lt;/_accession_num&gt;&lt;_collection_scope&gt;SSCI&lt;/_collection_scope&gt;&lt;_created&gt;64060478&lt;/_created&gt;&lt;_date&gt;1990-09-01&lt;/_date&gt;&lt;_date_display&gt;Sep&lt;/_date_display&gt;&lt;_db_updated&gt;CrossRef&lt;/_db_updated&gt;&lt;_doi&gt;10.1191/030913200701540465&lt;/_doi&gt;&lt;_impact_factor&gt;  10.218&lt;/_impact_factor&gt;&lt;_isbn&gt;0309-1325&lt;/_isbn&gt;&lt;_issue&gt;3&lt;/_issue&gt;&lt;_journal&gt;Progress in Human Geography&lt;/_journal&gt;&lt;_modified&gt;64061955&lt;/_modified&gt;&lt;_pages&gt;347-364&lt;/_pages&gt;&lt;_short_title&gt;Social and ecological resilience: are they related?&lt;/_short_title&gt;&lt;_tertiary_title&gt;Progress in Human Geography&lt;/_tertiary_title&gt;&lt;_url&gt;http://journals.sagepub.com/doi/10.1191/030913200701540465_x000d__x000a_http://journals.sagepub.com/doi/pdf/10.1191/030913200701540465&lt;/_url&gt;&lt;_volume&gt;24&lt;/_volume&gt;&lt;/Details&gt;&lt;Extra&gt;&lt;DBUID&gt;{BD8F6675-5345-4625-BBA4-8897723D22F5}&lt;/DBUID&gt;&lt;/Extra&gt;&lt;/Item&gt;&lt;/References&gt;&lt;/Group&gt;&lt;Group&gt;&lt;References&gt;&lt;Item&gt;&lt;ID&gt;371&lt;/ID&gt;&lt;UID&gt;{EB8EF298-1821-400D-9FFA-7A52542D6028}&lt;/UID&gt;&lt;Title&gt;Panarchy: understanding transformations in human and natural systems&lt;/Title&gt;&lt;Template&gt;Journal Article&lt;/Template&gt;&lt;Star&gt;0&lt;/Star&gt;&lt;Tag&gt;0&lt;/Tag&gt;&lt;Author&gt;Ostrom, Elinor&lt;/Author&gt;&lt;Year&gt;2004&lt;/Year&gt;&lt;Details&gt;&lt;_accessed&gt;64060479&lt;/_accessed&gt;&lt;_accession_num&gt;WOS:000224320600007&lt;/_accession_num&gt;&lt;_collection_scope&gt;SCI;SCIE;SSCI&lt;/_collection_scope&gt;&lt;_created&gt;64060478&lt;/_created&gt;&lt;_date&gt;1990-08-01&lt;/_date&gt;&lt;_date_display&gt;Aug&lt;/_date_display&gt;&lt;_db_updated&gt;CrossRef&lt;/_db_updated&gt;&lt;_doi&gt;10.1016/j.ecolecon.2004.01.010&lt;/_doi&gt;&lt;_impact_factor&gt;   5.389&lt;/_impact_factor&gt;&lt;_isbn&gt;09218009&lt;/_isbn&gt;&lt;_issue&gt;4&lt;/_issue&gt;&lt;_journal&gt;Ecological Economics&lt;/_journal&gt;&lt;_modified&gt;64061135&lt;/_modified&gt;&lt;_pages&gt;488-491&lt;/_pages&gt;&lt;_short_title&gt;Panarchy: understanding transformations in human and natural systems&lt;/_short_title&gt;&lt;_tertiary_title&gt;Ecological Economics&lt;/_tertiary_title&gt;&lt;_url&gt;https://linkinghub.elsevier.com/retrieve/pii/S0921800904000357_x000d__x000a_https://api.elsevier.com/content/article/PII:S0921800904000357?httpAccept=text/xml&lt;/_url&gt;&lt;_volume&gt;49&lt;/_volume&gt;&lt;/Details&gt;&lt;Extra&gt;&lt;DBUID&gt;{BD8F6675-5345-4625-BBA4-8897723D22F5}&lt;/DBUID&gt;&lt;/Extra&gt;&lt;/Item&gt;&lt;/References&gt;&lt;/Group&gt;&lt;Group&gt;&lt;References&gt;&lt;Item&gt;&lt;ID&gt;385&lt;/ID&gt;&lt;UID&gt;{6E71D570-B5FC-4E82-A57C-E0A9FD11837B}&lt;/UID&gt;&lt;Title&gt;Integrating mitigation and adaptation as responses to climate change: a synthesis&lt;/Title&gt;&lt;Template&gt;Journal Article&lt;/Template&gt;&lt;Star&gt;0&lt;/Star&gt;&lt;Tag&gt;0&lt;/Tag&gt;&lt;Author&gt;Wilbanks, T J; Sathaye, J&lt;/Author&gt;&lt;Year&gt;2007&lt;/Year&gt;&lt;Details&gt;&lt;_accessed&gt;64061136&lt;/_accessed&gt;&lt;_created&gt;64060478&lt;/_created&gt;&lt;_issue&gt;5&lt;/_issue&gt;&lt;_journal&gt;Mitigation &amp;amp; Adaptation Strategies for Global Change&lt;/_journal&gt;&lt;_modified&gt;64061136&lt;/_modified&gt;&lt;_pages&gt;957-962&lt;/_pages&gt;&lt;_short_title&gt;Integrating mitigation and adaptation as responses to climate change: a synthesis&lt;/_short_title&gt;&lt;_volume&gt;12&lt;/_volume&gt;&lt;/Details&gt;&lt;Extra&gt;&lt;DBUID&gt;{BD8F6675-5345-4625-BBA4-8897723D22F5}&lt;/DBUID&gt;&lt;/Extra&gt;&lt;/Item&gt;&lt;/References&gt;&lt;/Group&gt;&lt;Group&gt;&lt;References&gt;&lt;Item&gt;&lt;ID&gt;369&lt;/ID&gt;&lt;UID&gt;{2A2FDED6-B880-44F2-9C4D-5322D09D94C4}&lt;/UID&gt;&lt;Title&gt;Multi‐layered social resilience&lt;/Title&gt;&lt;Template&gt;Journal Article&lt;/Template&gt;&lt;Star&gt;0&lt;/Star&gt;&lt;Tag&gt;0&lt;/Tag&gt;&lt;Author&gt;Obrist, Brigit; Pfeiffer, Constanze; Henley, Robert&lt;/Author&gt;&lt;Year&gt;2010&lt;/Year&gt;&lt;Details&gt;&lt;_accessed&gt;64529051&lt;/_accessed&gt;&lt;_accession_num&gt;WOS:000289298100002&lt;/_accession_num&gt;&lt;_collection_scope&gt;SSCI&lt;/_collection_scope&gt;&lt;_created&gt;64060478&lt;/_created&gt;&lt;_date&gt;1990-10-01&lt;/_date&gt;&lt;_date_display&gt;Oct&lt;/_date_display&gt;&lt;_db_updated&gt;CrossRef&lt;/_db_updated&gt;&lt;_doi&gt;10.1177/146499340901000402&lt;/_doi&gt;&lt;_impact_factor&gt;   1.926&lt;/_impact_factor&gt;&lt;_isbn&gt;1464-9934&lt;/_isbn&gt;&lt;_issue&gt;4&lt;/_issue&gt;&lt;_journal&gt;Progress in Development Studies&lt;/_journal&gt;&lt;_modified&gt;64632897&lt;/_modified&gt;&lt;_pages&gt;283-293&lt;/_pages&gt;&lt;_short_title&gt;Multi-layered social resilience: a new approach in mitigation research&lt;/_short_title&gt;&lt;_social_category&gt;法学(4)&lt;/_social_category&gt;&lt;_tertiary_title&gt;Progress in Development Studies&lt;/_tertiary_title&gt;&lt;_url&gt;http://journals.sagepub.com/doi/10.1177/146499340901000402_x000d__x000a_http://journals.sagepub.com/doi/pdf/10.1177/146499340901000402&lt;/_url&gt;&lt;_volume&gt;10&lt;/_volume&gt;&lt;/Details&gt;&lt;Extra&gt;&lt;DBUID&gt;{BD8F6675-5345-4625-BBA4-8897723D22F5}&lt;/DBUID&gt;&lt;/Extra&gt;&lt;/Item&gt;&lt;/References&gt;&lt;/Group&gt;&lt;Group&gt;&lt;References&gt;&lt;Item&gt;&lt;ID&gt;470&lt;/ID&gt;&lt;UID&gt;{9B2F9548-EBDB-4641-A23D-10038ABB9C30}&lt;/UID&gt;&lt;Title&gt;An indicator framework for assessing livelihood resilience in the context of social–ecological dynamics&lt;/Title&gt;&lt;Template&gt;Journal Article&lt;/Template&gt;&lt;Star&gt;0&lt;/Star&gt;&lt;Tag&gt;0&lt;/Tag&gt;&lt;Author&gt;Speranza, Chinwe Ifejika; Wiesmann, Urs; Rist, Stephan&lt;/Author&gt;&lt;Year&gt;2014&lt;/Year&gt;&lt;Details&gt;&lt;_accessed&gt;64573624&lt;/_accessed&gt;&lt;_accession_num&gt;WOS:000343839100010&lt;/_accession_num&gt;&lt;_collection_scope&gt;SCI;SCIE;SSCI&lt;/_collection_scope&gt;&lt;_created&gt;64060478&lt;/_created&gt;&lt;_date&gt;1990-09-01&lt;/_date&gt;&lt;_date_display&gt;Sep&lt;/_date_display&gt;&lt;_db_updated&gt;CrossRef&lt;/_db_updated&gt;&lt;_doi&gt;10.1016/j.gloenvcha.2014.06.005&lt;/_doi&gt;&lt;_image&gt;internal-pdf://1898458805/1-s2.0-S0959378014001101-main.pdf&lt;/_image&gt;&lt;_impact_factor&gt;  11.160&lt;/_impact_factor&gt;&lt;_isbn&gt;09593780&lt;/_isbn&gt;&lt;_journal&gt;Global Environmental Change&lt;/_journal&gt;&lt;_label&gt;从缓冲能力、自组织能力和学习能力构建生计恢复力分析框架，最为经典的框架&lt;/_label&gt;&lt;_modified&gt;64586500&lt;/_modified&gt;&lt;_pages&gt;109-119&lt;/_pages&gt;&lt;_short_title&gt;An indicator framework for assessing livelihood resilience in the context of social-ecological dynamics&lt;/_short_title&gt;&lt;_tertiary_title&gt;Global Environmental Change&lt;/_tertiary_title&gt;&lt;_url&gt;https://linkinghub.elsevier.com/retrieve/pii/S0959378014001101_x000d__x000a_https://api.elsevier.com/content/article/PII:S0959378014001101?httpAccept=text/plain&lt;/_url&gt;&lt;_volume&gt;28&lt;/_volume&gt;&lt;/Details&gt;&lt;Extra&gt;&lt;DBUID&gt;{BD8F6675-5345-4625-BBA4-8897723D22F5}&lt;/DBUID&gt;&lt;/Extra&gt;&lt;/Item&gt;&lt;/References&gt;&lt;/Group&gt;&lt;/Citation&gt;_x000a_"/>
    <w:docVar w:name="NE.Ref{6E50F44E-67F4-43E7-847E-721FA3859C9D}" w:val=" ADDIN NE.Ref.{6E50F44E-67F4-43E7-847E-721FA3859C9D}&lt;Citation SecTmpl=&quot;1&quot;&gt;&lt;Group&gt;&lt;References&gt;&lt;Item&gt;&lt;ID&gt;1662&lt;/ID&gt;&lt;UID&gt;{22E0A116-CDDD-4733-9E48-F67A0009B5B5}&lt;/UID&gt;&lt;Title&gt;Vulnerability&lt;/Title&gt;&lt;Template&gt;Journal Article&lt;/Template&gt;&lt;Star&gt;0&lt;/Star&gt;&lt;Tag&gt;0&lt;/Tag&gt;&lt;Author&gt;Adger, W Neil&lt;/Author&gt;&lt;Year&gt;2006&lt;/Year&gt;&lt;Details&gt;&lt;_alternate_title&gt;GLOBAL ENVIRONMENTAL CHANGE-HUMAN AND POLICY DIMENSIONS&lt;/_alternate_title&gt;&lt;_collection_scope&gt;SSCI;SCIE&lt;/_collection_scope&gt;&lt;_created&gt;64594196&lt;/_created&gt;&lt;_date&gt;2006-01-01&lt;/_date&gt;&lt;_date_display&gt;2006&lt;/_date_display&gt;&lt;_doi&gt;10.1016/j.gloenvcha.2006.02.006&lt;/_doi&gt;&lt;_impact_factor&gt;  11.160&lt;/_impact_factor&gt;&lt;_isbn&gt;0959-3780&lt;/_isbn&gt;&lt;_issue&gt;3&lt;/_issue&gt;&lt;_journal&gt;GLOBAL ENVIRONMENTAL CHANGE-HUMAN AND POLICY DIMENSIONS&lt;/_journal&gt;&lt;_modified&gt;64594196&lt;/_modified&gt;&lt;_pages&gt;268-281&lt;/_pages&gt;&lt;_place_published&gt;Workshop on Vulnerability, Resilience and Adaptation&lt;/_place_published&gt;&lt;_social_category&gt;环境科学与生态学(1)&lt;/_social_category&gt;&lt;_volume&gt;16&lt;/_volume&gt;&lt;/Details&gt;&lt;Extra&gt;&lt;DBUID&gt;{BD8F6675-5345-4625-BBA4-8897723D22F5}&lt;/DBUID&gt;&lt;/Extra&gt;&lt;/Item&gt;&lt;/References&gt;&lt;/Group&gt;&lt;/Citation&gt;_x000a_"/>
    <w:docVar w:name="NE.Ref{6E627558-9863-4245-8F1F-D0DBCC232A9F}" w:val=" ADDIN NE.Ref.{6E627558-9863-4245-8F1F-D0DBCC232A9F}&lt;Citation&gt;&lt;Group&gt;&lt;References&gt;&lt;Item&gt;&lt;ID&gt;1147&lt;/ID&gt;&lt;UID&gt;{6E2B07E9-7C1F-4B0A-8A55-51E5B550E097}&lt;/UID&gt;&lt;Title&gt;Livelihood resilience in pastoral communities: Methodological and field insights from Qinghai-Tibetan Plateau&lt;/Title&gt;&lt;Template&gt;Journal Article&lt;/Template&gt;&lt;Star&gt;0&lt;/Star&gt;&lt;Tag&gt;5&lt;/Tag&gt;&lt;Author&gt;Li, Tong; Cai, Shuohao; Singh, Ranjay K; Cui, Lizhen; Fava, Francesco; Tang, Li; Xu, Zhihong; Li, Congjia; Cui, Xiaoyong; Du, Jianqing; Hao, Yanbin; Liu, Yuexian; Wang, Yanfen&lt;/Author&gt;&lt;Year&gt;2022&lt;/Year&gt;&lt;Details&gt;&lt;_accessed&gt;64647052&lt;/_accessed&gt;&lt;_alternate_title&gt;Science of The Total Environment&lt;/_alternate_title&gt;&lt;_collection_scope&gt;SCI;SCIE;EI&lt;/_collection_scope&gt;&lt;_created&gt;64422289&lt;/_created&gt;&lt;_date&gt;2022-01-01&lt;/_date&gt;&lt;_date_display&gt;2022&lt;/_date_display&gt;&lt;_doi&gt;https://doi.org/10.1016/j.scitotenv.2022.155960&lt;/_doi&gt;&lt;_impact_factor&gt;  10.753&lt;/_impact_factor&gt;&lt;_isbn&gt;0048-9697&lt;/_isbn&gt;&lt;_journal&gt;Science of The Total Environment&lt;/_journal&gt;&lt;_keywords&gt;Stress and change; Livelihood assets; Alpine grassland; Entropy technique; Three River Headwaters Region (TRHR)&lt;/_keywords&gt;&lt;_modified&gt;64644825&lt;/_modified&gt;&lt;_pages&gt;155960&lt;/_pages&gt;&lt;_social_category&gt;环境科学与生态学(2)&lt;/_social_category&gt;&lt;_url&gt;https://www.sciencedirect.com/science/article/pii/S0048969722030571&lt;/_url&gt;&lt;_volume&gt;838&lt;/_volume&gt;&lt;/Details&gt;&lt;Extra&gt;&lt;DBUID&gt;{BD8F6675-5345-4625-BBA4-8897723D22F5}&lt;/DBUID&gt;&lt;/Extra&gt;&lt;/Item&gt;&lt;/References&gt;&lt;/Group&gt;&lt;/Citation&gt;_x000a_"/>
    <w:docVar w:name="NE.Ref{6EB10E60-DD05-4BC8-9625-D16E39686F78}" w:val=" ADDIN NE.Ref.{6EB10E60-DD05-4BC8-9625-D16E39686F78}&lt;Citation SecTmpl=&quot;1&quot;&gt;&lt;Group&gt;&lt;References&gt;&lt;Item&gt;&lt;ID&gt;951&lt;/ID&gt;&lt;UID&gt;{D7F91F7A-D550-4EB8-99B6-29E6F867D31E}&lt;/UID&gt;&lt;Title&gt;Role of social networks in building household livelihood resilience under payments for ecosystem services programs in a poor rural community in China&lt;/Title&gt;&lt;Template&gt;Journal Article&lt;/Template&gt;&lt;Star&gt;0&lt;/Star&gt;&lt;Tag&gt;0&lt;/Tag&gt;&lt;Author&gt;Wang, Y; Zhang, Q; Li, Q R; Wang, J Y; Sannigrahi, S; Bilsborrow, R; Bellingrath-Kimura, S D; Li, J F; Song, C H&lt;/Author&gt;&lt;Year&gt;2021&lt;/Year&gt;&lt;Details&gt;&lt;_accessed&gt;64528909&lt;/_accessed&gt;&lt;_alternate_title&gt;JOURNAL OF RURAL STUDIES&lt;/_alternate_title&gt;&lt;_collection_scope&gt;SSCI&lt;/_collection_scope&gt;&lt;_created&gt;64260842&lt;/_created&gt;&lt;_date&gt;2021-01-01&lt;/_date&gt;&lt;_date_display&gt;2021&lt;/_date_display&gt;&lt;_doi&gt;10.1016/j.jrurstud.2021.05.017&lt;/_doi&gt;&lt;_impact_factor&gt;   5.157&lt;/_impact_factor&gt;&lt;_isbn&gt;0743-0167&lt;/_isbn&gt;&lt;_journal&gt;JOURNAL OF RURAL STUDIES&lt;/_journal&gt;&lt;_modified&gt;64632845&lt;/_modified&gt;&lt;_pages&gt;208-225&lt;/_pages&gt;&lt;_social_category&gt;法学(1)&lt;/_social_category&gt;&lt;_volume&gt;86&lt;/_volume&gt;&lt;/Details&gt;&lt;Extra&gt;&lt;DBUID&gt;{BD8F6675-5345-4625-BBA4-8897723D22F5}&lt;/DBUID&gt;&lt;/Extra&gt;&lt;/Item&gt;&lt;/References&gt;&lt;/Group&gt;&lt;/Citation&gt;_x000a_"/>
    <w:docVar w:name="NE.Ref{6F9B5DA5-74CA-4B0B-8864-D9DDF263D786}" w:val=" ADDIN NE.Ref.{6F9B5DA5-74CA-4B0B-8864-D9DDF263D786}&lt;Citation&gt;&lt;Group&gt;&lt;References&gt;&lt;Item&gt;&lt;ID&gt;391&lt;/ID&gt;&lt;UID&gt;{255341B5-9D28-4B3A-B61E-6EC1E26C1AAF}&lt;/UID&gt;&lt;Title&gt;云南三江并流地区气候变化及其对生态环境的影响&lt;/Title&gt;&lt;Template&gt;Journal Article&lt;/Template&gt;&lt;Star&gt;1&lt;/Star&gt;&lt;Tag&gt;0&lt;/Tag&gt;&lt;Author&gt;郭菊馨; 王自英; 白波; 鲁亚斌&lt;/Author&gt;&lt;Year&gt;2006&lt;/Year&gt;&lt;Details&gt;&lt;_accessed&gt;64060480&lt;/_accessed&gt;&lt;_author_adr&gt;云南省迪庆州气象局,云南省迪庆州气象局,云南省曲靖市气象局,云南省气象台 云南香格里拉674400,云南香格里拉674400,云南曲靖655000,云南昆明650034&lt;/_author_adr&gt;&lt;_author_aff&gt;云南省迪庆州气象局,云南省迪庆州气象局,云南省曲靖市气象局,云南省气象台 云南香格里拉674400,云南香格里拉674400,云南曲靖655000,云南昆明650034&lt;/_author_aff&gt;&lt;_call_num&gt;53-1079/P&lt;/_call_num&gt;&lt;_created&gt;64060478&lt;/_created&gt;&lt;_date&gt;55877760&lt;/_date&gt;&lt;_db_updated&gt;CNKI - Reference&lt;/_db_updated&gt;&lt;_isbn&gt;1001-7852&lt;/_isbn&gt;&lt;_issue&gt;02&lt;/_issue&gt;&lt;_journal&gt;云南地理环境研究&lt;/_journal&gt;&lt;_keywords&gt;气候变化;生态环境;荒漠化&lt;/_keywords&gt;&lt;_modified&gt;64060819&lt;/_modified&gt;&lt;_pages&gt;48-52&lt;/_pages&gt;&lt;_short_title&gt;云南三江并流地区气候变化及其对生态环境的影响&lt;/_short_title&gt;&lt;_url&gt;https://kns.cnki.net/kcms/detail/detail.aspx?FileName=YNDL200602009&amp;amp;DbName=CJFQ2006&lt;/_url&gt;&lt;_translated_author&gt;Guo, Juxin;Wang, Ziying;Bai, Bo;Lu, Yabin&lt;/_translated_author&gt;&lt;/Details&gt;&lt;Extra&gt;&lt;DBUID&gt;{BD8F6675-5345-4625-BBA4-8897723D22F5}&lt;/DBUID&gt;&lt;/Extra&gt;&lt;/Item&gt;&lt;/References&gt;&lt;/Group&gt;&lt;Group&gt;&lt;References&gt;&lt;Item&gt;&lt;ID&gt;397&lt;/ID&gt;&lt;UID&gt;{5009C935-65A6-44E7-9B31-B500E3EA45B3}&lt;/UID&gt;&lt;Title&gt;迪庆州2015年干旱特征分析及其影响&lt;/Title&gt;&lt;Template&gt;Journal Article&lt;/Template&gt;&lt;Star&gt;0&lt;/Star&gt;&lt;Tag&gt;5&lt;/Tag&gt;&lt;Author&gt;李永千; 冯国兵&lt;/Author&gt;&lt;Year&gt;2015&lt;/Year&gt;&lt;Details&gt;&lt;_accessed&gt;64060482&lt;/_accessed&gt;&lt;_author_adr&gt;迪庆州气象局; 迪庆州气象局&lt;/_author_adr&gt;&lt;_author_aff&gt;迪庆州气象局; 迪庆州气象局&lt;/_author_aff&gt;&lt;_created&gt;64060478&lt;/_created&gt;&lt;_db_provider&gt;北京万方数据股份有限公司&lt;/_db_provider&gt;&lt;_db_updated&gt;Wanfangdata&lt;/_db_updated&gt;&lt;_issue&gt;16&lt;/_issue&gt;&lt;_journal&gt;科研&lt;/_journal&gt;&lt;_keywords&gt;干旱; 高温; 影响; 抗旱救灾; 迪庆州&lt;/_keywords&gt;&lt;_language&gt;chi&lt;/_language&gt;&lt;_modified&gt;64060819&lt;/_modified&gt;&lt;_pages&gt;177&lt;/_pages&gt;&lt;_short_title&gt;迪庆州2015年干旱特征分析及其影响&lt;/_short_title&gt;&lt;_url&gt;http://www.wanfangdata.com.cn:443/details/detail.do?_type=perio&amp;amp;id=QKV20152015120700809445&lt;/_url&gt;&lt;_translated_author&gt;Li, Yongqian;Feng, Guobing&lt;/_translated_author&gt;&lt;/Details&gt;&lt;Extra&gt;&lt;DBUID&gt;{BD8F6675-5345-4625-BBA4-8897723D22F5}&lt;/DBUID&gt;&lt;/Extra&gt;&lt;/Item&gt;&lt;/References&gt;&lt;/Group&gt;&lt;Group&gt;&lt;References&gt;&lt;Item&gt;&lt;ID&gt;392&lt;/ID&gt;&lt;UID&gt;{24506A29-50E5-4721-9A3E-B3A119A3F013}&lt;/UID&gt;&lt;Title&gt;迪庆州2009～2013干旱年雨季降水时空分布特征分析&lt;/Title&gt;&lt;Template&gt;Journal Article&lt;/Template&gt;&lt;Star&gt;0&lt;/Star&gt;&lt;Tag&gt;0&lt;/Tag&gt;&lt;Author&gt;和丽云; 尤红; 王自英; 冯国兵; 赵进&lt;/Author&gt;&lt;Year&gt;2017&lt;/Year&gt;&lt;Details&gt;&lt;_accessed&gt;64061972&lt;/_accessed&gt;&lt;_created&gt;64060478&lt;/_created&gt;&lt;_issue&gt;025&lt;/_issue&gt;&lt;_journal&gt;建筑工程技术与设计&lt;/_journal&gt;&lt;_modified&gt;64061972&lt;/_modified&gt;&lt;_pages&gt;3215-3217&lt;/_pages&gt;&lt;_short_title&gt;迪庆州2009～2013干旱年雨季降水时空分布特征分析&lt;/_short_title&gt;&lt;_volume&gt;000&lt;/_volume&gt;&lt;_translated_author&gt;He, Liyun;You, Hong;Wang, Ziying;Feng, Guobing;Zhao, Jin&lt;/_translated_author&gt;&lt;/Details&gt;&lt;Extra&gt;&lt;DBUID&gt;{BD8F6675-5345-4625-BBA4-8897723D22F5}&lt;/DBUID&gt;&lt;/Extra&gt;&lt;/Item&gt;&lt;/References&gt;&lt;/Group&gt;&lt;/Citation&gt;_x000a_"/>
    <w:docVar w:name="NE.Ref{6F9F2E68-8FAA-40F4-952F-BA26EA949589}" w:val=" ADDIN NE.Ref.{6F9F2E68-8FAA-40F4-952F-BA26EA949589}&lt;Citation SecTmpl=&quot;1&quot;&gt;&lt;Group&gt;&lt;References&gt;&lt;Item&gt;&lt;ID&gt;470&lt;/ID&gt;&lt;UID&gt;{9B2F9548-EBDB-4641-A23D-10038ABB9C30}&lt;/UID&gt;&lt;Title&gt;An indicator framework for assessing livelihood resilience in the context of social–ecological dynamics&lt;/Title&gt;&lt;Template&gt;Journal Article&lt;/Template&gt;&lt;Star&gt;0&lt;/Star&gt;&lt;Tag&gt;0&lt;/Tag&gt;&lt;Author&gt;Speranza, Chinwe Ifejika; Wiesmann, Urs; Rist, Stephan&lt;/Author&gt;&lt;Year&gt;2014&lt;/Year&gt;&lt;Details&gt;&lt;_accessed&gt;64573624&lt;/_accessed&gt;&lt;_accession_num&gt;WOS:000343839100010&lt;/_accession_num&gt;&lt;_collection_scope&gt;SCI;SCIE;SSCI&lt;/_collection_scope&gt;&lt;_created&gt;64060478&lt;/_created&gt;&lt;_date&gt;1990-09-01&lt;/_date&gt;&lt;_date_display&gt;Sep&lt;/_date_display&gt;&lt;_db_updated&gt;CrossRef&lt;/_db_updated&gt;&lt;_doi&gt;10.1016/j.gloenvcha.2014.06.005&lt;/_doi&gt;&lt;_image&gt;internal-pdf://1898458805/1-s2.0-S0959378014001101-main.pdf&lt;/_image&gt;&lt;_impact_factor&gt;  11.160&lt;/_impact_factor&gt;&lt;_isbn&gt;09593780&lt;/_isbn&gt;&lt;_journal&gt;Global Environmental Change&lt;/_journal&gt;&lt;_label&gt;从缓冲能力、自组织能力和学习能力构建生计恢复力分析框架，最为经典的框架&lt;/_label&gt;&lt;_modified&gt;64586500&lt;/_modified&gt;&lt;_pages&gt;109-119&lt;/_pages&gt;&lt;_short_title&gt;An indicator framework for assessing livelihood resilience in the context of social-ecological dynamics&lt;/_short_title&gt;&lt;_tertiary_title&gt;Global Environmental Change&lt;/_tertiary_title&gt;&lt;_url&gt;https://linkinghub.elsevier.com/retrieve/pii/S0959378014001101_x000d__x000a_https://api.elsevier.com/content/article/PII:S0959378014001101?httpAccept=text/plain&lt;/_url&gt;&lt;_volume&gt;28&lt;/_volume&gt;&lt;/Details&gt;&lt;Extra&gt;&lt;DBUID&gt;{BD8F6675-5345-4625-BBA4-8897723D22F5}&lt;/DBUID&gt;&lt;/Extra&gt;&lt;/Item&gt;&lt;/References&gt;&lt;/Group&gt;&lt;/Citation&gt;_x000a_"/>
    <w:docVar w:name="NE.Ref{70FDE805-CA93-486B-899C-3F3DF8D852CE}" w:val=" ADDIN NE.Ref.{70FDE805-CA93-486B-899C-3F3DF8D852CE}&lt;Citation&gt;&lt;Group&gt;&lt;References&gt;&lt;Item&gt;&lt;ID&gt;1476&lt;/ID&gt;&lt;UID&gt;{6EA1B712-4939-45C0-8BA7-7AC8A7330B34}&lt;/UID&gt;&lt;Title&gt;黄土高原半干旱区农户生计恢复力及其影响因素研究——以榆中县为例&lt;/Title&gt;&lt;Template&gt;Journal Article&lt;/Template&gt;&lt;Star&gt;0&lt;/Star&gt;&lt;Tag&gt;0&lt;/Tag&gt;&lt;Author&gt;温腾飞; 石育中; 杨新军; 王婷&lt;/Author&gt;&lt;Year&gt;2018&lt;/Year&gt;&lt;Details&gt;&lt;_author_adr&gt;西北大学城市与环境学院;&lt;/_author_adr&gt;&lt;_collection_scope&gt;CSCD;PKU&lt;/_collection_scope&gt;&lt;_created&gt;64422326&lt;/_created&gt;&lt;_db_provider&gt;CNKI&lt;/_db_provider&gt;&lt;_isbn&gt;1005-9121&lt;/_isbn&gt;&lt;_issue&gt;05&lt;/_issue&gt;&lt;_journal&gt;中国农业资源与区划&lt;/_journal&gt;&lt;_keywords&gt;农户生计恢复力;生计恢复力理论框架;黄土高原;障碍度;榆中县&lt;/_keywords&gt;&lt;_modified&gt;64422326&lt;/_modified&gt;&lt;_pages&gt;172-182&lt;/_pages&gt;&lt;_volume&gt;39&lt;/_volume&gt;&lt;_translated_author&gt;Wen, Tengfei;Shi, Yuzhong;Yang, Xinjun;Wang, Ting&lt;/_translated_author&gt;&lt;/Details&gt;&lt;Extra&gt;&lt;DBUID&gt;{BD8F6675-5345-4625-BBA4-8897723D22F5}&lt;/DBUID&gt;&lt;/Extra&gt;&lt;/Item&gt;&lt;/References&gt;&lt;/Group&gt;&lt;Group&gt;&lt;References&gt;&lt;Item&gt;&lt;ID&gt;317&lt;/ID&gt;&lt;UID&gt;{ABC61577-62E4-4E38-A0F6-4F8AAAC4F765}&lt;/UID&gt;&lt;Title&gt;农户生计对气候变化的恢复力研究综述&lt;/Title&gt;&lt;Template&gt;Journal Article&lt;/Template&gt;&lt;Star&gt;0&lt;/Star&gt;&lt;Tag&gt;0&lt;/Tag&gt;&lt;Author&gt;熊思鸿; 阎建忠; 吴雅&lt;/Author&gt;&lt;Year&gt;2020&lt;/Year&gt;&lt;Details&gt;&lt;_author_adr&gt;西南大学资源环境学院;&lt;/_author_adr&gt;&lt;_collection_scope&gt;CSCD;CSSCI-C;PKU&lt;/_collection_scope&gt;&lt;_created&gt;64053637&lt;/_created&gt;&lt;_db_provider&gt;CNKI&lt;/_db_provider&gt;&lt;_isbn&gt;1000-0585&lt;/_isbn&gt;&lt;_issue&gt;08&lt;/_issue&gt;&lt;_journal&gt;地理研究&lt;/_journal&gt;&lt;_keywords&gt;恢复力;;气候变化;;生计;;可持续性;;适应&lt;/_keywords&gt;&lt;_modified&gt;64663292&lt;/_modified&gt;&lt;_pages&gt;1934-1946&lt;/_pages&gt;&lt;_url&gt;https://bar.cnki.net/bar/download/order?id=jBGETXBNdPImvx70aLAuJPYxPoFw%2bp%2bi0fIiSrcN6lVuFozpfC82XBFZohITzoEoRSIKUaJzJKUPX09ooTadlznQrP31sd3qbIpJim%2fvA8Tl8E%2bCUVp5GtDTYhVF2dNUoJeGx62Ssygg68TNXJ%2b5JrigejDAar8Xqw%2f6WR22OFXUdUGh4At8VBYSvh%2fCUD5amUKQy3N%2bm044qVJsAD76xGRrLjqT6%2bdjgVgZret6S68%3d _x000d__x000a_https://bar.cnki.net/bar/download/order?id=jBGETXBNdPImvx70aLAuJPYxPoFw%2bp%2bi0fIiSrcN6lVuFozpfC82XBFZohITzoEoRSIKUaJzJKUPX09ooTadlznQrP31sd3qbIpJim%2fvA8Tl8E%2bCUVp5GtDTYhVF2dNUoJeGx62Ssygg68TNXJ%2b5JrigejDAar8Xqw%2f6WR22OFXUdUGh4At8VBYSvh%2fCUD5ayRK2S5yNtPUEJCEy8CYyCBbrt8ryXX8jnVXryit1EEz5LXYX1qwFXwOc1HUZT%2bTB _x000d__x000a_&lt;/_url&gt;&lt;_volume&gt;39&lt;/_volume&gt;&lt;_translated_author&gt;Xiong, Sihong;Yan, Jianzhong;Wu, Ya&lt;/_translated_author&gt;&lt;/Details&gt;&lt;Extra&gt;&lt;DBUID&gt;{BD8F6675-5345-4625-BBA4-8897723D22F5}&lt;/DBUID&gt;&lt;/Extra&gt;&lt;/Item&gt;&lt;/References&gt;&lt;/Group&gt;&lt;Group&gt;&lt;References&gt;&lt;Item&gt;&lt;ID&gt;68&lt;/ID&gt;&lt;UID&gt;{A383B92D-D5B3-4F62-BF30-8A637FCE4752}&lt;/UID&gt;&lt;Title&gt;Environmental change and the livelihood resilience of coffee farmers in Jamaica: A case study of the Cedar Valley farming region&lt;/Title&gt;&lt;Template&gt;Journal Article&lt;/Template&gt;&lt;Star&gt;0&lt;/Star&gt;&lt;Tag&gt;0&lt;/Tag&gt;&lt;Author&gt;Campbell, Donovan&lt;/Author&gt;&lt;Year&gt;2021&lt;/Year&gt;&lt;Details&gt;&lt;_accessed&gt;64051807&lt;/_accessed&gt;&lt;_accession_num&gt;WOS:000609218200005&lt;/_accession_num&gt;&lt;_collection_scope&gt;SSCI&lt;/_collection_scope&gt;&lt;_created&gt;64051806&lt;/_created&gt;&lt;_date&gt;1990-01-01&lt;/_date&gt;&lt;_date_display&gt;Jan&lt;/_date_display&gt;&lt;_db_updated&gt;CrossRef&lt;/_db_updated&gt;&lt;_doi&gt;10.1016/j.jrurstud.2020.10.027&lt;/_doi&gt;&lt;_image&gt;internal-pdf://1740528900/Environmental change and the livelihood resili.pdf&lt;/_image&gt;&lt;_impact_factor&gt;   5.157&lt;/_impact_factor&gt;&lt;_isbn&gt;07430167&lt;/_isbn&gt;&lt;_journal&gt;Journal of Rural Studies&lt;/_journal&gt;&lt;_modified&gt;64608210&lt;/_modified&gt;&lt;_pages&gt;220-234&lt;/_pages&gt;&lt;_short_title&gt;Environmental change and the livelihood resilience of coffee farmers in Jamaica: A case study of the Cedar Valley farming region&lt;/_short_title&gt;&lt;_social_category&gt;法学(1)&lt;/_social_category&gt;&lt;_tertiary_title&gt;Journal of Rural Studies&lt;/_tertiary_title&gt;&lt;_url&gt;https://linkinghub.elsevier.com/retrieve/pii/S0743016720302588_x000d__x000a_https://api.elsevier.com/content/article/PII:S0743016720302588?httpAccept=text/xml&lt;/_url&gt;&lt;_volume&gt;81&lt;/_volume&gt;&lt;/Details&gt;&lt;Extra&gt;&lt;DBUID&gt;{BD8F6675-5345-4625-BBA4-8897723D22F5}&lt;/DBUID&gt;&lt;/Extra&gt;&lt;/Item&gt;&lt;/References&gt;&lt;/Group&gt;&lt;/Citation&gt;_x000a_"/>
    <w:docVar w:name="NE.Ref{720A3C91-14C6-49FE-B65C-96D9FA055C5A}" w:val=" ADDIN NE.Ref.{720A3C91-14C6-49FE-B65C-96D9FA055C5A}&lt;Citation&gt;&lt;Group&gt;&lt;References&gt;&lt;Item&gt;&lt;ID&gt;1697&lt;/ID&gt;&lt;UID&gt;{5510668B-A486-4C13-9FC7-95D262DC8FB2}&lt;/UID&gt;&lt;Title&gt;A social trap for the climate? Collective action, trust and climate change risk perception in 35 countries&lt;/Title&gt;&lt;Template&gt;Journal Article&lt;/Template&gt;&lt;Star&gt;0&lt;/Star&gt;&lt;Tag&gt;0&lt;/Tag&gt;&lt;Author&gt;Smith, E Keith; Mayer, Adam&lt;/Author&gt;&lt;Year&gt;2018&lt;/Year&gt;&lt;Details&gt;&lt;_alternate_title&gt;Global Environmental Change&lt;/_alternate_title&gt;&lt;_created&gt;64654190&lt;/_created&gt;&lt;_date&gt;2018-01-01&lt;/_date&gt;&lt;_date_display&gt;2018&lt;/_date_display&gt;&lt;_doi&gt;https://doi.org/10.1016/j.gloenvcha.2018.02.014&lt;/_doi&gt;&lt;_impact_factor&gt;  11.160&lt;/_impact_factor&gt;&lt;_isbn&gt;0959-3780&lt;/_isbn&gt;&lt;_journal&gt;Global Environmental Change&lt;/_journal&gt;&lt;_keywords&gt;Climate change behaviors; Willingness to pay; Risk; Trust; Social trap&lt;/_keywords&gt;&lt;_modified&gt;64654190&lt;/_modified&gt;&lt;_pages&gt;140-153&lt;/_pages&gt;&lt;_social_category&gt;环境科学与生态学(1)&lt;/_social_category&gt;&lt;_url&gt;https://www.sciencedirect.com/science/article/pii/S0959378017309585&lt;/_url&gt;&lt;_volume&gt;49&lt;/_volume&gt;&lt;/Details&gt;&lt;Extra&gt;&lt;DBUID&gt;{BD8F6675-5345-4625-BBA4-8897723D22F5}&lt;/DBUID&gt;&lt;/Extra&gt;&lt;/Item&gt;&lt;/References&gt;&lt;/Group&gt;&lt;/Citation&gt;_x000a_"/>
    <w:docVar w:name="NE.Ref{72B92DEA-8180-485D-A179-E53DB75B0C75}" w:val=" ADDIN NE.Ref.{72B92DEA-8180-485D-A179-E53DB75B0C75}&lt;Citation&gt;&lt;Group&gt;&lt;References&gt;&lt;Item&gt;&lt;ID&gt;334&lt;/ID&gt;&lt;UID&gt;{6989E675-3120-4AD9-B5A0-45B02F0B0088}&lt;/UID&gt;&lt;Title&gt;生计恢复力研究进展与启示&lt;/Title&gt;&lt;Template&gt;Journal Article&lt;/Template&gt;&lt;Star&gt;0&lt;/Star&gt;&lt;Tag&gt;0&lt;/Tag&gt;&lt;Author&gt;卜诗洁; 马金海; 卓玛措; 潘昊; 刘华蓉&lt;/Author&gt;&lt;Year&gt;2021&lt;/Year&gt;&lt;Details&gt;&lt;_accessed&gt;64292552&lt;/_accessed&gt;&lt;_author_adr&gt;青海民族大学旅游学院;&lt;/_author_adr&gt;&lt;_collection_scope&gt;CSCD;PKU&lt;/_collection_scope&gt;&lt;_created&gt;64053637&lt;/_created&gt;&lt;_db_provider&gt;CNKI&lt;/_db_provider&gt;&lt;_isbn&gt;1672-0504&lt;/_isbn&gt;&lt;_issue&gt;01&lt;/_issue&gt;&lt;_journal&gt;地理与地理信息科学&lt;/_journal&gt;&lt;_keywords&gt;生计恢复力;;分析框架;;旅游生计恢复力;;个体福祉;;生计恢复力适应性管理&lt;/_keywords&gt;&lt;_modified&gt;64396401&lt;/_modified&gt;&lt;_pages&gt;74-79&lt;/_pages&gt;&lt;_url&gt;https://bar.cnki.net/bar/download/order?id=jBGETXBNdPImvx70aLAuJPYxPoFw%2bp%2bi0fIiSrcN6lX8GETAQrgCZqk38oxiAFapIPqgR38m15LFMAZn%2bx0j%2f0GxVkq8YHJNz4jV3WhknTrl8E%2bCUVp5GtDTYhVF2dNUoJeGx62Ssygg68TNXJ%2b5JrigejDAar8Xqw%2f6WR22OFXUdUGh4At8VBYSvh%2fCUD5ayqc9OOYWWhxN6qJ9DJ6Hbk0o7hPx9DIcLPjh8hose0g%3d _x000d__x000a_https://bar.cnki.net/bar/download/order?id=jBGETXBNdPImvx70aLAuJPYxPoFw%2bp%2bi0fIiSrcN6lX8GETAQrgCZqk38oxiAFapIPqgR38m15LFMAZn%2bx0j%2f0GxVkq8YHJNz4jV3WhknTrl8E%2bCUVp5GtDTYhVF2dNUoJeGx62Ssygg68TNXJ%2b5JrigejDAar8Xqw%2f6WR22OFXUdUGh4At8VBYSvh%2fCUD5aC052mm6dlCb33GXy89qOnfTYGftZzTarqejxrpk3b2n5LXYX1qwFXwOc1HUZT%2bTB _x000d__x000a_&lt;/_url&gt;&lt;_volume&gt;37&lt;/_volume&gt;&lt;_translated_author&gt;Bu, Shijie;Ma, Jinhai;Zhuo, Macuo;Pan, Hao;Liu, Huarong&lt;/_translated_author&gt;&lt;/Details&gt;&lt;Extra&gt;&lt;DBUID&gt;{BD8F6675-5345-4625-BBA4-8897723D22F5}&lt;/DBUID&gt;&lt;/Extra&gt;&lt;/Item&gt;&lt;/References&gt;&lt;/Group&gt;&lt;/Citation&gt;_x000a_"/>
    <w:docVar w:name="NE.Ref{72C8801C-D04C-4242-9124-167BC13A96A2}" w:val=" ADDIN NE.Ref.{72C8801C-D04C-4242-9124-167BC13A96A2}&lt;Citation&gt;&lt;Group&gt;&lt;References&gt;&lt;Item&gt;&lt;ID&gt;329&lt;/ID&gt;&lt;UID&gt;{8C08DFCB-B997-424F-A25C-F69EF09E262C}&lt;/UID&gt;&lt;Title&gt;可持续生计分析研究综述&lt;/Title&gt;&lt;Template&gt;Journal Article&lt;/Template&gt;&lt;Star&gt;0&lt;/Star&gt;&lt;Tag&gt;0&lt;/Tag&gt;&lt;Author&gt;苏芳; 徐中民; 尚海洋&lt;/Author&gt;&lt;Year&gt;2009&lt;/Year&gt;&lt;Details&gt;&lt;_author_adr&gt;中国科学院寒区旱区环境与工程研究所寒旱区流域水文及应用生态实验室;&lt;/_author_adr&gt;&lt;_collection_scope&gt;CSCD;PKU&lt;/_collection_scope&gt;&lt;_created&gt;64053637&lt;/_created&gt;&lt;_db_provider&gt;CNKI&lt;/_db_provider&gt;&lt;_isbn&gt;1001-8166&lt;/_isbn&gt;&lt;_issue&gt;01&lt;/_issue&gt;&lt;_journal&gt;地球科学进展&lt;/_journal&gt;&lt;_keywords&gt;可持续生计;;脆弱性背景;;生计资本&lt;/_keywords&gt;&lt;_modified&gt;64055088&lt;/_modified&gt;&lt;_pages&gt;61-69&lt;/_pages&gt;&lt;_url&gt;https://bar.cnki.net/bar/download/order?id=jBGETXBNdPImvx70aLAuJPYxPoFw%2bp%2bi0fIiSrcN6lWeAsz2xmLOQieNEvzEmt5ssshnTQdlzf0o9Rxczx2nOhiuqSlCZOKwDrp5qZ4QW%2bgtqddCdidyosdSaMNWur3ZJBjdlDrNnftoR5pdZPiFRNlKM4sfpT3nRHSqBOA4sms8GQBtE8Z8mK%2fNwS15YoSEIkdzZIfYyhaetHdUMYorbQ%3d%3d _x000d__x000a_&lt;/_url&gt;&lt;_volume&gt;24&lt;/_volume&gt;&lt;_translated_author&gt;Su, Fang;Xu, Zhongmin;Shang, Haiyang&lt;/_translated_author&gt;&lt;/Details&gt;&lt;Extra&gt;&lt;DBUID&gt;{BD8F6675-5345-4625-BBA4-8897723D22F5}&lt;/DBUID&gt;&lt;/Extra&gt;&lt;/Item&gt;&lt;/References&gt;&lt;/Group&gt;&lt;/Citation&gt;_x000a_"/>
    <w:docVar w:name="NE.Ref{735DF4FF-54B4-4002-ADFC-09866B3CA869}" w:val=" ADDIN NE.Ref.{735DF4FF-54B4-4002-ADFC-09866B3CA869}&lt;Citation&gt;&lt;Group&gt;&lt;References&gt;&lt;Item&gt;&lt;ID&gt;999&lt;/ID&gt;&lt;UID&gt;{0190992B-6204-455B-9BDD-EEEA390A102F}&lt;/UID&gt;&lt;Title&gt;Sustainable rural livelihoods: practical concepts for the 21st century&lt;/Title&gt;&lt;Template&gt;Journal Article&lt;/Template&gt;&lt;Star&gt;0&lt;/Star&gt;&lt;Tag&gt;0&lt;/Tag&gt;&lt;Author&gt;Chambers, R; Conway, G&lt;/Author&gt;&lt;Year&gt;1992&lt;/Year&gt;&lt;Details&gt;&lt;_accessed&gt;64682958&lt;/_accessed&gt;&lt;_created&gt;64292799&lt;/_created&gt;&lt;_journal&gt;IDS Discussion Paper No. 296. Brighton, Institute of Development Studies&lt;/_journal&gt;&lt;_label&gt;提出生计恢复力概念，作为可持续生计一部分&lt;/_label&gt;&lt;_modified&gt;64682958&lt;/_modified&gt;&lt;_volume&gt;296&lt;/_volume&gt;&lt;_pages&gt;21-25&lt;/_pages&gt;&lt;/Details&gt;&lt;Extra&gt;&lt;DBUID&gt;{BD8F6675-5345-4625-BBA4-8897723D22F5}&lt;/DBUID&gt;&lt;/Extra&gt;&lt;/Item&gt;&lt;/References&gt;&lt;/Group&gt;&lt;/Citation&gt;_x000a_"/>
    <w:docVar w:name="NE.Ref{737073B8-7ACC-4BAD-9398-DCABD0370F0F}" w:val=" ADDIN NE.Ref.{737073B8-7ACC-4BAD-9398-DCABD0370F0F}&lt;Citation SecTmpl=&quot;1&quot;&gt;&lt;Group&gt;&lt;References&gt;&lt;Item&gt;&lt;ID&gt;423&lt;/ID&gt;&lt;UID&gt;{254F87CD-5B5B-4843-AFC4-78A2F967EECE}&lt;/UID&gt;&lt;Title&gt;A livelihood resilience measurement framework for Dam-Induced displacement and resettlement&lt;/Title&gt;&lt;Template&gt;Journal Article&lt;/Template&gt;&lt;Star&gt;0&lt;/Star&gt;&lt;Tag&gt;0&lt;/Tag&gt;&lt;Author&gt;Gong, Yichun; Zhang, Ruilian; Yao, Kaiwen; Liu, Bingwen; Wang, Feilong&lt;/Author&gt;&lt;Year&gt;2020&lt;/Year&gt;&lt;Details&gt;&lt;_accessed&gt;64536346&lt;/_accessed&gt;&lt;_accession_num&gt;WOS:000594141900001&lt;/_accession_num&gt;&lt;_collection_scope&gt;SCIE;EI&lt;/_collection_scope&gt;&lt;_created&gt;64060478&lt;/_created&gt;&lt;_date&gt;63571680&lt;/_date&gt;&lt;_date_display&gt;Nov&lt;/_date_display&gt;&lt;_db_updated&gt;CrossRef&lt;/_db_updated&gt;&lt;_doi&gt;10.3390/w12113191&lt;/_doi&gt;&lt;_image&gt;internal-pdf://0290134902/Gong-2020-A-livelihood-resilience-measurement.pdf&lt;/_image&gt;&lt;_impact_factor&gt;   3.530&lt;/_impact_factor&gt;&lt;_isbn&gt;2073-4441&lt;/_isbn&gt;&lt;_issue&gt;11&lt;/_issue&gt;&lt;_journal&gt;Water&lt;/_journal&gt;&lt;_modified&gt;64594206&lt;/_modified&gt;&lt;_pages&gt;3191-3214&lt;/_pages&gt;&lt;_short_title&gt;A Livelihood Resilience Measurement Framework for Dam-Induced Displacement and Resettlement&lt;/_short_title&gt;&lt;_social_category&gt;环境科学与生态学(4)&lt;/_social_category&gt;&lt;_tertiary_title&gt;Water&lt;/_tertiary_title&gt;&lt;_url&gt;https://www.mdpi.com/2073-4441/12/11/3191_x000d__x000a_https://www.mdpi.com/2073-4441/12/11/3191/pdf&lt;/_url&gt;&lt;_volume&gt;12&lt;/_volume&gt;&lt;/Details&gt;&lt;Extra&gt;&lt;DBUID&gt;{BD8F6675-5345-4625-BBA4-8897723D22F5}&lt;/DBUID&gt;&lt;/Extra&gt;&lt;/Item&gt;&lt;/References&gt;&lt;/Group&gt;&lt;/Citation&gt;_x000a_"/>
    <w:docVar w:name="NE.Ref{73D3E296-8CA8-4D7F-9912-19D4879C83A5}" w:val=" ADDIN NE.Ref.{73D3E296-8CA8-4D7F-9912-19D4879C83A5}&lt;Citation&gt;&lt;Group&gt;&lt;References&gt;&lt;Item&gt;&lt;ID&gt;413&lt;/ID&gt;&lt;UID&gt;{03D3EED2-B830-4D28-BD91-C6B4C61E2036}&lt;/UID&gt;&lt;Title&gt;对人的本质“是一切社会关系的总和”观点的再认识&lt;/Title&gt;&lt;Template&gt;Journal Article&lt;/Template&gt;&lt;Star&gt;0&lt;/Star&gt;&lt;Tag&gt;0&lt;/Tag&gt;&lt;Author&gt;周永霞&lt;/Author&gt;&lt;Year&gt;2006&lt;/Year&gt;&lt;Details&gt;&lt;_accessed&gt;64060480&lt;/_accessed&gt;&lt;_author_adr&gt;北京师范大学 北京100875&lt;/_author_adr&gt;&lt;_author_aff&gt;北京师范大学 北京100875&lt;/_author_aff&gt;&lt;_call_num&gt;14-1250/C&lt;/_call_num&gt;&lt;_created&gt;64060478&lt;/_created&gt;&lt;_date&gt;55830240&lt;/_date&gt;&lt;_db_updated&gt;CNKI - Reference&lt;/_db_updated&gt;&lt;_isbn&gt;1008-6285&lt;/_isbn&gt;&lt;_issue&gt;02&lt;/_issue&gt;&lt;_journal&gt;山西高等学校社会科学学报&lt;/_journal&gt;&lt;_keywords&gt;人的本质;社会关系;认识误区&lt;/_keywords&gt;&lt;_modified&gt;64061948&lt;/_modified&gt;&lt;_pages&gt;48-50+129&lt;/_pages&gt;&lt;_short_title&gt;对人的本质“是一切社会关系的总和”观点的再认识&lt;/_short_title&gt;&lt;_url&gt;https://kns.cnki.net/kcms/detail/detail.aspx?FileName=SXGD200602016&amp;amp;DbName=CJFQ2006&lt;/_url&gt;&lt;_translated_author&gt;Zhou, Yongxia&lt;/_translated_author&gt;&lt;/Details&gt;&lt;Extra&gt;&lt;DBUID&gt;{BD8F6675-5345-4625-BBA4-8897723D22F5}&lt;/DBUID&gt;&lt;/Extra&gt;&lt;/Item&gt;&lt;/References&gt;&lt;/Group&gt;&lt;/Citation&gt;_x000a_"/>
    <w:docVar w:name="NE.Ref{762D321C-5E28-4AF8-9330-3FE21AF274B8}" w:val=" ADDIN NE.Ref.{762D321C-5E28-4AF8-9330-3FE21AF274B8}&lt;Citation SecTmpl=&quot;1&quot;&gt;&lt;Group&gt;&lt;References&gt;&lt;Item&gt;&lt;ID&gt;999&lt;/ID&gt;&lt;UID&gt;{0190992B-6204-455B-9BDD-EEEA390A102F}&lt;/UID&gt;&lt;Title&gt;Sustainable rural livelihoods: practical concepts for the 21st century&lt;/Title&gt;&lt;Template&gt;Journal Article&lt;/Template&gt;&lt;Star&gt;0&lt;/Star&gt;&lt;Tag&gt;0&lt;/Tag&gt;&lt;Author&gt;Chambers, R; Conway, G&lt;/Author&gt;&lt;Year&gt;1992&lt;/Year&gt;&lt;Details&gt;&lt;_accessed&gt;64682958&lt;/_accessed&gt;&lt;_created&gt;64292799&lt;/_created&gt;&lt;_journal&gt;IDS Discussion Paper No. 296. Brighton, Institute of Development Studies&lt;/_journal&gt;&lt;_label&gt;提出生计恢复力概念，作为可持续生计一部分&lt;/_label&gt;&lt;_modified&gt;64682958&lt;/_modified&gt;&lt;_volume&gt;296&lt;/_volume&gt;&lt;_pages&gt;21-25&lt;/_pages&gt;&lt;/Details&gt;&lt;Extra&gt;&lt;DBUID&gt;{BD8F6675-5345-4625-BBA4-8897723D22F5}&lt;/DBUID&gt;&lt;/Extra&gt;&lt;/Item&gt;&lt;/References&gt;&lt;/Group&gt;&lt;/Citation&gt;_x000a_"/>
    <w:docVar w:name="NE.Ref{7792AF72-C973-4713-A9A0-F0AA575AA4E6}" w:val=" ADDIN NE.Ref.{7792AF72-C973-4713-A9A0-F0AA575AA4E6}&lt;Citation&gt;&lt;Group&gt;&lt;References&gt;&lt;Item&gt;&lt;ID&gt;408&lt;/ID&gt;&lt;UID&gt;{E8E3C580-3F53-407A-8505-546A716A6E0C}&lt;/UID&gt;&lt;Title&gt;青藏高原东部山地农牧区生计与耕地利用模式&lt;/Title&gt;&lt;Template&gt;Journal Article&lt;/Template&gt;&lt;Star&gt;0&lt;/Star&gt;&lt;Tag&gt;0&lt;/Tag&gt;&lt;Author&gt;张丽萍; 张镱锂; 阎建忠; 吴莹莹&lt;/Author&gt;&lt;Year&gt;2008&lt;/Year&gt;&lt;Details&gt;&lt;_accessed&gt;64061971&lt;/_accessed&gt;&lt;_author_adr&gt;中国科学院地理科学与资源研究所,中国科学院地理科学与资源研究所,中国科学院地理科学与资源研究所,西南大学资源与环境学院 北京100101,北京100101,北京100101 西南大学资源与环境学院,重庆400716,重庆400716&lt;/_author_adr&gt;&lt;_call_num&gt;11-1856/P&lt;/_call_num&gt;&lt;_collection_scope&gt;CSCD;CSSCI-C;PKU;EI&lt;/_collection_scope&gt;&lt;_created&gt;64060478&lt;/_created&gt;&lt;_isbn&gt;0375-5444&lt;/_isbn&gt;&lt;_issue&gt;04&lt;/_issue&gt;&lt;_journal&gt;地理学报&lt;/_journal&gt;&lt;_keywords&gt;农户_x000d__x000a_生计多样化_x000d__x000a_非农就业_x000d__x000a_土地利用_x000d__x000a_青藏高原&lt;/_keywords&gt;&lt;_modified&gt;64664271&lt;/_modified&gt;&lt;_pages&gt;377-385&lt;/_pages&gt;&lt;_short_title&gt;青藏高原东部山地农牧区生计与耕地利用模式&lt;/_short_title&gt;&lt;_url&gt;https://bar.cnki.net/bar/download/order?id=jBGETXBNdPImvx70aLAuJPYxPoFw%2bp%2bi0fIiSrcN6lXWP58oFuOx7IjWxPm3Fg3fH%2baLmkDLv%2bEsl5%2f0QJVlG1a3UETubEuE%2flf6XVLBujEtqddCdidyosdSaMNWur3ZJBjdlDrNnftoR5pdZPiFRNlKM4sfpT3nRHSqBOA4sms8GQBtE8Z8mK%2fNwS15YoSErAAeC1UrV%2bt1CbmTk3fUSqopkQ6JnjQzfIvFcCnka0M%3d _x000d__x000a_&lt;/_url&gt;&lt;_translated_author&gt;Zhang, Liping;Zhang, Yili;Yan, Jianzhong;Wu, Yingying&lt;/_translated_author&gt;&lt;/Details&gt;&lt;Extra&gt;&lt;DBUID&gt;{BD8F6675-5345-4625-BBA4-8897723D22F5}&lt;/DBUID&gt;&lt;/Extra&gt;&lt;/Item&gt;&lt;/References&gt;&lt;/Group&gt;&lt;/Citation&gt;_x000a_"/>
    <w:docVar w:name="NE.Ref{783838D4-8F00-407F-98F5-9277C0354B82}" w:val=" ADDIN NE.Ref.{783838D4-8F00-407F-98F5-9277C0354B82}&lt;Citation&gt;&lt;Group&gt;&lt;References&gt;&lt;Item&gt;&lt;ID&gt;667&lt;/ID&gt;&lt;UID&gt;{D0EF1CA9-6023-4869-A11A-59ECDA448804}&lt;/UID&gt;&lt;Title&gt;生计资本对农户林地利用及收入的影响研究&lt;/Title&gt;&lt;Template&gt;Thesis&lt;/Template&gt;&lt;Star&gt;0&lt;/Star&gt;&lt;Tag&gt;0&lt;/Tag&gt;&lt;Author&gt;张旭锐&lt;/Author&gt;&lt;Year&gt;2020&lt;/Year&gt;&lt;Details&gt;&lt;_accessed&gt;64537545&lt;/_accessed&gt;&lt;_created&gt;64144221&lt;/_created&gt;&lt;_db_provider&gt;CNKI&lt;/_db_provider&gt;&lt;_keywords&gt;生计资本;;林地利用;;收入;;农户&lt;/_keywords&gt;&lt;_modified&gt;64547461&lt;/_modified&gt;&lt;_publisher&gt;西北农林科技大学&lt;/_publisher&gt;&lt;_tertiary_author&gt;高建中&lt;/_tertiary_author&gt;&lt;_type_work&gt;博士&lt;/_type_work&gt;&lt;_url&gt;https://bar.cnki.net/bar/download/order?id=jBGETXBNdPImvx70aLAuJKPd5%2bH15oC8gGzxs3xdBxiXNLAXg%2fC3jWhB4BgHFEr%2fEBmWIvuz0Y15xF283Q1NvEc1QZmxs35%2fX4wQbniaMu763KDnJ7T691%2b%2fxqKkU%2fIu4ZUGb5jRKRpG58MRjqGFG%2bLkNvX1T1oyTzo0iPXtbtkyI%2bMzzRbqad9DSrV8HgXo80fMPSb%2fmXF0UlcQU4a0TTJ%2bvdKwmX6Xl%2bVwZAGQST4%3d _x000d__x000a_https://bar.cnki.net/bar/download/order?id=jBGETXBNdPImvx70aLAuJKPd5%2bH15oC8gGzxs3xdBxiXNLAXg%2fC3jWhB4BgHFEr%2fEBmWIvuz0Y15xF283Q1NvEc1QZmxs35%2fX4wQbniaMu763KDnJ7T691%2b%2fxqKkU%2fIu4ZUGb5jRKRpG58MRjqGFG%2bLkNvX1T1oyTzo0iPXtbtkyI%2bMzzRbqad9DSrV8HgXosZybgLjgemMVw2Fk3VE6WV5irXQdptsUMBKCP%2fj64%2bzY9Rh0t1%2fsHPJmvPacC%2fDw _x000d__x000a_&lt;/_url&gt;&lt;_translated_author&gt;Zhang, Xurui&lt;/_translated_author&gt;&lt;_translated_tertiary_author&gt;Gao, Jianzhong&lt;/_translated_tertiary_author&gt;&lt;/Details&gt;&lt;Extra&gt;&lt;DBUID&gt;{BD8F6675-5345-4625-BBA4-8897723D22F5}&lt;/DBUID&gt;&lt;/Extra&gt;&lt;/Item&gt;&lt;/References&gt;&lt;/Group&gt;&lt;/Citation&gt;_x000a_"/>
    <w:docVar w:name="NE.Ref{78E28772-7336-4A7C-944D-8821EB653140}" w:val=" ADDIN NE.Ref.{78E28772-7336-4A7C-944D-8821EB653140}&lt;Citation&gt;&lt;Group&gt;&lt;References&gt;&lt;Item&gt;&lt;ID&gt;105&lt;/ID&gt;&lt;UID&gt;{D501D40C-778D-4ADD-B8B9-E6D0E3807C23}&lt;/UID&gt;&lt;Title&gt;Determinants of perceptions of climate change and adaptation among Turkana pastoralists in northwestern Kenya&lt;/Title&gt;&lt;Template&gt;Journal Article&lt;/Template&gt;&lt;Star&gt;0&lt;/Star&gt;&lt;Tag&gt;0&lt;/Tag&gt;&lt;Author&gt;Opiyo, Francis; Wasonga, Oliver V; Nyangito, Moses M; Mureithi, Stephen M; Obando, Joy; Munang, Richard&lt;/Author&gt;&lt;Year&gt;2015&lt;/Year&gt;&lt;Details&gt;&lt;_accessed&gt;64051808&lt;/_accessed&gt;&lt;_accession_num&gt;WOS:000372444500008&lt;/_accession_num&gt;&lt;_collection_scope&gt;SSCI&lt;/_collection_scope&gt;&lt;_created&gt;64051806&lt;/_created&gt;&lt;_date&gt;61115040&lt;/_date&gt;&lt;_date_display&gt;Mar&lt;/_date_display&gt;&lt;_db_updated&gt;CrossRef&lt;/_db_updated&gt;&lt;_doi&gt;10.1080/17565529.2015.1034231&lt;/_doi&gt;&lt;_impact_factor&gt;   4.280&lt;/_impact_factor&gt;&lt;_isbn&gt;1756-5529&lt;/_isbn&gt;&lt;_issue&gt;2&lt;/_issue&gt;&lt;_journal&gt;Climate and Development&lt;/_journal&gt;&lt;_modified&gt;64051808&lt;/_modified&gt;&lt;_pages&gt;179-189&lt;/_pages&gt;&lt;_short_title&gt;Determinants of perceptions of climate change and adaptation among Turkana pastoralists in northwestern Kenya&lt;/_short_title&gt;&lt;_tertiary_title&gt;Climate and Development&lt;/_tertiary_title&gt;&lt;_url&gt;http://www.tandfonline.com/doi/full/10.1080/17565529.2015.1034231_x000d__x000a_http://www.tandfonline.com/doi/pdf/10.1080/17565529.2015.1034231&lt;/_url&gt;&lt;_volume&gt;8&lt;/_volume&gt;&lt;/Details&gt;&lt;Extra&gt;&lt;DBUID&gt;{BD8F6675-5345-4625-BBA4-8897723D22F5}&lt;/DBUID&gt;&lt;/Extra&gt;&lt;/Item&gt;&lt;/References&gt;&lt;/Group&gt;&lt;Group&gt;&lt;References&gt;&lt;Item&gt;&lt;ID&gt;509&lt;/ID&gt;&lt;UID&gt;{1BCB6C4F-7BBB-4050-ABCC-DD0A226C06C2}&lt;/UID&gt;&lt;Title&gt;茶农生计恢复力测度及影响因素研究——以安溪县为例&lt;/Title&gt;&lt;Template&gt;Journal Article&lt;/Template&gt;&lt;Star&gt;0&lt;/Star&gt;&lt;Tag&gt;0&lt;/Tag&gt;&lt;Author&gt;纪金雄; 洪小燕; 朱永杰&lt;/Author&gt;&lt;Year&gt;2021&lt;/Year&gt;&lt;Details&gt;&lt;_accessed&gt;64665489&lt;/_accessed&gt;&lt;_author_adr&gt;福建农林大学安溪茶学院;北京林业大学经济管理学院;&lt;/_author_adr&gt;&lt;_author_aff&gt;福建农林大学安溪茶学院;北京林业大学经济管理学院;&lt;/_author_aff&gt;&lt;_call_num&gt;33-1115/S&lt;/_call_num&gt;&lt;_collection_scope&gt;CSCD;PKU&lt;/_collection_scope&gt;&lt;_created&gt;64060478&lt;/_created&gt;&lt;_date&gt;63694080&lt;/_date&gt;&lt;_db_updated&gt;CNKI - Reference&lt;/_db_updated&gt;&lt;_image&gt;internal-pdf://3655923467/茶农生计恢复力测度及影响因素研究_以安溪县为例_纪金雄.pdf&lt;/_image&gt;&lt;_isbn&gt;1000-369X&lt;/_isbn&gt;&lt;_issue&gt;01&lt;/_issue&gt;&lt;_journal&gt;茶叶科学&lt;/_journal&gt;&lt;_keywords&gt;生计恢复力;茶农;可持续生计;安溪县&lt;/_keywords&gt;&lt;_modified&gt;64663994&lt;/_modified&gt;&lt;_pages&gt;132-142&lt;/_pages&gt;&lt;_short_title&gt;茶农生计恢复力测度及影响因素研究——以安溪县为例&lt;/_short_title&gt;&lt;_url&gt;https://kns.cnki.net/kcms/detail/detail.aspx?FileName=CYKK202101020&amp;amp;DbName=CJFQ2021 _x000d__x000a_https://bar.cnki.net/bar/download/order?id=jBGETXBNdPImvx70aLAuJPYxPoFw%2bp%2bi0fIiSrcN6lUFEY6oxlTpt96vpABZ0NI%2f3JUuTL1dvsZiVw3pzpeSMkGxVkq8YHJNz4jV3WhknTrl8E%2bCUVp5GtDTYhVF2dNUoJeGx62Ssygg68TNXJ%2b5JrigejDAar8Xqw%2f6WR22OFXUdUGh4At8VBYSvh%2fCUD5acMAvOZpTWf6nAtbdb6FNBePyk0KAUx%2bvRb2nBqtXw1r5LXYX1qwFXwOc1HUZT%2bTB _x000d__x000a_&lt;/_url&gt;&lt;_volume&gt;41&lt;/_volume&gt;&lt;_translated_author&gt;Ji, Jinxiong;Hong, Xiaoyan;Zhu, Yongjie&lt;/_translated_author&gt;&lt;/Details&gt;&lt;Extra&gt;&lt;DBUID&gt;{BD8F6675-5345-4625-BBA4-8897723D22F5}&lt;/DBUID&gt;&lt;/Extra&gt;&lt;/Item&gt;&lt;/References&gt;&lt;/Group&gt;&lt;Group&gt;&lt;References&gt;&lt;Item&gt;&lt;ID&gt;452&lt;/ID&gt;&lt;UID&gt;{AC6A184C-F659-4EF1-8799-686ECBDF20CE}&lt;/UID&gt;&lt;Title&gt;Livelihood resilience in a hyperinflationary environment: experiences of people engaging in money-burning (kubhena mari) transactions in Harare, Zimbabwe&lt;/Title&gt;&lt;Template&gt;Journal Article&lt;/Template&gt;&lt;Star&gt;0&lt;/Star&gt;&lt;Tag&gt;0&lt;/Tag&gt;&lt;Author&gt;Gukurume, Simbarashe&lt;/Author&gt;&lt;Year&gt;2015&lt;/Year&gt;&lt;Details&gt;&lt;_accessed&gt;64529014&lt;/_accessed&gt;&lt;_accession_num&gt;WOS:000361377800002&lt;/_accession_num&gt;&lt;_collection_scope&gt;SSCI&lt;/_collection_scope&gt;&lt;_created&gt;64060478&lt;/_created&gt;&lt;_date&gt;60661440&lt;/_date&gt;&lt;_date_display&gt;May 4&lt;/_date_display&gt;&lt;_db_updated&gt;CrossRef&lt;/_db_updated&gt;&lt;_doi&gt;10.1080/02533952.2015.1069492&lt;/_doi&gt;&lt;_image&gt;internal-pdf://0884273948/Gukurume-2015-Livelihood-resilience-in-a-hyper.pdf&lt;/_image&gt;&lt;_impact_factor&gt;   0.483&lt;/_impact_factor&gt;&lt;_isbn&gt;0253-3952&lt;/_isbn&gt;&lt;_issue&gt;2&lt;/_issue&gt;&lt;_journal&gt;Social Dynamics&lt;/_journal&gt;&lt;_modified&gt;64608217&lt;/_modified&gt;&lt;_pages&gt;219-234&lt;/_pages&gt;&lt;_short_title&gt;Livelihood resilience in a hyperinflationary environment: experiences of people engaging in money-burning (kubhena mari) transactions in Harare, Zimbabwe&lt;/_short_title&gt;&lt;_social_category&gt;法学(4)&lt;/_social_category&gt;&lt;_tertiary_title&gt;Social Dynamics&lt;/_tertiary_title&gt;&lt;_url&gt;http://www.tandfonline.com/doi/full/10.1080/02533952.2015.1069492_x000d__x000a_http://www.tandfonline.com/doi/pdf/10.1080/02533952.2015.1069492&lt;/_url&gt;&lt;_volume&gt;41&lt;/_volume&gt;&lt;/Details&gt;&lt;Extra&gt;&lt;DBUID&gt;{BD8F6675-5345-4625-BBA4-8897723D22F5}&lt;/DBUID&gt;&lt;/Extra&gt;&lt;/Item&gt;&lt;/References&gt;&lt;/Group&gt;&lt;/Citation&gt;_x000a_"/>
    <w:docVar w:name="NE.Ref{78F1BCA7-4260-43F5-BDEA-013C2FFB3478}" w:val=" ADDIN NE.Ref.{78F1BCA7-4260-43F5-BDEA-013C2FFB3478}&lt;Citation&gt;&lt;Group&gt;&lt;References&gt;&lt;Item&gt;&lt;ID&gt;667&lt;/ID&gt;&lt;UID&gt;{D0EF1CA9-6023-4869-A11A-59ECDA448804}&lt;/UID&gt;&lt;Title&gt;生计资本对农户林地利用及收入的影响研究&lt;/Title&gt;&lt;Template&gt;Thesis&lt;/Template&gt;&lt;Star&gt;0&lt;/Star&gt;&lt;Tag&gt;0&lt;/Tag&gt;&lt;Author&gt;张旭锐&lt;/Author&gt;&lt;Year&gt;2020&lt;/Year&gt;&lt;Details&gt;&lt;_accessed&gt;64537545&lt;/_accessed&gt;&lt;_created&gt;64144221&lt;/_created&gt;&lt;_db_provider&gt;CNKI&lt;/_db_provider&gt;&lt;_keywords&gt;生计资本;;林地利用;;收入;;农户&lt;/_keywords&gt;&lt;_modified&gt;64547461&lt;/_modified&gt;&lt;_publisher&gt;西北农林科技大学&lt;/_publisher&gt;&lt;_tertiary_author&gt;高建中&lt;/_tertiary_author&gt;&lt;_type_work&gt;博士&lt;/_type_work&gt;&lt;_url&gt;https://bar.cnki.net/bar/download/order?id=jBGETXBNdPImvx70aLAuJKPd5%2bH15oC8gGzxs3xdBxiXNLAXg%2fC3jWhB4BgHFEr%2fEBmWIvuz0Y15xF283Q1NvEc1QZmxs35%2fX4wQbniaMu763KDnJ7T691%2b%2fxqKkU%2fIu4ZUGb5jRKRpG58MRjqGFG%2bLkNvX1T1oyTzo0iPXtbtkyI%2bMzzRbqad9DSrV8HgXo80fMPSb%2fmXF0UlcQU4a0TTJ%2bvdKwmX6Xl%2bVwZAGQST4%3d _x000d__x000a_https://bar.cnki.net/bar/download/order?id=jBGETXBNdPImvx70aLAuJKPd5%2bH15oC8gGzxs3xdBxiXNLAXg%2fC3jWhB4BgHFEr%2fEBmWIvuz0Y15xF283Q1NvEc1QZmxs35%2fX4wQbniaMu763KDnJ7T691%2b%2fxqKkU%2fIu4ZUGb5jRKRpG58MRjqGFG%2bLkNvX1T1oyTzo0iPXtbtkyI%2bMzzRbqad9DSrV8HgXosZybgLjgemMVw2Fk3VE6WV5irXQdptsUMBKCP%2fj64%2bzY9Rh0t1%2fsHPJmvPacC%2fDw _x000d__x000a_&lt;/_url&gt;&lt;_translated_author&gt;Zhang, Xurui&lt;/_translated_author&gt;&lt;_translated_tertiary_author&gt;Gao, Jianzhong&lt;/_translated_tertiary_author&gt;&lt;/Details&gt;&lt;Extra&gt;&lt;DBUID&gt;{BD8F6675-5345-4625-BBA4-8897723D22F5}&lt;/DBUID&gt;&lt;/Extra&gt;&lt;/Item&gt;&lt;/References&gt;&lt;/Group&gt;&lt;/Citation&gt;_x000a_"/>
    <w:docVar w:name="NE.Ref{7B32BA34-80D4-4FD3-9B3B-5BFAAA552B83}" w:val=" ADDIN NE.Ref.{7B32BA34-80D4-4FD3-9B3B-5BFAAA552B83}&lt;Citation&gt;&lt;Group&gt;&lt;References&gt;&lt;Item&gt;&lt;ID&gt;1046&lt;/ID&gt;&lt;UID&gt;{84CF0474-FFF0-4BAA-80D8-014A0F8D8D7E}&lt;/UID&gt;&lt;Title&gt;农户生计恢复力对多维贫困的影响——来自陕西易地扶贫搬迁地区的证据&lt;/Title&gt;&lt;Template&gt;Journal Article&lt;/Template&gt;&lt;Star&gt;0&lt;/Star&gt;&lt;Tag&gt;0&lt;/Tag&gt;&lt;Author&gt;李聪; 高梦; 李树茁; 雷昊博&lt;/Author&gt;&lt;Year&gt;2021&lt;/Year&gt;&lt;Details&gt;&lt;_accessed&gt;64677259&lt;/_accessed&gt;&lt;_author_adr&gt;西安交通大学经济与金融学院;西安交通大学城市学院;西安交通大学公共政策与管理学院;西安财经大学统计学院;&lt;/_author_adr&gt;&lt;_collection_scope&gt;CSSCI;PKU;CSCD&lt;/_collection_scope&gt;&lt;_created&gt;64396393&lt;/_created&gt;&lt;_db_provider&gt;CNKI&lt;/_db_provider&gt;&lt;_isbn&gt;1002-2104&lt;/_isbn&gt;&lt;_issue&gt;07&lt;/_issue&gt;&lt;_journal&gt;中国人口·资源与环境&lt;/_journal&gt;&lt;_keywords&gt;农户;;生计恢复力;;多维贫困;;易地扶贫搬迁;;门槛回归&lt;/_keywords&gt;&lt;_label&gt;两个维度分析&lt;/_label&gt;&lt;_modified&gt;64677260&lt;/_modified&gt;&lt;_pages&gt;150-160&lt;/_pages&gt;&lt;_url&gt;https://bar.cnki.net/bar/download/order?id=jBGETXBNdPImvx70aLAuJPYxPoFw%2bp%2bi0fIiSrcN6lV2S4gSi1fZZ6pd6ViXwYXn%2bDdkDFepkUoGamH8rMrnz0GxVkq8YHJNz4jV3WhknTrl8E%2bCUVp5GtDTYhVF2dNUoJeGx62Ssygg68TNXJ%2b5JrigejDAar8Xqw%2f6WR22OFXUdUGh4At8VBYSvh%2fCUD5a0NH3eWXqFPNMKmLlx5mWP%2bO9XzKGxlnZDtgOPyoZMjf5LXYX1qwFXwOc1HUZT%2bTB _x000d__x000a_&lt;/_url&gt;&lt;_volume&gt;31&lt;/_volume&gt;&lt;_translated_author&gt;Li, Cong;Gao, Meng;Li, Shuzhuo;Lei, Haobo&lt;/_translated_author&gt;&lt;/Details&gt;&lt;Extra&gt;&lt;DBUID&gt;{BD8F6675-5345-4625-BBA4-8897723D22F5}&lt;/DBUID&gt;&lt;/Extra&gt;&lt;/Item&gt;&lt;/References&gt;&lt;/Group&gt;&lt;/Citation&gt;_x000a_"/>
    <w:docVar w:name="NE.Ref{7B7C49F1-DADD-4687-B595-B53A88BEC9B2}" w:val=" ADDIN NE.Ref.{7B7C49F1-DADD-4687-B595-B53A88BEC9B2}&lt;Citation&gt;&lt;Group&gt;&lt;References&gt;&lt;Item&gt;&lt;ID&gt;402&lt;/ID&gt;&lt;UID&gt;{496CC15C-18B6-4ECB-8D73-69C01A3CF620}&lt;/UID&gt;&lt;Title&gt;青藏高原朋曲河流域农牧民家庭生计恢复力综合评估&lt;/Title&gt;&lt;Template&gt;Thesis&lt;/Template&gt;&lt;Star&gt;0&lt;/Star&gt;&lt;Tag&gt;0&lt;/Tag&gt;&lt;Author&gt;熊思鸿&lt;/Author&gt;&lt;Year&gt;2020&lt;/Year&gt;&lt;Details&gt;&lt;_accessed&gt;64060486&lt;/_accessed&gt;&lt;_created&gt;64060478&lt;/_created&gt;&lt;_db_updated&gt;CNKI - Reference&lt;/_db_updated&gt;&lt;_keywords&gt;生计恢复力;生计多样化;气候变化;青藏高原;朋曲河流域&lt;/_keywords&gt;&lt;_modified&gt;64663295&lt;/_modified&gt;&lt;_pages&gt;76&lt;/_pages&gt;&lt;_publisher&gt;西南大学&lt;/_publisher&gt;&lt;_short_title&gt;青藏高原朋曲河流域农牧民家庭生计恢复力综合评估&lt;/_short_title&gt;&lt;_tertiary_author&gt;阎建忠&lt;/_tertiary_author&gt;&lt;_type_work&gt;硕士&lt;/_type_work&gt;&lt;_url&gt;https://kns.cnki.net/kcms/detail/detail.aspx?FileName=1020329200.nh&amp;amp;DbName=CMFD2021 _x000d__x000a_https://bar.cnki.net/bar/download/order?id=jBGETXBNdPImvx70aLAuJFo8d3crjALHLDOld0RphO03I9ypXY3a%2bN0wwwogBqeeRsbAoyvB4t8pFeksLzfjVlVf%2fr7OCpmiTC0nfhxm66h0kLXJs8oIrymTj1517PLaNtkhhqQSRKIuUpambLA7bQkHsxGDxQo5Kqbx7ZlvVJnDLQCqA1Hl3VpFjUT%2bGtlkf83WBWdlkJrkXFrTTUujawIs5jq0D9o%2bnx7E84ClpmpyHfMYl%2fhQHBcb2LuHYfNh _x000d__x000a_&lt;/_url&gt;&lt;_volume&gt;硕士&lt;/_volume&gt;&lt;_translated_author&gt;Xiong, Sihong&lt;/_translated_author&gt;&lt;_translated_tertiary_author&gt;Yan, Jianzhong&lt;/_translated_tertiary_author&gt;&lt;/Details&gt;&lt;Extra&gt;&lt;DBUID&gt;{BD8F6675-5345-4625-BBA4-8897723D22F5}&lt;/DBUID&gt;&lt;/Extra&gt;&lt;/Item&gt;&lt;/References&gt;&lt;/Group&gt;&lt;Group&gt;&lt;References&gt;&lt;Item&gt;&lt;ID&gt;469&lt;/ID&gt;&lt;UID&gt;{6C811EFF-94C1-4C88-8AAB-21F3B6F7711D}&lt;/UID&gt;&lt;Title&gt;气候灾害下黄土高原农户生计恢复力研究&lt;/Title&gt;&lt;Template&gt;Thesis&lt;/Template&gt;&lt;Star&gt;0&lt;/Star&gt;&lt;Tag&gt;0&lt;/Tag&gt;&lt;Author&gt;吴晓萍&lt;/Author&gt;&lt;Year&gt;2019&lt;/Year&gt;&lt;Details&gt;&lt;_accessed&gt;64292831&lt;/_accessed&gt;&lt;_created&gt;64060478&lt;/_created&gt;&lt;_db_updated&gt;CNKI - Reference&lt;/_db_updated&gt;&lt;_image&gt;internal-pdf://1855923281/气候灾害下黄土高原农户生计恢复力研究_吴晓萍.caj&lt;/_image&gt;&lt;_keywords&gt;气候灾害;生计恢复力;黄土高原;农户&lt;/_keywords&gt;&lt;_label&gt;在经典框架上加上心里感知能力&lt;/_label&gt;&lt;_modified&gt;64293924&lt;/_modified&gt;&lt;_pages&gt;69&lt;/_pages&gt;&lt;_publisher&gt;西北农林科技大学&lt;/_publisher&gt;&lt;_short_title&gt;气候灾害下黄土高原农户生计恢复力研究&lt;/_short_title&gt;&lt;_tertiary_author&gt;淮建军&lt;/_tertiary_author&gt;&lt;_type_work&gt;硕士&lt;/_type_work&gt;&lt;_url&gt;https://kns.cnki.net/kcms/detail/detail.aspx?FileName=1019844895.nh&amp;amp;DbName=CMFD2019 _x000d__x000a_https://bar.cnki.net/bar/download/order?id=jBGETXBNdPImvx70aLAuJFo8d3crjALHLDOld0RphO0ibb2zJvg0iCM%2b10Q1jPegRsbAoyvB4t8pFeksLzfjVvHn0Y3rZUVMAjPppNnIzz50kLXJs8oIrymTj1517PLaNtkhhqQSRKIuUpambLA7bQkHsxGDxQo5Kqbx7ZlvVJnDLQCqA1Hl3VpFjUT%2bGtlkqYMIgoyuiZE%2fgnJft7wBqw3pB4mNLtmMnQURlS70XAg%3d _x000d__x000a_&lt;/_url&gt;&lt;_volume&gt;硕士&lt;/_volume&gt;&lt;_translated_author&gt;Wu, Xiaoping&lt;/_translated_author&gt;&lt;_translated_tertiary_author&gt;Huai, Jianjun&lt;/_translated_tertiary_author&gt;&lt;/Details&gt;&lt;Extra&gt;&lt;DBUID&gt;{BD8F6675-5345-4625-BBA4-8897723D22F5}&lt;/DBUID&gt;&lt;/Extra&gt;&lt;/Item&gt;&lt;/References&gt;&lt;/Group&gt;&lt;/Citation&gt;_x000a_"/>
    <w:docVar w:name="NE.Ref{7BC9E4C4-B902-44AD-BD6F-299DE9820822}" w:val=" ADDIN NE.Ref.{7BC9E4C4-B902-44AD-BD6F-299DE9820822}&lt;Citation&gt;&lt;Group&gt;&lt;References&gt;&lt;Item&gt;&lt;ID&gt;1664&lt;/ID&gt;&lt;UID&gt;{DB1AD11D-2928-4B79-A1B9-AB574300FE92}&lt;/UID&gt;&lt;Title&gt;Time to leave GDP behind&lt;/Title&gt;&lt;Template&gt;Journal Article&lt;/Template&gt;&lt;Star&gt;0&lt;/Star&gt;&lt;Tag&gt;0&lt;/Tag&gt;&lt;Author&gt;Costanza, Robert; Kubiszewski, Ida; Giovannini, Enrico; Lovins, Hunter; McGlade, Jacqueline; Pickett, Kate E; Ragnarsdottir, Kristin Vala; Roberts, Debra; De Vogli, Roberto; Wilkinson, Richard&lt;/Author&gt;&lt;Year&gt;2014&lt;/Year&gt;&lt;Details&gt;&lt;_alternate_title&gt;NATURE&lt;/_alternate_title&gt;&lt;_collection_scope&gt;SCIE&lt;/_collection_scope&gt;&lt;_created&gt;64594209&lt;/_created&gt;&lt;_date&gt;2014-01-01&lt;/_date&gt;&lt;_date_display&gt;2014&lt;/_date_display&gt;&lt;_doi&gt;10.1038/505283a&lt;/_doi&gt;&lt;_impact_factor&gt;  69.504&lt;/_impact_factor&gt;&lt;_isbn&gt;0028-0836&lt;/_isbn&gt;&lt;_issue&gt;7483&lt;/_issue&gt;&lt;_journal&gt;NATURE&lt;/_journal&gt;&lt;_modified&gt;64594209&lt;/_modified&gt;&lt;_pages&gt;283-285&lt;/_pages&gt;&lt;_social_category&gt;综合性期刊(1)&lt;/_social_category&gt;&lt;_volume&gt;505&lt;/_volume&gt;&lt;/Details&gt;&lt;Extra&gt;&lt;DBUID&gt;{BD8F6675-5345-4625-BBA4-8897723D22F5}&lt;/DBUID&gt;&lt;/Extra&gt;&lt;/Item&gt;&lt;/References&gt;&lt;/Group&gt;&lt;/Citation&gt;_x000a_"/>
    <w:docVar w:name="NE.Ref{7D3214F1-7F9B-405D-B6E1-531245CEE1E8}" w:val=" ADDIN NE.Ref.{7D3214F1-7F9B-405D-B6E1-531245CEE1E8}&lt;Citation&gt;&lt;Group&gt;&lt;References&gt;&lt;Item&gt;&lt;ID&gt;1639&lt;/ID&gt;&lt;UID&gt;{3CD7A56E-5AB0-4DF8-BAE1-023C2A6FB2A1}&lt;/UID&gt;&lt;Title&gt;层次分析法权重计算方法分析及其应用研究&lt;/Title&gt;&lt;Template&gt;Journal Article&lt;/Template&gt;&lt;Star&gt;0&lt;/Star&gt;&lt;Tag&gt;0&lt;/Tag&gt;&lt;Author&gt;邓雪; 李家铭; 曾浩健; 陈俊羊; 赵俊峰&lt;/Author&gt;&lt;Year&gt;2012&lt;/Year&gt;&lt;Details&gt;&lt;_author_adr&gt;华南理工大学理学院数学系;华南理工大学机械与汽车工程学院;&lt;/_author_adr&gt;&lt;_collection_scope&gt;PKU&lt;/_collection_scope&gt;&lt;_created&gt;64574730&lt;/_created&gt;&lt;_db_provider&gt;CNKI&lt;/_db_provider&gt;&lt;_isbn&gt;1000-0984&lt;/_isbn&gt;&lt;_issue&gt;07&lt;/_issue&gt;&lt;_journal&gt;数学的实践与认识&lt;/_journal&gt;&lt;_keywords&gt;层次分析法;判断矩阵;权重向量;一致性检验&lt;/_keywords&gt;&lt;_modified&gt;64574730&lt;/_modified&gt;&lt;_pages&gt;93-100&lt;/_pages&gt;&lt;_volume&gt;42&lt;/_volume&gt;&lt;_translated_author&gt;Deng, Xue;Li, Jiaming;Ceng, Haojian;Chen, Junyang;Zhao, Junfeng&lt;/_translated_author&gt;&lt;/Details&gt;&lt;Extra&gt;&lt;DBUID&gt;{BD8F6675-5345-4625-BBA4-8897723D22F5}&lt;/DBUID&gt;&lt;/Extra&gt;&lt;/Item&gt;&lt;/References&gt;&lt;/Group&gt;&lt;/Citation&gt;_x000a_"/>
    <w:docVar w:name="NE.Ref{7F794CAD-9007-4803-9F35-28CF01A1D539}" w:val=" ADDIN NE.Ref.{7F794CAD-9007-4803-9F35-28CF01A1D539}&lt;Citation&gt;&lt;Group&gt;&lt;References&gt;&lt;Item&gt;&lt;ID&gt;533&lt;/ID&gt;&lt;UID&gt;{E44100D4-7F9C-4BF7-B80F-45964C46F102}&lt;/UID&gt;&lt;Title&gt;青藏高原东部样带农牧民生计脆弱性评估&lt;/Title&gt;&lt;Template&gt;Journal Article&lt;/Template&gt;&lt;Star&gt;0&lt;/Star&gt;&lt;Tag&gt;0&lt;/Tag&gt;&lt;Author&gt;阎建忠; 喻鸥; 吴莹莹; 张镱锂&lt;/Author&gt;&lt;Year&gt;2011&lt;/Year&gt;&lt;Details&gt;&lt;_author_adr&gt;西南大学资源环境学院;中国科学院地理科学与资源研究所;&lt;/_author_adr&gt;&lt;_call_num&gt;22-1124/P&lt;/_call_num&gt;&lt;_collection_scope&gt;CSCD;CSSCI-C;PKU&lt;/_collection_scope&gt;&lt;_created&gt;64063380&lt;/_created&gt;&lt;_isbn&gt;1000-0690&lt;/_isbn&gt;&lt;_issue&gt;07&lt;/_issue&gt;&lt;_journal&gt;地理科学&lt;/_journal&gt;&lt;_keywords&gt;青藏高原_x000d__x000a_生计_x000d__x000a_脆弱性_x000d__x000a_适应能力&lt;/_keywords&gt;&lt;_modified&gt;64664270&lt;/_modified&gt;&lt;_pages&gt;858-867&lt;/_pages&gt;&lt;_short_title&gt;青藏高原东部样带农牧民生计脆弱性评估&lt;/_short_title&gt;&lt;_url&gt;https://bar.cnki.net/bar/download/order?id=jBGETXBNdPImvx70aLAuJPYxPoFw%2bp%2bi0fIiSrcN6lU1kQOeGwzVoFDlSVyb%2fh1Nl61dxzuriBMEhUg4v39I6Dh5tKpfWQTHmJ4z2jnC60otqddCdidyosdSaMNWur3ZJBjdlDrNnftoR5pdZPiFRNlKM4sfpT3nRHSqBOA4sms8GQBtE8Z8mK%2fNwS15YoSEKEHmC4MRsjY%2bkA3cgs41JqopkQ6JnjQzfIvFcCnka0M%3d _x000d__x000a_&lt;/_url&gt;&lt;_volume&gt;31&lt;/_volume&gt;&lt;_translated_author&gt;Yan, Jianzhong;Yu, Ou;Wu, Yingying;Zhang, Yili&lt;/_translated_author&gt;&lt;/Details&gt;&lt;Extra&gt;&lt;DBUID&gt;{BD8F6675-5345-4625-BBA4-8897723D22F5}&lt;/DBUID&gt;&lt;/Extra&gt;&lt;/Item&gt;&lt;/References&gt;&lt;/Group&gt;&lt;Group&gt;&lt;References&gt;&lt;Item&gt;&lt;ID&gt;534&lt;/ID&gt;&lt;UID&gt;{D1ECB027-D1AB-47CA-9330-079C29B94FED}&lt;/UID&gt;&lt;Title&gt;气候变化背景下青藏高原农牧民家庭生计脆弱性评估&lt;/Title&gt;&lt;Template&gt;Thesis&lt;/Template&gt;&lt;Star&gt;0&lt;/Star&gt;&lt;Tag&gt;0&lt;/Tag&gt;&lt;Author&gt;李彩瑛&lt;/Author&gt;&lt;Year&gt;2019&lt;/Year&gt;&lt;Details&gt;&lt;_created&gt;64063380&lt;/_created&gt;&lt;_image&gt;internal-pdf://1779984976/气候变化背景下青藏高原农牧民家庭生计脆弱性评估_李彩瑛.caj&lt;/_image&gt;&lt;_keywords&gt;气候变化_x000d__x000a_生计脆弱性_x000d__x000a_暴露度_x000d__x000a_敏感性_x000d__x000a_适应能力_x000d__x000a_青藏高原&lt;/_keywords&gt;&lt;_modified&gt;64663295&lt;/_modified&gt;&lt;_publisher&gt;西南大学&lt;/_publisher&gt;&lt;_short_title&gt;气候变化背景下青藏高原农牧民家庭生计脆弱性评估&lt;/_short_title&gt;&lt;_tertiary_author&gt;阎建忠&lt;/_tertiary_author&gt;&lt;_type_work&gt;硕士&lt;/_type_work&gt;&lt;_url&gt;https://bar.cnki.net/bar/download/order?id=jBGETXBNdPImvx70aLAuJFo8d3crjALHLDOld0RphO2C0azSQKTRZD72fAyOQSGrRsbAoyvB4t8pFeksLzfjVvHn0Y3rZUVMAjPppNnIzz50kLXJs8oIrymTj1517PLaNtkhhqQSRKIuUpambLA7bQkHsxGDxQo5Kqbx7ZlvVJnDLQCqA1Hl3VpFjUT%2bGtlkd%2b4sxtxnfDzBDIYvZY8Xtl2Dgyy0zhAxyuXD1n8mv6tyHfMYl%2fhQHBcb2LuHYfNh _x000d__x000a_&lt;/_url&gt;&lt;_translated_author&gt;Li, Caiying&lt;/_translated_author&gt;&lt;_translated_tertiary_author&gt;Yan, Jianzhong&lt;/_translated_tertiary_author&gt;&lt;/Details&gt;&lt;Extra&gt;&lt;DBUID&gt;{BD8F6675-5345-4625-BBA4-8897723D22F5}&lt;/DBUID&gt;&lt;/Extra&gt;&lt;/Item&gt;&lt;/References&gt;&lt;/Group&gt;&lt;/Citation&gt;_x000a_"/>
    <w:docVar w:name="NE.Ref{803FCA58-E621-41BB-A45D-F3619A22211F}" w:val=" ADDIN NE.Ref.{803FCA58-E621-41BB-A45D-F3619A22211F}&lt;Citation SecTmpl=&quot;1&quot;&gt;&lt;Group&gt;&lt;References&gt;&lt;Item&gt;&lt;ID&gt;432&lt;/ID&gt;&lt;UID&gt;{C75B6347-1E02-4C5C-8086-38AFB7EE1072}&lt;/UID&gt;&lt;Title&gt;Livelihood resilience of riverine island dwellers in the face of natural disasters: Empirical evidence from Bangladesh&lt;/Title&gt;&lt;Template&gt;Journal Article&lt;/Template&gt;&lt;Star&gt;0&lt;/Star&gt;&lt;Tag&gt;0&lt;/Tag&gt;&lt;Author&gt;Sarker, Md Nazirul Islam; Wu, Min; Alam, G M Monirul; Shouse, Roger C&lt;/Author&gt;&lt;Year&gt;2020&lt;/Year&gt;&lt;Details&gt;&lt;_collection_scope&gt;SSCI&lt;/_collection_scope&gt;&lt;_created&gt;64060478&lt;/_created&gt;&lt;_date&gt;2020-01-01&lt;/_date&gt;&lt;_date_display&gt;2020/06/01/&lt;/_date_display&gt;&lt;_doi&gt;https://doi.org/10.1016/j.landusepol.2020.104599&lt;/_doi&gt;&lt;_image&gt;internal-pdf://0465769996/Livelihood-resilience-of-riverine-island-dwell.pdf&lt;/_image&gt;&lt;_impact_factor&gt;   6.189&lt;/_impact_factor&gt;&lt;_isbn&gt;0264-8377&lt;/_isbn&gt;&lt;_journal&gt;Land Use Policy&lt;/_journal&gt;&lt;_keywords&gt;Livelihood Resilience Index_x000d__x000a_Adaptive capacity_x000d__x000a_Disaster management_x000d__x000a_Land use system_x000d__x000a_Climate change&lt;/_keywords&gt;&lt;_modified&gt;64608216&lt;/_modified&gt;&lt;_pages&gt;104599&lt;/_pages&gt;&lt;_short_title&gt;Livelihood resilience of riverine island dwellers in the face of natural disasters: Empirical evidence from Bangladesh&lt;/_short_title&gt;&lt;_social_category&gt;法学(1)&lt;/_social_category&gt;&lt;_url&gt;https://www.sciencedirect.com/science/article/pii/S0264837720302465&lt;/_url&gt;&lt;_volume&gt;95&lt;/_volume&gt;&lt;/Details&gt;&lt;Extra&gt;&lt;DBUID&gt;{BD8F6675-5345-4625-BBA4-8897723D22F5}&lt;/DBUID&gt;&lt;/Extra&gt;&lt;/Item&gt;&lt;/References&gt;&lt;/Group&gt;&lt;/Citation&gt;_x000a_"/>
    <w:docVar w:name="NE.Ref{804592F5-6771-4245-9C37-3D810124AAC2}" w:val=" ADDIN NE.Ref.{804592F5-6771-4245-9C37-3D810124AAC2}&lt;Citation&gt;&lt;Group&gt;&lt;References&gt;&lt;Item&gt;&lt;ID&gt;464&lt;/ID&gt;&lt;UID&gt;{3A9A0900-3AEC-4851-8118-965004C43250}&lt;/UID&gt;&lt;Title&gt;构建社会主义和谐社会关系辩证&lt;/Title&gt;&lt;Template&gt;Conference Paper&lt;/Template&gt;&lt;Star&gt;0&lt;/Star&gt;&lt;Tag&gt;0&lt;/Tag&gt;&lt;Author&gt;傅泽风&lt;/Author&gt;&lt;Year&gt;2007&lt;/Year&gt;&lt;Details&gt;&lt;_accessed&gt;64062069&lt;/_accessed&gt;&lt;_author_adr&gt;湖北省社会科学院邓小平理论研究中心;&lt;/_author_adr&gt;&lt;_author_aff&gt;湖北省社会科学院邓小平理论研究中心;&lt;/_author_aff&gt;&lt;_created&gt;64060478&lt;/_created&gt;&lt;_db_updated&gt;CNKI - Reference&lt;/_db_updated&gt;&lt;_image&gt;internal-pdf://1739680512/构建社会主义和谐社会关系辩证_傅泽风.pdf&lt;/_image&gt;&lt;_keywords&gt;构建社会主义和谐社会;胡锦涛;马克思列宁主义;马克思主义;毛泽东思想;社会主义和谐社会建设;科学发展观;&lt;/_keywords&gt;&lt;_modified&gt;64061953&lt;/_modified&gt;&lt;_pages&gt;8&lt;/_pages&gt;&lt;_place_published&gt;中国河南郑州&lt;/_place_published&gt;&lt;_secondary_title&gt;全国社科院系统邓小平理论研究中心第十二届年会暨理论研讨会&lt;/_secondary_title&gt;&lt;_short_title&gt;构建社会主义和谐社会关系辩证&lt;/_short_title&gt;&lt;_tertiary_title&gt;坚持科学发展 构建和谐社会——全国社科院系统邓小平理论研究中心第十二届年会暨理论研讨会论文集&lt;/_tertiary_title&gt;&lt;_url&gt;https://kns.cnki.net/kcms/detail/detail.aspx?FileName=HZXD200706001027&amp;amp;DbName=CPFD2008&lt;/_url&gt;&lt;_translated_author&gt;Fu, Zefeng&lt;/_translated_author&gt;&lt;/Details&gt;&lt;Extra&gt;&lt;DBUID&gt;{BD8F6675-5345-4625-BBA4-8897723D22F5}&lt;/DBUID&gt;&lt;/Extra&gt;&lt;/Item&gt;&lt;/References&gt;&lt;/Group&gt;&lt;Group&gt;&lt;References&gt;&lt;Item&gt;&lt;ID&gt;435&lt;/ID&gt;&lt;UID&gt;{BA5606EC-B50F-4B93-860E-963FDB37F852}&lt;/UID&gt;&lt;Title&gt;构建和谐社会关系:社会主义社会的重要价值&lt;/Title&gt;&lt;Template&gt;Journal Article&lt;/Template&gt;&lt;Star&gt;0&lt;/Star&gt;&lt;Tag&gt;0&lt;/Tag&gt;&lt;Author&gt;王孝哲&lt;/Author&gt;&lt;Year&gt;2010&lt;/Year&gt;&lt;Details&gt;&lt;_accessed&gt;64060481&lt;/_accessed&gt;&lt;_author_adr&gt;安徽大学哲学系;&lt;/_author_adr&gt;&lt;_author_aff&gt;安徽大学哲学系;&lt;/_author_aff&gt;&lt;_call_num&gt;34-1045/C&lt;/_call_num&gt;&lt;_created&gt;64060478&lt;/_created&gt;&lt;_date&gt;57934080&lt;/_date&gt;&lt;_db_updated&gt;CNKI - Reference&lt;/_db_updated&gt;&lt;_image&gt;internal-pdf://0568119482/构建和谐社会关系_社会主义社会的重要价值_王孝哲.pdf&lt;/_image&gt;&lt;_isbn&gt;1003-4730&lt;/_isbn&gt;&lt;_issue&gt;02&lt;/_issue&gt;&lt;_journal&gt;安庆师范学院学报(社会科学版)&lt;/_journal&gt;&lt;_keywords&gt;社会主义社会;和谐社会关系;构建;重要价值&lt;/_keywords&gt;&lt;_modified&gt;64061952&lt;/_modified&gt;&lt;_pages&gt;1-7&lt;/_pages&gt;&lt;_short_title&gt;构建和谐社会关系:社会主义社会的重要价值&lt;/_short_title&gt;&lt;_url&gt;https://kns.cnki.net/kcms/detail/detail.aspx?FileName=AQSS201002002&amp;amp;DbName=CJFQ2010&lt;/_url&gt;&lt;_volume&gt;29&lt;/_volume&gt;&lt;_translated_author&gt;Wang, Xiaozhe&lt;/_translated_author&gt;&lt;/Details&gt;&lt;Extra&gt;&lt;DBUID&gt;{BD8F6675-5345-4625-BBA4-8897723D22F5}&lt;/DBUID&gt;&lt;/Extra&gt;&lt;/Item&gt;&lt;/References&gt;&lt;/Group&gt;&lt;Group&gt;&lt;References&gt;&lt;Item&gt;&lt;ID&gt;510&lt;/ID&gt;&lt;UID&gt;{1815A37D-CAA6-4D19-B594-A237B9097A84}&lt;/UID&gt;&lt;Title&gt;构建和谐社会关系的制度化选择&lt;/Title&gt;&lt;Template&gt;Journal Article&lt;/Template&gt;&lt;Star&gt;0&lt;/Star&gt;&lt;Tag&gt;0&lt;/Tag&gt;&lt;Author&gt;刘燕&lt;/Author&gt;&lt;Year&gt;2015&lt;/Year&gt;&lt;Details&gt;&lt;_accessed&gt;64060483&lt;/_accessed&gt;&lt;_author_adr&gt;中国人民大学马克思主义学院;&lt;/_author_adr&gt;&lt;_author_aff&gt;中国人民大学马克思主义学院;&lt;/_author_aff&gt;&lt;_call_num&gt;65-1005/D&lt;/_call_num&gt;&lt;_created&gt;64060478&lt;/_created&gt;&lt;_date&gt;60497280&lt;/_date&gt;&lt;_db_updated&gt;CNKI - Reference&lt;/_db_updated&gt;&lt;_image&gt;internal-pdf://3662589616/构建和谐社会关系的制度化选择_刘燕.pdf&lt;/_image&gt;&lt;_isbn&gt;1003-4641&lt;/_isbn&gt;&lt;_issue&gt;01&lt;/_issue&gt;&lt;_journal&gt;实事求是&lt;/_journal&gt;&lt;_keywords&gt;整合社会关系;制度;经济选择;政治选择;文化选择;社会选择&lt;/_keywords&gt;&lt;_modified&gt;64060810&lt;/_modified&gt;&lt;_pages&gt;20-25&lt;/_pages&gt;&lt;_short_title&gt;构建和谐社会关系的制度化选择&lt;/_short_title&gt;&lt;_url&gt;https://kns.cnki.net/kcms/detail/detail.aspx?FileName=SSQS201501005&amp;amp;DbName=CJFQ2015&lt;/_url&gt;&lt;_translated_author&gt;Liu, Yan&lt;/_translated_author&gt;&lt;/Details&gt;&lt;Extra&gt;&lt;DBUID&gt;{BD8F6675-5345-4625-BBA4-8897723D22F5}&lt;/DBUID&gt;&lt;/Extra&gt;&lt;/Item&gt;&lt;/References&gt;&lt;/Group&gt;&lt;/Citation&gt;_x000a_"/>
    <w:docVar w:name="NE.Ref{806D71AE-54A2-43CF-B699-6DABEFDF7846}" w:val=" ADDIN NE.Ref.{806D71AE-54A2-43CF-B699-6DABEFDF7846}&lt;Citation&gt;&lt;Group&gt;&lt;References&gt;&lt;Item&gt;&lt;ID&gt;678&lt;/ID&gt;&lt;UID&gt;{D02C35FE-0CC5-4339-A167-72DD2EFB7C56}&lt;/UID&gt;&lt;Title&gt;Complementary livelihood capital as a means to enhance adaptive capacity: A case of the Loess Plateau, China&lt;/Title&gt;&lt;Template&gt;Journal Article&lt;/Template&gt;&lt;Star&gt;0&lt;/Star&gt;&lt;Tag&gt;0&lt;/Tag&gt;&lt;Author&gt;Li, Mengping; Huo, Xuexi; Peng, Changhui; Qiu, Huanguang; Shangguan, Zhouping; Chang, Cheng; Huai, Jianjun&lt;/Author&gt;&lt;Year&gt;2017&lt;/Year&gt;&lt;Details&gt;&lt;_accessed&gt;64433504&lt;/_accessed&gt;&lt;_alternate_title&gt;Global Environmental Change&lt;/_alternate_title&gt;&lt;_created&gt;64144259&lt;/_created&gt;&lt;_date&gt;2017-01-01&lt;/_date&gt;&lt;_date_display&gt;2017&lt;/_date_display&gt;&lt;_doi&gt;https://doi.org/10.1016/j.gloenvcha.2017.10.004&lt;/_doi&gt;&lt;_impact_factor&gt;  11.160&lt;/_impact_factor&gt;&lt;_isbn&gt;0959-3780&lt;/_isbn&gt;&lt;_journal&gt;Global Environmental Change&lt;/_journal&gt;&lt;_keywords&gt;Climate change; Adaptive capacity; Complementarity-substitution; Livelihood capital; Loess Plateau&lt;/_keywords&gt;&lt;_label&gt;生计资本之间的替代与互补效应&lt;/_label&gt;&lt;_modified&gt;64634173&lt;/_modified&gt;&lt;_pages&gt;143-152&lt;/_pages&gt;&lt;_social_category&gt;环境科学与生态学(1)&lt;/_social_category&gt;&lt;_url&gt;https://www.sciencedirect.com/science/article/pii/S0959378017307987&lt;/_url&gt;&lt;_volume&gt;47&lt;/_volume&gt;&lt;/Details&gt;&lt;Extra&gt;&lt;DBUID&gt;{BD8F6675-5345-4625-BBA4-8897723D22F5}&lt;/DBUID&gt;&lt;/Extra&gt;&lt;/Item&gt;&lt;/References&gt;&lt;/Group&gt;&lt;/Citation&gt;_x000a_"/>
    <w:docVar w:name="NE.Ref{8373A8E7-9FDD-4E45-A6EC-925B7542941C}" w:val=" ADDIN NE.Ref.{8373A8E7-9FDD-4E45-A6EC-925B7542941C}&lt;Citation SecTmpl=&quot;1&quot;&gt;&lt;Group&gt;&lt;References&gt;&lt;Item&gt;&lt;ID&gt;999&lt;/ID&gt;&lt;UID&gt;{0190992B-6204-455B-9BDD-EEEA390A102F}&lt;/UID&gt;&lt;Title&gt;Sustainable rural livelihoods: practical concepts for the 21st century&lt;/Title&gt;&lt;Template&gt;Journal Article&lt;/Template&gt;&lt;Star&gt;0&lt;/Star&gt;&lt;Tag&gt;0&lt;/Tag&gt;&lt;Author&gt;Chambers, R; Conway, G&lt;/Author&gt;&lt;Year&gt;1992&lt;/Year&gt;&lt;Details&gt;&lt;_accessed&gt;64682958&lt;/_accessed&gt;&lt;_created&gt;64292799&lt;/_created&gt;&lt;_journal&gt;IDS Discussion Paper No. 296. Brighton, Institute of Development Studies&lt;/_journal&gt;&lt;_label&gt;提出生计恢复力概念，作为可持续生计一部分&lt;/_label&gt;&lt;_modified&gt;64682958&lt;/_modified&gt;&lt;_volume&gt;296&lt;/_volume&gt;&lt;_pages&gt;21-25&lt;/_pages&gt;&lt;/Details&gt;&lt;Extra&gt;&lt;DBUID&gt;{BD8F6675-5345-4625-BBA4-8897723D22F5}&lt;/DBUID&gt;&lt;/Extra&gt;&lt;/Item&gt;&lt;/References&gt;&lt;/Group&gt;&lt;/Citation&gt;_x000a_"/>
    <w:docVar w:name="NE.Ref{851EF31E-1B2A-417D-9CEB-1E154AF54BA3}" w:val=" ADDIN NE.Ref.{851EF31E-1B2A-417D-9CEB-1E154AF54BA3}&lt;Citation SecTmpl=&quot;1&quot;&gt;&lt;Group&gt;&lt;References&gt;&lt;Item&gt;&lt;ID&gt;1666&lt;/ID&gt;&lt;UID&gt;{45F30780-3E05-4F24-8CBB-E090EC173B6E}&lt;/UID&gt;&lt;Title&gt;The role of human, social, built, and natural capital in explaining life satisfaction at the country level: Toward a National Well-Being Index (NWI)&lt;/Title&gt;&lt;Template&gt;Journal Article&lt;/Template&gt;&lt;Star&gt;0&lt;/Star&gt;&lt;Tag&gt;0&lt;/Tag&gt;&lt;Author&gt;Vemuri, A W; Costanza, R&lt;/Author&gt;&lt;Year&gt;2006&lt;/Year&gt;&lt;Details&gt;&lt;_alternate_title&gt;ECOLOGICAL ECONOMICS&lt;/_alternate_title&gt;&lt;_collection_scope&gt;SSCI;SCIE&lt;/_collection_scope&gt;&lt;_created&gt;64594341&lt;/_created&gt;&lt;_date&gt;2006-01-01&lt;/_date&gt;&lt;_date_display&gt;2006&lt;/_date_display&gt;&lt;_doi&gt;10.1016/j.ecolecon.2005.02.008&lt;/_doi&gt;&lt;_impact_factor&gt;   6.536&lt;/_impact_factor&gt;&lt;_isbn&gt;0921-8009&lt;/_isbn&gt;&lt;_issue&gt;1&lt;/_issue&gt;&lt;_journal&gt;ECOLOGICAL ECONOMICS&lt;/_journal&gt;&lt;_modified&gt;64594341&lt;/_modified&gt;&lt;_pages&gt;119-133&lt;/_pages&gt;&lt;_social_category&gt;经济学(2)&lt;/_social_category&gt;&lt;_volume&gt;58&lt;/_volume&gt;&lt;/Details&gt;&lt;Extra&gt;&lt;DBUID&gt;{BD8F6675-5345-4625-BBA4-8897723D22F5}&lt;/DBUID&gt;&lt;/Extra&gt;&lt;/Item&gt;&lt;/References&gt;&lt;/Group&gt;&lt;/Citation&gt;_x000a_"/>
    <w:docVar w:name="NE.Ref{8AF020B8-1BA2-45F2-BED6-8783FBF0123A}" w:val=" ADDIN NE.Ref.{8AF020B8-1BA2-45F2-BED6-8783FBF0123A}&lt;Citation&gt;&lt;Group&gt;&lt;References&gt;&lt;Item&gt;&lt;ID&gt;1436&lt;/ID&gt;&lt;UID&gt;{B4E1D5BD-516C-4979-B8B6-70D4C5034662}&lt;/UID&gt;&lt;Title&gt;Effects of natural disasters on livelihood resilience of rural residents in Sichuan&lt;/Title&gt;&lt;Template&gt;Journal Article&lt;/Template&gt;&lt;Star&gt;0&lt;/Star&gt;&lt;Tag&gt;0&lt;/Tag&gt;&lt;Author&gt;Fang, Y P; Zhu, FBA; Qiu, X P; Zhao, S&lt;/Author&gt;&lt;Year&gt;2018&lt;/Year&gt;&lt;Details&gt;&lt;_alternate_title&gt;HABITAT INTERNATIONAL&lt;/_alternate_title&gt;&lt;_collection_scope&gt;SSCI&lt;/_collection_scope&gt;&lt;_created&gt;64422310&lt;/_created&gt;&lt;_date&gt;2018-01-01&lt;/_date&gt;&lt;_date_display&gt;2018&lt;/_date_display&gt;&lt;_doi&gt;10.1016/j.habitatint.2018.05.004&lt;/_doi&gt;&lt;_impact_factor&gt;   5.205&lt;/_impact_factor&gt;&lt;_isbn&gt;0197-3975&lt;/_isbn&gt;&lt;_journal&gt;HABITAT INTERNATIONAL&lt;/_journal&gt;&lt;_modified&gt;64618303&lt;/_modified&gt;&lt;_pages&gt;19-28&lt;/_pages&gt;&lt;_social_category&gt;经济学(2)&lt;/_social_category&gt;&lt;_volume&gt;76&lt;/_volume&gt;&lt;/Details&gt;&lt;Extra&gt;&lt;DBUID&gt;{BD8F6675-5345-4625-BBA4-8897723D22F5}&lt;/DBUID&gt;&lt;/Extra&gt;&lt;/Item&gt;&lt;/References&gt;&lt;/Group&gt;&lt;Group&gt;&lt;References&gt;&lt;Item&gt;&lt;ID&gt;685&lt;/ID&gt;&lt;UID&gt;{93846118-0B72-4561-AEC5-BAF4B162FE64}&lt;/UID&gt;&lt;Title&gt;Development of a standard brownfield definition, guidelines, and evaluation index system for brownfield redevelopment in developing countries: The case of Pakistan&lt;/Title&gt;&lt;Template&gt;Journal Article&lt;/Template&gt;&lt;Star&gt;0&lt;/Star&gt;&lt;Tag&gt;0&lt;/Tag&gt;&lt;Author&gt;Ahmad, Naveed; Zhu, Yuming; Ibrahim, Muhammad; Waqas, Muhammad; Waheed, Abdul&lt;/Author&gt;&lt;Year&gt;2018&lt;/Year&gt;&lt;Details&gt;&lt;_accessed&gt;64648905&lt;/_accessed&gt;&lt;_alternate_title&gt;SUSTAINABILITY&lt;/_alternate_title&gt;&lt;_collection_scope&gt;SCIE;SSCI&lt;/_collection_scope&gt;&lt;_created&gt;64155919&lt;/_created&gt;&lt;_date&gt;2018-01-01&lt;/_date&gt;&lt;_date_display&gt;2018&lt;/_date_display&gt;&lt;_doi&gt;10.3390/su10124347&lt;/_doi&gt;&lt;_impact_factor&gt;   3.889&lt;/_impact_factor&gt;&lt;_isbn&gt;2071-1050&lt;/_isbn&gt;&lt;_issue&gt;12&lt;/_issue&gt;&lt;_journal&gt;SUSTAINABILITY&lt;/_journal&gt;&lt;_modified&gt;64648906&lt;/_modified&gt;&lt;_pages&gt;4347&lt;/_pages&gt;&lt;_social_category&gt;环境科学与生态学(4)&lt;/_social_category&gt;&lt;_volume&gt;10&lt;/_volume&gt;&lt;/Details&gt;&lt;Extra&gt;&lt;DBUID&gt;{BD8F6675-5345-4625-BBA4-8897723D22F5}&lt;/DBUID&gt;&lt;/Extra&gt;&lt;/Item&gt;&lt;/References&gt;&lt;/Group&gt;&lt;Group&gt;&lt;References&gt;&lt;Item&gt;&lt;ID&gt;1400&lt;/ID&gt;&lt;UID&gt;{89AE0FBB-26FB-4AFE-A874-7EBEED006C58}&lt;/UID&gt;&lt;Title&gt;Livelihood resilience in the face of multiple stressors: biocultural resource-based adaptive strategies among the vulnerable communities&lt;/Title&gt;&lt;Template&gt;Journal Article&lt;/Template&gt;&lt;Star&gt;0&lt;/Star&gt;&lt;Tag&gt;0&lt;/Tag&gt;&lt;Author&gt;Singh, R K; Bhardwaj, R; Sureja, A K; Kumar, A; Singh, A; Hazarika, B N; Hussain, S M; Singh, A; Lego, Y J; Rallen, O&lt;/Author&gt;&lt;Year&gt;2022&lt;/Year&gt;&lt;Details&gt;&lt;_alternate_title&gt;SUSTAINABILITY SCIENCE&lt;/_alternate_title&gt;&lt;_collection_scope&gt;SCIE&lt;/_collection_scope&gt;&lt;_created&gt;64422310&lt;/_created&gt;&lt;_date&gt;2022-01-01&lt;/_date&gt;&lt;_date_display&gt;2022&lt;/_date_display&gt;&lt;_doi&gt;10.1007/s11625-021-01057-z&lt;/_doi&gt;&lt;_impact_factor&gt;   7.196&lt;/_impact_factor&gt;&lt;_isbn&gt;1862-4065&lt;/_isbn&gt;&lt;_issue&gt;1&lt;/_issue&gt;&lt;_journal&gt;SUSTAINABILITY SCIENCE&lt;/_journal&gt;&lt;_modified&gt;64609080&lt;/_modified&gt;&lt;_pages&gt;275-293&lt;/_pages&gt;&lt;_social_category&gt;环境科学与生态学(2)&lt;/_social_category&gt;&lt;_volume&gt;17&lt;/_volume&gt;&lt;/Details&gt;&lt;Extra&gt;&lt;DBUID&gt;{BD8F6675-5345-4625-BBA4-8897723D22F5}&lt;/DBUID&gt;&lt;/Extra&gt;&lt;/Item&gt;&lt;/References&gt;&lt;/Group&gt;&lt;/Citation&gt;_x000a_"/>
    <w:docVar w:name="NE.Ref{8AF88396-AE02-4C64-887E-D0F2BE67FEC1}" w:val=" ADDIN NE.Ref.{8AF88396-AE02-4C64-887E-D0F2BE67FEC1}&lt;Citation&gt;&lt;Group&gt;&lt;References&gt;&lt;Item&gt;&lt;ID&gt;1701&lt;/ID&gt;&lt;UID&gt;{2A946866-FFF3-4A12-90AF-481D2CE28456}&lt;/UID&gt;&lt;Title&gt;A working guide to boosted regression trees&lt;/Title&gt;&lt;Template&gt;Journal Article&lt;/Template&gt;&lt;Star&gt;0&lt;/Star&gt;&lt;Tag&gt;0&lt;/Tag&gt;&lt;Author&gt;Elith, J; Leathwick, J R; Hastie, T&lt;/Author&gt;&lt;Year&gt;2008&lt;/Year&gt;&lt;Details&gt;&lt;_alternate_title&gt;JOURNAL OF ANIMAL ECOLOGY&lt;/_alternate_title&gt;&lt;_author_adr&gt;Univ Melbourne, Sch Bot, Parkville, Vic 3010, Australia; Natl Inst Water &amp;amp; Atmospher Res, Hamilton, New Zealand; Stanford Univ, Dept Stat, Stanford, CA 94305 USA&lt;/_author_adr&gt;&lt;_collection_scope&gt;SCIE&lt;/_collection_scope&gt;&lt;_created&gt;64669808&lt;/_created&gt;&lt;_date&gt;2008-01-01&lt;/_date&gt;&lt;_date_display&gt;2008&lt;/_date_display&gt;&lt;_doi&gt;10.1111/j.1365-2656.2008.01390.x&lt;/_doi&gt;&lt;_impact_factor&gt;   5.606&lt;/_impact_factor&gt;&lt;_isbn&gt;0021-8790&lt;/_isbn&gt;&lt;_issue&gt;4&lt;/_issue&gt;&lt;_journal&gt;JOURNAL OF ANIMAL ECOLOGY&lt;/_journal&gt;&lt;_keywords&gt;data mining; machine learning; model averaging; random forests; species distributions; GENERALIZED ADDITIVE-MODELS; NEW-ZEALAND; PREDICTION; FISH; CLASSIFICATION&lt;/_keywords&gt;&lt;_modified&gt;64669808&lt;/_modified&gt;&lt;_pages&gt;802-813&lt;/_pages&gt;&lt;_social_category&gt;环境科学与生态学(1)&lt;/_social_category&gt;&lt;_volume&gt;77&lt;/_volume&gt;&lt;/Details&gt;&lt;Extra&gt;&lt;DBUID&gt;{BD8F6675-5345-4625-BBA4-8897723D22F5}&lt;/DBUID&gt;&lt;/Extra&gt;&lt;/Item&gt;&lt;/References&gt;&lt;/Group&gt;&lt;/Citation&gt;_x000a_"/>
    <w:docVar w:name="NE.Ref{8C2A896D-7DB9-4211-B475-4AD887BD441D}" w:val=" ADDIN NE.Ref.{8C2A896D-7DB9-4211-B475-4AD887BD441D}&lt;Citation SecTmpl=&quot;1&quot;&gt;&lt;Group&gt;&lt;References&gt;&lt;Item&gt;&lt;ID&gt;108&lt;/ID&gt;&lt;UID&gt;{A7FD3B22-89CD-470D-A0DC-6D2BE49496E1}&lt;/UID&gt;&lt;Title&gt;Livelihood resilience in the face of climate change&lt;/Title&gt;&lt;Template&gt;Journal Article&lt;/Template&gt;&lt;Star&gt;0&lt;/Star&gt;&lt;Tag&gt;0&lt;/Tag&gt;&lt;Author&gt;Tanner, Thomas; Lewis, David; Wrathall, David; Bronen, Robin; Cradock-Henry, Nick; Huq, Saleemul; Lawless, Chris; Nawrotzki, Raphael; Prasad, Vivek; Rahman, Md. Ashiqur; Alaniz, Ryan; King, Katherine; McNamara, Karen; Nadiruzzaman, Md.; Henly-Shepard, Sarah; Thomalla, Frank&lt;/Author&gt;&lt;Year&gt;2015&lt;/Year&gt;&lt;Details&gt;&lt;_accessed&gt;64051806&lt;/_accessed&gt;&lt;_accession_num&gt;WOS:000346513900012&lt;/_accession_num&gt;&lt;_collection_scope&gt;SCIE;SSCI&lt;/_collection_scope&gt;&lt;_created&gt;64051806&lt;/_created&gt;&lt;_date&gt;1990-01-01&lt;/_date&gt;&lt;_date_display&gt;Jan&lt;/_date_display&gt;&lt;_db_updated&gt;CrossRef&lt;/_db_updated&gt;&lt;_doi&gt;10.1038/nclimate2431&lt;/_doi&gt;&lt;_image&gt;internal-pdf://3766631964/Tanner-2015-Livelihood-resilience-in-the-face-.pdf&lt;/_image&gt;&lt;_impact_factor&gt;  28.660&lt;/_impact_factor&gt;&lt;_isbn&gt;1758-678X&lt;/_isbn&gt;&lt;_issue&gt;1&lt;/_issue&gt;&lt;_journal&gt;Nature Climate Change&lt;/_journal&gt;&lt;_modified&gt;64608215&lt;/_modified&gt;&lt;_pages&gt;23-26&lt;/_pages&gt;&lt;_short_title&gt;Livelihood resilience in the face of climate change&lt;/_short_title&gt;&lt;_social_category&gt;地球科学(1)&lt;/_social_category&gt;&lt;_tertiary_title&gt;Nature Clim Change&lt;/_tertiary_title&gt;&lt;_url&gt;http://www.nature.com/articles/nclimate2431_x000d__x000a_http://www.nature.com/articles/nclimate2431.pdf&lt;/_url&gt;&lt;_volume&gt;5&lt;/_volume&gt;&lt;/Details&gt;&lt;Extra&gt;&lt;DBUID&gt;{BD8F6675-5345-4625-BBA4-8897723D22F5}&lt;/DBUID&gt;&lt;/Extra&gt;&lt;/Item&gt;&lt;/References&gt;&lt;/Group&gt;&lt;/Citation&gt;_x000a_"/>
    <w:docVar w:name="NE.Ref{8ED244C2-C522-4C20-9D3E-7A44C982DE6D}" w:val=" ADDIN NE.Ref.{8ED244C2-C522-4C20-9D3E-7A44C982DE6D}&lt;Citation SecTmpl=&quot;1&quot;&gt;&lt;Group&gt;&lt;References&gt;&lt;Item&gt;&lt;ID&gt;107&lt;/ID&gt;&lt;UID&gt;{C871BDB0-08F2-4ABE-8B19-B3556CB36C78}&lt;/UID&gt;&lt;Title&gt;Livelihood resilience and adaptive capacity: Tracing changes in household access to capital in Central Vietnam&lt;/Title&gt;&lt;Template&gt;Journal Article&lt;/Template&gt;&lt;Star&gt;0&lt;/Star&gt;&lt;Tag&gt;0&lt;/Tag&gt;&lt;Author&gt;Thulstrup, Andreas Waaben&lt;/Author&gt;&lt;Year&gt;2015&lt;/Year&gt;&lt;Details&gt;&lt;_accessed&gt;64529056&lt;/_accessed&gt;&lt;_collection_scope&gt;SSCI&lt;/_collection_scope&gt;&lt;_created&gt;64051806&lt;/_created&gt;&lt;_date&gt;2015-01-01&lt;/_date&gt;&lt;_date_display&gt;2015/10/01/&lt;/_date_display&gt;&lt;_doi&gt;https://doi.org/10.1016/j.worlddev.2015.05.019&lt;/_doi&gt;&lt;_image&gt;internal-pdf://2647401155/Livelihood-Resilience-and-Adaptive-Capacity--T.pdf&lt;/_image&gt;&lt;_impact_factor&gt;   6.678&lt;/_impact_factor&gt;&lt;_isbn&gt;0305-750X&lt;/_isbn&gt;&lt;_journal&gt;World Development&lt;/_journal&gt;&lt;_keywords&gt;resilience_x000d__x000a_livelihoods_x000d__x000a_adaptive capacity_x000d__x000a_Asia_x000d__x000a_Vietnam_x000d__x000a_reforestation&lt;/_keywords&gt;&lt;_modified&gt;64586050&lt;/_modified&gt;&lt;_pages&gt;352-362&lt;/_pages&gt;&lt;_short_title&gt;Livelihood Resilience and Adaptive Capacity: Tracing Changes in Household Access to Capital in Central Vietnam&lt;/_short_title&gt;&lt;_social_category&gt;经济学(1)&lt;/_social_category&gt;&lt;_url&gt;https://www.sciencedirect.com/science/article/pii/S0305750X1500128X&lt;/_url&gt;&lt;_volume&gt;74&lt;/_volume&gt;&lt;/Details&gt;&lt;Extra&gt;&lt;DBUID&gt;{BD8F6675-5345-4625-BBA4-8897723D22F5}&lt;/DBUID&gt;&lt;/Extra&gt;&lt;/Item&gt;&lt;/References&gt;&lt;/Group&gt;&lt;/Citation&gt;_x000a_"/>
    <w:docVar w:name="NE.Ref{94A84BD6-A9AD-4C82-AE89-D8E2FA311079}" w:val=" ADDIN NE.Ref.{94A84BD6-A9AD-4C82-AE89-D8E2FA311079}&lt;Citation SecTmpl=&quot;1&quot;&gt;&lt;Group&gt;&lt;References&gt;&lt;Item&gt;&lt;ID&gt;1659&lt;/ID&gt;&lt;UID&gt;{758E35A8-FD23-49A3-B1AB-4480BA1CC5B0}&lt;/UID&gt;&lt;Title&gt;Sustainable  Rural  Livelihoods:A  Framework  for  Analysis &lt;/Title&gt;&lt;Template&gt;Book&lt;/Template&gt;&lt;Star&gt;0&lt;/Star&gt;&lt;Tag&gt;0&lt;/Tag&gt;&lt;Author&gt;Scoones, I&lt;/Author&gt;&lt;Year&gt;1998&lt;/Year&gt;&lt;Details&gt;&lt;_accessed&gt;64594182&lt;/_accessed&gt;&lt;_created&gt;64594181&lt;/_created&gt;&lt;_modified&gt;64594182&lt;/_modified&gt;&lt;_publisher&gt;Institute  of  Development Studies&lt;/_publisher&gt;&lt;/Details&gt;&lt;Extra&gt;&lt;DBUID&gt;{BD8F6675-5345-4625-BBA4-8897723D22F5}&lt;/DBUID&gt;&lt;/Extra&gt;&lt;/Item&gt;&lt;/References&gt;&lt;/Group&gt;&lt;/Citation&gt;_x000a_"/>
    <w:docVar w:name="NE.Ref{9724D18F-E4D6-4460-9A39-855B367F609A}" w:val=" ADDIN NE.Ref.{9724D18F-E4D6-4460-9A39-855B367F609A}&lt;Citation&gt;&lt;Group&gt;&lt;References&gt;&lt;Item&gt;&lt;ID&gt;1695&lt;/ID&gt;&lt;UID&gt;{90B92786-E6CD-49B1-9514-3700971D6A2A}&lt;/UID&gt;&lt;Title&gt;Beyond social capital: The norms, belief systems, and agency embedded in social networks shape resilience to climatic and geophysical hazards&lt;/Title&gt;&lt;Template&gt;Journal Article&lt;/Template&gt;&lt;Star&gt;0&lt;/Star&gt;&lt;Tag&gt;0&lt;/Tag&gt;&lt;Author&gt;MacGillivray, Brian H&lt;/Author&gt;&lt;Year&gt;2018&lt;/Year&gt;&lt;Details&gt;&lt;_alternate_title&gt;Environmental Science &amp;amp; Policy&lt;/_alternate_title&gt;&lt;_collection_scope&gt;SCIE&lt;/_collection_scope&gt;&lt;_created&gt;64654172&lt;/_created&gt;&lt;_date&gt;2018-01-01&lt;/_date&gt;&lt;_date_display&gt;2018&lt;/_date_display&gt;&lt;_doi&gt;https://doi.org/10.1016/j.envsci.2018.07.014&lt;/_doi&gt;&lt;_impact_factor&gt;   6.424&lt;/_impact_factor&gt;&lt;_isbn&gt;1462-9011&lt;/_isbn&gt;&lt;_journal&gt;Environmental Science &amp;amp; Policy&lt;/_journal&gt;&lt;_keywords&gt;Social capital; Hazards; Social networks; Disaster resilience; Climate adaptation; Vulnerability&lt;/_keywords&gt;&lt;_modified&gt;64654172&lt;/_modified&gt;&lt;_pages&gt;116-125&lt;/_pages&gt;&lt;_social_category&gt;环境科学与生态学(2)&lt;/_social_category&gt;&lt;_url&gt;https://www.sciencedirect.com/science/article/pii/S1462901117312224&lt;/_url&gt;&lt;_volume&gt;89&lt;/_volume&gt;&lt;/Details&gt;&lt;Extra&gt;&lt;DBUID&gt;{BD8F6675-5345-4625-BBA4-8897723D22F5}&lt;/DBUID&gt;&lt;/Extra&gt;&lt;/Item&gt;&lt;/References&gt;&lt;/Group&gt;&lt;Group&gt;&lt;References&gt;&lt;Item&gt;&lt;ID&gt;1696&lt;/ID&gt;&lt;UID&gt;{B9D30155-9E92-4641-A0CC-A897D4B68D6C}&lt;/UID&gt;&lt;Title&gt;Social networks and the resilience of rural communities in the Global South: a critical review and conceptual reflections&lt;/Title&gt;&lt;Template&gt;Journal Article&lt;/Template&gt;&lt;Star&gt;0&lt;/Star&gt;&lt;Tag&gt;0&lt;/Tag&gt;&lt;Author&gt;Rockenbauch, Till; Sakdapolrak, Patrick&lt;/Author&gt;&lt;Year&gt;2017&lt;/Year&gt;&lt;Details&gt;&lt;_alternate_title&gt;ECOLOGY AND SOCIETY&lt;/_alternate_title&gt;&lt;_collection_scope&gt;SSCI;SCIE&lt;/_collection_scope&gt;&lt;_created&gt;64654174&lt;/_created&gt;&lt;_date&gt;2017-01-01&lt;/_date&gt;&lt;_date_display&gt;2017&lt;/_date_display&gt;&lt;_doi&gt;10.5751/ES-09009-220110&lt;/_doi&gt;&lt;_impact_factor&gt;   4.653&lt;/_impact_factor&gt;&lt;_isbn&gt;1708-3087&lt;/_isbn&gt;&lt;_issue&gt;1&lt;/_issue&gt;&lt;_journal&gt;ECOLOGY AND SOCIETY&lt;/_journal&gt;&lt;_modified&gt;64654174&lt;/_modified&gt;&lt;_social_category&gt;法学(2)&lt;/_social_category&gt;&lt;_volume&gt;22&lt;/_volume&gt;&lt;/Details&gt;&lt;Extra&gt;&lt;DBUID&gt;{BD8F6675-5345-4625-BBA4-8897723D22F5}&lt;/DBUID&gt;&lt;/Extra&gt;&lt;/Item&gt;&lt;/References&gt;&lt;/Group&gt;&lt;/Citation&gt;_x000a_"/>
    <w:docVar w:name="NE.Ref{980EFBED-C5CA-4022-A931-2912270B7961}" w:val=" ADDIN NE.Ref.{980EFBED-C5CA-4022-A931-2912270B7961}&lt;Citation&gt;&lt;Group&gt;&lt;References&gt;&lt;Item&gt;&lt;ID&gt;336&lt;/ID&gt;&lt;UID&gt;{3704486F-1567-49C7-82EF-10656A00D725}&lt;/UID&gt;&lt;Title&gt;可持续发展研究方法国际进展——脆弱性分析方法与可持续生计方法比较&lt;/Title&gt;&lt;Template&gt;Journal Article&lt;/Template&gt;&lt;Star&gt;0&lt;/Star&gt;&lt;Tag&gt;0&lt;/Tag&gt;&lt;Author&gt;杨国安&lt;/Author&gt;&lt;Year&gt;2003&lt;/Year&gt;&lt;Details&gt;&lt;_accessed&gt;64063350&lt;/_accessed&gt;&lt;_author_adr&gt;美国斯坦福大学环境科学系,中国科学院地理科学与资源研究所 斯坦福94309_x000d__x000a__x000d__x000a__x000d__x000a__x000d__x000a__x000d__x000a__x000d__x000a__x000d__x000a__x000d__x000a__x000d__x000a_,北京100101&lt;/_author_adr&gt;&lt;_collection_scope&gt;CSCD;CSSCI-C;PKU&lt;/_collection_scope&gt;&lt;_created&gt;64053637&lt;/_created&gt;&lt;_db_provider&gt;CNKI&lt;/_db_provider&gt;&lt;_isbn&gt;1007-6301&lt;/_isbn&gt;&lt;_issue&gt;01&lt;/_issue&gt;&lt;_journal&gt;地理科学进展&lt;/_journal&gt;&lt;_keywords&gt;可持续发展;;可持续生计;;脆弱性分析;;比较&lt;/_keywords&gt;&lt;_modified&gt;64063354&lt;/_modified&gt;&lt;_pages&gt;11-21&lt;/_pages&gt;&lt;_translated_author&gt;Yang, Guo&amp;apos;an&lt;/_translated_author&gt;&lt;/Details&gt;&lt;Extra&gt;&lt;DBUID&gt;{BD8F6675-5345-4625-BBA4-8897723D22F5}&lt;/DBUID&gt;&lt;/Extra&gt;&lt;/Item&gt;&lt;/References&gt;&lt;/Group&gt;&lt;/Citation&gt;_x000a_"/>
    <w:docVar w:name="NE.Ref{99CD648F-5C31-4BD6-A291-7D4E7E08B03B}" w:val=" ADDIN NE.Ref.{99CD648F-5C31-4BD6-A291-7D4E7E08B03B}&lt;Citation SecTmpl=&quot;1&quot;&gt;&lt;Group&gt;&lt;References&gt;&lt;Item&gt;&lt;ID&gt;1055&lt;/ID&gt;&lt;UID&gt;{F0AB2C15-F1E7-4885-9F4D-0D12A76B7963}&lt;/UID&gt;&lt;Title&gt;从生计脆弱性到生计恢复力的转化——以民勤绿洲为例&lt;/Title&gt;&lt;Template&gt;Journal Article&lt;/Template&gt;&lt;Star&gt;0&lt;/Star&gt;&lt;Tag&gt;0&lt;/Tag&gt;&lt;Author&gt;李勇进; 陈文江&lt;/Author&gt;&lt;Year&gt;2015&lt;/Year&gt;&lt;Details&gt;&lt;_author_adr&gt;兰州大学哲学社会学院;&lt;/_author_adr&gt;&lt;_created&gt;64396393&lt;/_created&gt;&lt;_db_provider&gt;CNKI&lt;/_db_provider&gt;&lt;_isbn&gt;1674-6848&lt;/_isbn&gt;&lt;_issue&gt;04&lt;/_issue&gt;&lt;_journal&gt;鄱阳湖学刊&lt;/_journal&gt;&lt;_keywords&gt;民勤绿洲;;可持续生计;;环境社会学&lt;/_keywords&gt;&lt;_modified&gt;64396394&lt;/_modified&gt;&lt;_pages&gt;19-26&lt;/_pages&gt;&lt;_url&gt;https://bar.cnki.net/bar/download/order?id=jBGETXBNdPImvx70aLAuJPYxPoFw%2bp%2bi0fIiSrcN6lVOi3rphhKvvYHFwppr0xuau0Y9cJyaeMzChUwbF%2bvmtKZkLkctbazBAH%2br8YgpNUDl8E%2bCUVp5GtDTYhVF2dNUoJeGx62Ssygg68TNXJ%2b5JrigejDAar8Xqw%2f6WR22OFXUdUGh4At8VBYSvh%2fCUD5a2hPUaVktHjzpocRRO9y3JiWZL0ai5A42K%2bdv2kg5hcj5LXYX1qwFXwOc1HUZT%2bTB _x000d__x000a_&lt;/_url&gt;&lt;_translated_author&gt;Li, Yongjin;Chen, Wenjiang&lt;/_translated_author&gt;&lt;/Details&gt;&lt;Extra&gt;&lt;DBUID&gt;{BD8F6675-5345-4625-BBA4-8897723D22F5}&lt;/DBUID&gt;&lt;/Extra&gt;&lt;/Item&gt;&lt;/References&gt;&lt;/Group&gt;&lt;/Citation&gt;_x000a_"/>
    <w:docVar w:name="NE.Ref{9A3A761D-F06D-4958-8F95-EB69D44A955D}" w:val=" ADDIN NE.Ref.{9A3A761D-F06D-4958-8F95-EB69D44A955D}&lt;Citation SecTmpl=&quot;1&quot;&gt;&lt;Group&gt;&lt;References&gt;&lt;Item&gt;&lt;ID&gt;1665&lt;/ID&gt;&lt;UID&gt;{A1AFAF1C-544B-459F-851F-56612D14D217}&lt;/UID&gt;&lt;Title&gt;Measuring quality of life: Economic, social, and subjective indicators&lt;/Title&gt;&lt;Template&gt;Journal Article&lt;/Template&gt;&lt;Star&gt;0&lt;/Star&gt;&lt;Tag&gt;0&lt;/Tag&gt;&lt;Author&gt;Diener, E; Suh, E&lt;/Author&gt;&lt;Year&gt;1997&lt;/Year&gt;&lt;Details&gt;&lt;_alternate_title&gt;SOCIAL INDICATORS RESEARCH&lt;/_alternate_title&gt;&lt;_collection_scope&gt;SSCI&lt;/_collection_scope&gt;&lt;_created&gt;64594331&lt;/_created&gt;&lt;_date&gt;1997-01-01&lt;/_date&gt;&lt;_date_display&gt;1997&lt;/_date_display&gt;&lt;_doi&gt;10.1023/A:1006859511756&lt;/_doi&gt;&lt;_impact_factor&gt;   2.935&lt;/_impact_factor&gt;&lt;_isbn&gt;0303-8300&lt;/_isbn&gt;&lt;_issue&gt;1-2&lt;/_issue&gt;&lt;_journal&gt;SOCIAL INDICATORS RESEARCH&lt;/_journal&gt;&lt;_modified&gt;64594331&lt;/_modified&gt;&lt;_pages&gt;189-216&lt;/_pages&gt;&lt;_place_published&gt;Colloquium on Assessing Human Well-Being - A Critical Element of Assessing Progress Toward Sustainable Development&lt;/_place_published&gt;&lt;_social_category&gt;法学(3)&lt;/_social_category&gt;&lt;_volume&gt;40&lt;/_volume&gt;&lt;/Details&gt;&lt;Extra&gt;&lt;DBUID&gt;{BD8F6675-5345-4625-BBA4-8897723D22F5}&lt;/DBUID&gt;&lt;/Extra&gt;&lt;/Item&gt;&lt;/References&gt;&lt;/Group&gt;&lt;/Citation&gt;_x000a_"/>
    <w:docVar w:name="NE.Ref{9A9E496C-BB95-41F0-9DEA-18D43F2BA39E}" w:val=" ADDIN NE.Ref.{9A9E496C-BB95-41F0-9DEA-18D43F2BA39E}&lt;Citation SecTmpl=&quot;1&quot;&gt;&lt;Group&gt;&lt;References&gt;&lt;Item&gt;&lt;ID&gt;444&lt;/ID&gt;&lt;UID&gt;{C5DB81BB-F1DF-4AAA-95CA-FB25BD8CDDF5}&lt;/UID&gt;&lt;Title&gt;The role of agroforestry in building livelihood resilience to floods and drought in semiarid Kenya&lt;/Title&gt;&lt;Template&gt;Journal Article&lt;/Template&gt;&lt;Star&gt;0&lt;/Star&gt;&lt;Tag&gt;0&lt;/Tag&gt;&lt;Author&gt;Quandt, Amy; Neufeldt, Henry; McCabe, J Terrence&lt;/Author&gt;&lt;Year&gt;2017&lt;/Year&gt;&lt;Details&gt;&lt;_accessed&gt;64062060&lt;/_accessed&gt;&lt;_accession_num&gt;WOS:000412944300024&lt;/_accession_num&gt;&lt;_collection_scope&gt;SCIE;SSCI&lt;/_collection_scope&gt;&lt;_created&gt;64060478&lt;/_created&gt;&lt;_date&gt;2017-01-01&lt;/_date&gt;&lt;_date_display&gt;2017&lt;/_date_display&gt;&lt;_db_updated&gt;CrossRef&lt;/_db_updated&gt;&lt;_doi&gt;10.5751/ES-09461-220310&lt;/_doi&gt;&lt;_image&gt;internal-pdf://0685596297/Quandt-2017-The-role-of-agroforestry-in-buildi.pdf&lt;/_image&gt;&lt;_impact_factor&gt;   4.653&lt;/_impact_factor&gt;&lt;_isbn&gt;1708-3087&lt;/_isbn&gt;&lt;_issue&gt;3&lt;/_issue&gt;&lt;_journal&gt;Ecology and Society&lt;/_journal&gt;&lt;_modified&gt;64608217&lt;/_modified&gt;&lt;_pages&gt;10&lt;/_pages&gt;&lt;_short_title&gt;The role of agroforestry in building livelihood resilience to floods and drought in semiarid Kenya&lt;/_short_title&gt;&lt;_social_category&gt;法学(2)&lt;/_social_category&gt;&lt;_tertiary_title&gt;E&amp;amp;S&lt;/_tertiary_title&gt;&lt;_url&gt;https://www.ecologyandsociety.org/vol22/iss3/art10/&lt;/_url&gt;&lt;_volume&gt;22&lt;/_volume&gt;&lt;/Details&gt;&lt;Extra&gt;&lt;DBUID&gt;{BD8F6675-5345-4625-BBA4-8897723D22F5}&lt;/DBUID&gt;&lt;/Extra&gt;&lt;/Item&gt;&lt;/References&gt;&lt;/Group&gt;&lt;/Citation&gt;_x000a_"/>
    <w:docVar w:name="NE.Ref{9E1B8838-D4B9-494A-845F-11E122D22729}" w:val=" ADDIN NE.Ref.{9E1B8838-D4B9-494A-845F-11E122D22729}&lt;Citation&gt;&lt;Group&gt;&lt;References&gt;&lt;Item&gt;&lt;ID&gt;473&lt;/ID&gt;&lt;UID&gt;{03B1998F-D9D7-4C64-B5F3-775AFF0A8444}&lt;/UID&gt;&lt;Title&gt;Livelihood resilience and adaptive capacity: a critical conceptual review&lt;/Title&gt;&lt;Template&gt;Journal Article&lt;/Template&gt;&lt;Star&gt;0&lt;/Star&gt;&lt;Tag&gt;0&lt;/Tag&gt;&lt;Author&gt;Nyamwanza, A M&lt;/Author&gt;&lt;Year&gt;2012&lt;/Year&gt;&lt;Details&gt;&lt;_accessed&gt;64586064&lt;/_accessed&gt;&lt;_created&gt;64060478&lt;/_created&gt;&lt;_image&gt;internal-pdf://2144439560/Nyamwanza-2012-Livelihood-resilience-and-adapt.pdf&lt;/_image&gt;&lt;_issue&gt;1&lt;/_issue&gt;&lt;_journal&gt;Jamba Journal of Disaster Risk Studies&lt;/_journal&gt;&lt;_label&gt;生计恢复力与福祉？&lt;/_label&gt;&lt;_modified&gt;64586064&lt;/_modified&gt;&lt;_pages&gt;1-6&lt;/_pages&gt;&lt;_short_title&gt;Livelihood resilience and adaptive capacity: a critical conceptual review&lt;/_short_title&gt;&lt;_volume&gt;4&lt;/_volume&gt;&lt;/Details&gt;&lt;Extra&gt;&lt;DBUID&gt;{BD8F6675-5345-4625-BBA4-8897723D22F5}&lt;/DBUID&gt;&lt;/Extra&gt;&lt;/Item&gt;&lt;/References&gt;&lt;/Group&gt;&lt;Group&gt;&lt;References&gt;&lt;Item&gt;&lt;ID&gt;334&lt;/ID&gt;&lt;UID&gt;{6989E675-3120-4AD9-B5A0-45B02F0B0088}&lt;/UID&gt;&lt;Title&gt;生计恢复力研究进展与启示&lt;/Title&gt;&lt;Template&gt;Journal Article&lt;/Template&gt;&lt;Star&gt;0&lt;/Star&gt;&lt;Tag&gt;0&lt;/Tag&gt;&lt;Author&gt;卜诗洁; 马金海; 卓玛措; 潘昊; 刘华蓉&lt;/Author&gt;&lt;Year&gt;2021&lt;/Year&gt;&lt;Details&gt;&lt;_accessed&gt;64292552&lt;/_accessed&gt;&lt;_author_adr&gt;青海民族大学旅游学院;&lt;/_author_adr&gt;&lt;_collection_scope&gt;CSCD;PKU&lt;/_collection_scope&gt;&lt;_created&gt;64053637&lt;/_created&gt;&lt;_db_provider&gt;CNKI&lt;/_db_provider&gt;&lt;_isbn&gt;1672-0504&lt;/_isbn&gt;&lt;_issue&gt;01&lt;/_issue&gt;&lt;_journal&gt;地理与地理信息科学&lt;/_journal&gt;&lt;_keywords&gt;生计恢复力;;分析框架;;旅游生计恢复力;;个体福祉;;生计恢复力适应性管理&lt;/_keywords&gt;&lt;_modified&gt;64396401&lt;/_modified&gt;&lt;_pages&gt;74-79&lt;/_pages&gt;&lt;_url&gt;https://bar.cnki.net/bar/download/order?id=jBGETXBNdPImvx70aLAuJPYxPoFw%2bp%2bi0fIiSrcN6lX8GETAQrgCZqk38oxiAFapIPqgR38m15LFMAZn%2bx0j%2f0GxVkq8YHJNz4jV3WhknTrl8E%2bCUVp5GtDTYhVF2dNUoJeGx62Ssygg68TNXJ%2b5JrigejDAar8Xqw%2f6WR22OFXUdUGh4At8VBYSvh%2fCUD5ayqc9OOYWWhxN6qJ9DJ6Hbk0o7hPx9DIcLPjh8hose0g%3d _x000d__x000a_https://bar.cnki.net/bar/download/order?id=jBGETXBNdPImvx70aLAuJPYxPoFw%2bp%2bi0fIiSrcN6lX8GETAQrgCZqk38oxiAFapIPqgR38m15LFMAZn%2bx0j%2f0GxVkq8YHJNz4jV3WhknTrl8E%2bCUVp5GtDTYhVF2dNUoJeGx62Ssygg68TNXJ%2b5JrigejDAar8Xqw%2f6WR22OFXUdUGh4At8VBYSvh%2fCUD5aC052mm6dlCb33GXy89qOnfTYGftZzTarqejxrpk3b2n5LXYX1qwFXwOc1HUZT%2bTB _x000d__x000a_&lt;/_url&gt;&lt;_volume&gt;37&lt;/_volume&gt;&lt;_translated_author&gt;Bu, Shijie;Ma, Jinhai;Zhuo, Macuo;Pan, Hao;Liu, Huarong&lt;/_translated_author&gt;&lt;/Details&gt;&lt;Extra&gt;&lt;DBUID&gt;{BD8F6675-5345-4625-BBA4-8897723D22F5}&lt;/DBUID&gt;&lt;/Extra&gt;&lt;/Item&gt;&lt;/References&gt;&lt;/Group&gt;&lt;/Citation&gt;_x000a_"/>
    <w:docVar w:name="NE.Ref{9E751225-1097-4865-A937-F540B5B0E08C}" w:val=" ADDIN NE.Ref.{9E751225-1097-4865-A937-F540B5B0E08C}&lt;Citation&gt;&lt;Group&gt;&lt;References&gt;&lt;Item&gt;&lt;ID&gt;1447&lt;/ID&gt;&lt;UID&gt;{F328713B-A6F3-479D-976E-8F7F7C5E398E}&lt;/UID&gt;&lt;Title&gt;Livelihood resilience in the face of climate change&lt;/Title&gt;&lt;Template&gt;Journal Article&lt;/Template&gt;&lt;Star&gt;0&lt;/Star&gt;&lt;Tag&gt;0&lt;/Tag&gt;&lt;Author&gt;Tanner, T; Lewis, D; Wrathall, D; Bronen, R; Cradock-Henry, N; Huq, S; Lawless, C; Nawrotzki, R; Prasad, V; Rahman, M A; Alaniz, R; King, K; McNamara, K; Nadiruzzaman, M; Henly-Shepard, S; Thomalla, F&lt;/Author&gt;&lt;Year&gt;2015&lt;/Year&gt;&lt;Details&gt;&lt;_accessed&gt;64625352&lt;/_accessed&gt;&lt;_alternate_title&gt;NATURE CLIMATE CHANGE&lt;/_alternate_title&gt;&lt;_collection_scope&gt;SCIE;SSCI&lt;/_collection_scope&gt;&lt;_created&gt;64422310&lt;/_created&gt;&lt;_date&gt;2015-01-01&lt;/_date&gt;&lt;_date_display&gt;2015&lt;/_date_display&gt;&lt;_doi&gt;10.1038/NCLIMATE2431&lt;/_doi&gt;&lt;_impact_factor&gt;  28.660&lt;/_impact_factor&gt;&lt;_isbn&gt;1758-678X&lt;/_isbn&gt;&lt;_issue&gt;1&lt;/_issue&gt;&lt;_journal&gt;NATURE CLIMATE CHANGE&lt;/_journal&gt;&lt;_label&gt;生计恢复力概念提出和总框架&lt;/_label&gt;&lt;_modified&gt;64625353&lt;/_modified&gt;&lt;_pages&gt;23-26&lt;/_pages&gt;&lt;_social_category&gt;地球科学(1)&lt;/_social_category&gt;&lt;_volume&gt;5&lt;/_volume&gt;&lt;/Details&gt;&lt;Extra&gt;&lt;DBUID&gt;{BD8F6675-5345-4625-BBA4-8897723D22F5}&lt;/DBUID&gt;&lt;/Extra&gt;&lt;/Item&gt;&lt;/References&gt;&lt;/Group&gt;&lt;/Citation&gt;_x000a_"/>
    <w:docVar w:name="NE.Ref{9F6DEC4C-2CB1-42F0-B767-16D48EC872FE}" w:val=" ADDIN NE.Ref.{9F6DEC4C-2CB1-42F0-B767-16D48EC872FE}&lt;Citation&gt;&lt;Group&gt;&lt;References&gt;&lt;Item&gt;&lt;ID&gt;390&lt;/ID&gt;&lt;UID&gt;{84EF68BE-68AF-40B8-9673-3B6E70D79DFE}&lt;/UID&gt;&lt;Title&gt;乡土中国&lt;/Title&gt;&lt;Template&gt;Book&lt;/Template&gt;&lt;Star&gt;0&lt;/Star&gt;&lt;Tag&gt;0&lt;/Tag&gt;&lt;Author&gt;费孝通&lt;/Author&gt;&lt;Year&gt;1948&lt;/Year&gt;&lt;Details&gt;&lt;_created&gt;64060478&lt;/_created&gt;&lt;_modified&gt;64061953&lt;/_modified&gt;&lt;_place_published&gt;上海&lt;/_place_published&gt;&lt;_publisher&gt;上海书店&lt;/_publisher&gt;&lt;_short_title&gt;乡土中国&lt;/_short_title&gt;&lt;_translated_author&gt;Fei, Xiaotong&lt;/_translated_author&gt;&lt;/Details&gt;&lt;Extra&gt;&lt;DBUID&gt;{BD8F6675-5345-4625-BBA4-8897723D22F5}&lt;/DBUID&gt;&lt;/Extra&gt;&lt;/Item&gt;&lt;/References&gt;&lt;/Group&gt;&lt;/Citation&gt;_x000a_"/>
    <w:docVar w:name="NE.Ref{9F9991A8-C27A-455C-91B1-2317891FCE92}" w:val=" ADDIN NE.Ref.{9F9991A8-C27A-455C-91B1-2317891FCE92}&lt;Citation&gt;&lt;Group&gt;&lt;References&gt;&lt;Item&gt;&lt;ID&gt;404&lt;/ID&gt;&lt;UID&gt;{2B14042A-90E0-4E44-B3D6-8801CAD2D7D0}&lt;/UID&gt;&lt;Title&gt;道路建设对秦岭山区社会—生态系统的影响——一个社区恢复力的视角&lt;/Title&gt;&lt;Template&gt;Journal Article&lt;/Template&gt;&lt;Star&gt;0&lt;/Star&gt;&lt;Tag&gt;0&lt;/Tag&gt;&lt;Author&gt;杨新军; 石育中; 王子侨&lt;/Author&gt;&lt;Year&gt;2015&lt;/Year&gt;&lt;Details&gt;&lt;_accessed&gt;64060482&lt;/_accessed&gt;&lt;_author_adr&gt;西北大学城市与环境学院;&lt;/_author_adr&gt;&lt;_author_aff&gt;西北大学城市与环境学院;&lt;/_author_aff&gt;&lt;_call_num&gt;11-1856/P&lt;/_call_num&gt;&lt;_collection_scope&gt;CSCD;CSSCI-C;PKU;EI&lt;/_collection_scope&gt;&lt;_created&gt;64060478&lt;/_created&gt;&lt;_date&gt;60809760&lt;/_date&gt;&lt;_db_updated&gt;CNKI - Reference&lt;/_db_updated&gt;&lt;_isbn&gt;0375-5444&lt;/_isbn&gt;&lt;_issue&gt;08&lt;/_issue&gt;&lt;_journal&gt;地理学报&lt;/_journal&gt;&lt;_keywords&gt;道路建设;社会—生态系统;恢复力;逐步回归分析;秦岭山区&lt;/_keywords&gt;&lt;_modified&gt;64060790&lt;/_modified&gt;&lt;_pages&gt;1313-1326&lt;/_pages&gt;&lt;_short_title&gt;道路建设对秦岭山区社会—生态系统的影响——一个社区恢复力的视角&lt;/_short_title&gt;&lt;_url&gt;https://kns.cnki.net/kcms/detail/detail.aspx?FileName=DLXB201508011&amp;amp;DbName=CJFQ2015&lt;/_url&gt;&lt;_volume&gt;70&lt;/_volume&gt;&lt;_translated_author&gt;Yang, Xinjun;Shi, Yuzhong;Wang, Ziqiao&lt;/_translated_author&gt;&lt;/Details&gt;&lt;Extra&gt;&lt;DBUID&gt;{BD8F6675-5345-4625-BBA4-8897723D22F5}&lt;/DBUID&gt;&lt;/Extra&gt;&lt;/Item&gt;&lt;/References&gt;&lt;/Group&gt;&lt;Group&gt;&lt;References&gt;&lt;Item&gt;&lt;ID&gt;483&lt;/ID&gt;&lt;UID&gt;{EFD73075-451B-4544-B477-D3EA74CA8B47}&lt;/UID&gt;&lt;Title&gt;Seasonal migration and livelihood resilience in the face of climate change in Nepal&lt;/Title&gt;&lt;Template&gt;Journal Article&lt;/Template&gt;&lt;Star&gt;0&lt;/Star&gt;&lt;Tag&gt;0&lt;/Tag&gt;&lt;Author&gt;Gautam, Yograj&lt;/Author&gt;&lt;Year&gt;2017&lt;/Year&gt;&lt;Details&gt;&lt;_accessed&gt;64529022&lt;/_accessed&gt;&lt;_accession_num&gt;WOS:000418447700007&lt;/_accession_num&gt;&lt;_collection_scope&gt;SCI;SCIE&lt;/_collection_scope&gt;&lt;_created&gt;64060478&lt;/_created&gt;&lt;_date&gt;1990-11-01&lt;/_date&gt;&lt;_date_display&gt;Nov&lt;/_date_display&gt;&lt;_db_updated&gt;CrossRef&lt;/_db_updated&gt;&lt;_doi&gt;10.1659/MRD-JOURNAL-D-17-00035.1&lt;/_doi&gt;&lt;_image&gt;internal-pdf://2693933376/Gautam-2017-Seasonal-migration-and-livelihood-.pdf&lt;/_image&gt;&lt;_impact_factor&gt;   1.506&lt;/_impact_factor&gt;&lt;_isbn&gt;0276-4741&lt;/_isbn&gt;&lt;_issue&gt;4&lt;/_issue&gt;&lt;_journal&gt;Mountain Research and Development&lt;/_journal&gt;&lt;_modified&gt;64608218&lt;/_modified&gt;&lt;_pages&gt;436-445&lt;/_pages&gt;&lt;_short_title&gt;Seasonal Migration and Livelihood Resilience in the Face of Climate Change in Nepal&lt;/_short_title&gt;&lt;_social_category&gt;环境科学与生态学(4)&lt;/_social_category&gt;&lt;_tertiary_title&gt;Mountain Research and Development&lt;/_tertiary_title&gt;&lt;_url&gt;https://bioone.org/journals/mountain-research-and-development/volume-37/issue-4/MRD-JOURNAL-D-17-00035.1/Seasonal-Migration-and-Livelihood-Resilience-in-the-Face-of-Climate/10.1659/MRD-JOURNAL-D-17-00035.1.full_x000d__x000a_http://www.bioone.org/doi/pdf/10.1659/MRD-JOURNAL-D-17-00035.1&lt;/_url&gt;&lt;_volume&gt;37&lt;/_volume&gt;&lt;/Details&gt;&lt;Extra&gt;&lt;DBUID&gt;{BD8F6675-5345-4625-BBA4-8897723D22F5}&lt;/DBUID&gt;&lt;/Extra&gt;&lt;/Item&gt;&lt;/References&gt;&lt;/Group&gt;&lt;/Citation&gt;_x000a_"/>
    <w:docVar w:name="NE.Ref{9FAD9A78-6764-45D8-8819-D211CDDE54AD}" w:val=" ADDIN NE.Ref.{9FAD9A78-6764-45D8-8819-D211CDDE54AD}&lt;Citation&gt;&lt;Group&gt;&lt;References&gt;&lt;Item&gt;&lt;ID&gt;1526&lt;/ID&gt;&lt;UID&gt;{F484116B-AD7B-40A9-9527-760FC75978AB}&lt;/UID&gt;&lt;Title&gt;Multi-dimensional poverty measurement for photovoltaic poverty alleviation areas: Evidence from pilot counties in China&lt;/Title&gt;&lt;Template&gt;Journal Article&lt;/Template&gt;&lt;Star&gt;0&lt;/Star&gt;&lt;Tag&gt;0&lt;/Tag&gt;&lt;Author&gt;Zhang, Huiming; Xu, Zhidong; Wu, Kai; Zhou, Dequn; Wei, Guo&lt;/Author&gt;&lt;Year&gt;2019&lt;/Year&gt;&lt;Details&gt;&lt;_alternate_title&gt;JOURNAL OF CLEANER PRODUCTION&lt;/_alternate_title&gt;&lt;_date_display&gt;2019&lt;/_date_display&gt;&lt;_date&gt;2019-01-01&lt;/_date&gt;&lt;_doi&gt;10.1016/j.jclepro.2019.118382&lt;/_doi&gt;&lt;_isbn&gt;0959-6526&lt;/_isbn&gt;&lt;_journal&gt;JOURNAL OF CLEANER PRODUCTION&lt;/_journal&gt;&lt;_volume&gt;241&lt;/_volume&gt;&lt;_created&gt;64528796&lt;/_created&gt;&lt;_modified&gt;64528796&lt;/_modified&gt;&lt;_impact_factor&gt;   9.297&lt;/_impact_factor&gt;&lt;_collection_scope&gt;SCIE;EI&lt;/_collection_scope&gt;&lt;/Details&gt;&lt;Extra&gt;&lt;DBUID&gt;{BD8F6675-5345-4625-BBA4-8897723D22F5}&lt;/DBUID&gt;&lt;/Extra&gt;&lt;/Item&gt;&lt;/References&gt;&lt;/Group&gt;&lt;Group&gt;&lt;References&gt;&lt;Item&gt;&lt;ID&gt;1525&lt;/ID&gt;&lt;UID&gt;{DFD10F1B-55BC-4094-8045-3606363EC60A}&lt;/UID&gt;&lt;Title&gt;Multi-dimensional energy poverty patterns around industrial crop projects in Ghana: Enhancing the energy poverty alleviation potential of rural development strategies&lt;/Title&gt;&lt;Template&gt;Journal Article&lt;/Template&gt;&lt;Star&gt;0&lt;/Star&gt;&lt;Tag&gt;0&lt;/Tag&gt;&lt;Author&gt;Ahmed, Abubakari; Gasparatos, Alexandros&lt;/Author&gt;&lt;Year&gt;2020&lt;/Year&gt;&lt;Details&gt;&lt;_alternate_title&gt;ENERGY POLICY&lt;/_alternate_title&gt;&lt;_date_display&gt;2020&lt;/_date_display&gt;&lt;_date&gt;2020-01-01&lt;/_date&gt;&lt;_doi&gt;10.1016/j.enpol.2019.111123&lt;/_doi&gt;&lt;_isbn&gt;0301-4215&lt;/_isbn&gt;&lt;_journal&gt;ENERGY POLICY&lt;/_journal&gt;&lt;_volume&gt;137&lt;/_volume&gt;&lt;_created&gt;64528796&lt;/_created&gt;&lt;_modified&gt;64528796&lt;/_modified&gt;&lt;_impact_factor&gt;   6.142&lt;/_impact_factor&gt;&lt;_collection_scope&gt;SCIE;SSCI;EI&lt;/_collection_scope&gt;&lt;/Details&gt;&lt;Extra&gt;&lt;DBUID&gt;{BD8F6675-5345-4625-BBA4-8897723D22F5}&lt;/DBUID&gt;&lt;/Extra&gt;&lt;/Item&gt;&lt;/References&gt;&lt;/Group&gt;&lt;/Citation&gt;_x000a_"/>
    <w:docVar w:name="NE.Ref{A02DBA70-1CCE-4B3B-B9A8-874C1B6C79B3}" w:val=" ADDIN NE.Ref.{A02DBA70-1CCE-4B3B-B9A8-874C1B6C79B3}&lt;Citation&gt;&lt;Group&gt;&lt;References&gt;&lt;Item&gt;&lt;ID&gt;1530&lt;/ID&gt;&lt;UID&gt;{1E713946-6D69-490F-B183-70EEF693C864}&lt;/UID&gt;&lt;Title&gt;携手消除贫困  促进共同发展&lt;/Title&gt;&lt;Template&gt;Newspaper Article&lt;/Template&gt;&lt;Star&gt;0&lt;/Star&gt;&lt;Tag&gt;0&lt;/Tag&gt;&lt;Author&gt;习近平&lt;/Author&gt;&lt;Year&gt;2015&lt;/Year&gt;&lt;Details&gt;&lt;_accessed&gt;64528860&lt;/_accessed&gt;&lt;_created&gt;64528853&lt;/_created&gt;&lt;_date&gt;2015-10-17&lt;/_date&gt;&lt;_db_provider&gt;CNKI&lt;/_db_provider&gt;&lt;_modified&gt;64528861&lt;/_modified&gt;&lt;_pages&gt;002&lt;/_pages&gt;&lt;_secondary_title&gt;人民日报&lt;/_secondary_title&gt;&lt;_translated_author&gt;Xi, Jinping&lt;/_translated_author&gt;&lt;/Details&gt;&lt;Extra&gt;&lt;DBUID&gt;{BD8F6675-5345-4625-BBA4-8897723D22F5}&lt;/DBUID&gt;&lt;/Extra&gt;&lt;/Item&gt;&lt;/References&gt;&lt;/Group&gt;&lt;/Citation&gt;_x000a_"/>
    <w:docVar w:name="NE.Ref{A1DF10F9-E023-4EB1-A5A7-30E20F925C7C}" w:val=" ADDIN NE.Ref.{A1DF10F9-E023-4EB1-A5A7-30E20F925C7C}&lt;Citation SecTmpl=&quot;1&quot;&gt;&lt;Group&gt;&lt;References&gt;&lt;Item&gt;&lt;ID&gt;107&lt;/ID&gt;&lt;UID&gt;{C871BDB0-08F2-4ABE-8B19-B3556CB36C78}&lt;/UID&gt;&lt;Title&gt;Livelihood resilience and adaptive capacity: Tracing changes in household access to capital in Central Vietnam&lt;/Title&gt;&lt;Template&gt;Journal Article&lt;/Template&gt;&lt;Star&gt;0&lt;/Star&gt;&lt;Tag&gt;0&lt;/Tag&gt;&lt;Author&gt;Thulstrup, Andreas Waaben&lt;/Author&gt;&lt;Year&gt;2015&lt;/Year&gt;&lt;Details&gt;&lt;_accessed&gt;64529056&lt;/_accessed&gt;&lt;_collection_scope&gt;SSCI&lt;/_collection_scope&gt;&lt;_created&gt;64051806&lt;/_created&gt;&lt;_date&gt;2015-01-01&lt;/_date&gt;&lt;_date_display&gt;2015/10/01/&lt;/_date_display&gt;&lt;_doi&gt;https://doi.org/10.1016/j.worlddev.2015.05.019&lt;/_doi&gt;&lt;_image&gt;internal-pdf://2647401155/Livelihood-Resilience-and-Adaptive-Capacity--T.pdf&lt;/_image&gt;&lt;_impact_factor&gt;   6.678&lt;/_impact_factor&gt;&lt;_isbn&gt;0305-750X&lt;/_isbn&gt;&lt;_journal&gt;World Development&lt;/_journal&gt;&lt;_keywords&gt;resilience_x000d__x000a_livelihoods_x000d__x000a_adaptive capacity_x000d__x000a_Asia_x000d__x000a_Vietnam_x000d__x000a_reforestation&lt;/_keywords&gt;&lt;_modified&gt;64586050&lt;/_modified&gt;&lt;_pages&gt;352-362&lt;/_pages&gt;&lt;_short_title&gt;Livelihood Resilience and Adaptive Capacity: Tracing Changes in Household Access to Capital in Central Vietnam&lt;/_short_title&gt;&lt;_social_category&gt;经济学(1)&lt;/_social_category&gt;&lt;_url&gt;https://www.sciencedirect.com/science/article/pii/S0305750X1500128X&lt;/_url&gt;&lt;_volume&gt;74&lt;/_volume&gt;&lt;/Details&gt;&lt;Extra&gt;&lt;DBUID&gt;{BD8F6675-5345-4625-BBA4-8897723D22F5}&lt;/DBUID&gt;&lt;/Extra&gt;&lt;/Item&gt;&lt;/References&gt;&lt;/Group&gt;&lt;/Citation&gt;_x000a_"/>
    <w:docVar w:name="NE.Ref{A249D62A-336A-4414-8B70-B678A2535603}" w:val=" ADDIN NE.Ref.{A249D62A-336A-4414-8B70-B678A2535603}&lt;Citation&gt;&lt;Group&gt;&lt;References&gt;&lt;Item&gt;&lt;ID&gt;1663&lt;/ID&gt;&lt;UID&gt;{38DB446C-9274-494D-B5A6-74862F23A142}&lt;/UID&gt;&lt;Title&gt;Landscape sustainability science: ecosystem services and human well-being in changing landscapes&lt;/Title&gt;&lt;Template&gt;Journal Article&lt;/Template&gt;&lt;Star&gt;0&lt;/Star&gt;&lt;Tag&gt;0&lt;/Tag&gt;&lt;Author&gt;Wu, Jianguo&lt;/Author&gt;&lt;Year&gt;2013&lt;/Year&gt;&lt;Details&gt;&lt;_alternate_title&gt;LANDSCAPE ECOLOGY&lt;/_alternate_title&gt;&lt;_collection_scope&gt;SCIE&lt;/_collection_scope&gt;&lt;_created&gt;64594208&lt;/_created&gt;&lt;_date&gt;2013-01-01&lt;/_date&gt;&lt;_date_display&gt;2013&lt;/_date_display&gt;&lt;_doi&gt;10.1007/s10980-013-9894-9&lt;/_doi&gt;&lt;_impact_factor&gt;   5.043&lt;/_impact_factor&gt;&lt;_isbn&gt;0921-2973&lt;/_isbn&gt;&lt;_issue&gt;6&lt;/_issue&gt;&lt;_journal&gt;LANDSCAPE ECOLOGY&lt;/_journal&gt;&lt;_modified&gt;64594208&lt;/_modified&gt;&lt;_pages&gt;999-1023&lt;/_pages&gt;&lt;_social_category&gt;环境科学与生态学(2)&lt;/_social_category&gt;&lt;_volume&gt;28&lt;/_volume&gt;&lt;/Details&gt;&lt;Extra&gt;&lt;DBUID&gt;{BD8F6675-5345-4625-BBA4-8897723D22F5}&lt;/DBUID&gt;&lt;/Extra&gt;&lt;/Item&gt;&lt;/References&gt;&lt;/Group&gt;&lt;/Citation&gt;_x000a_"/>
    <w:docVar w:name="NE.Ref{A2869867-8E57-413B-B55F-B187B7A283BC}" w:val=" ADDIN NE.Ref.{A2869867-8E57-413B-B55F-B187B7A283BC}&lt;Citation&gt;&lt;Group&gt;&lt;References&gt;&lt;Item&gt;&lt;ID&gt;667&lt;/ID&gt;&lt;UID&gt;{D0EF1CA9-6023-4869-A11A-59ECDA448804}&lt;/UID&gt;&lt;Title&gt;生计资本对农户林地利用及收入的影响研究&lt;/Title&gt;&lt;Template&gt;Thesis&lt;/Template&gt;&lt;Star&gt;0&lt;/Star&gt;&lt;Tag&gt;0&lt;/Tag&gt;&lt;Author&gt;张旭锐&lt;/Author&gt;&lt;Year&gt;2020&lt;/Year&gt;&lt;Details&gt;&lt;_accessed&gt;64537545&lt;/_accessed&gt;&lt;_created&gt;64144221&lt;/_created&gt;&lt;_db_provider&gt;CNKI&lt;/_db_provider&gt;&lt;_keywords&gt;生计资本;;林地利用;;收入;;农户&lt;/_keywords&gt;&lt;_modified&gt;64547461&lt;/_modified&gt;&lt;_publisher&gt;西北农林科技大学&lt;/_publisher&gt;&lt;_tertiary_author&gt;高建中&lt;/_tertiary_author&gt;&lt;_type_work&gt;博士&lt;/_type_work&gt;&lt;_url&gt;https://bar.cnki.net/bar/download/order?id=jBGETXBNdPImvx70aLAuJKPd5%2bH15oC8gGzxs3xdBxiXNLAXg%2fC3jWhB4BgHFEr%2fEBmWIvuz0Y15xF283Q1NvEc1QZmxs35%2fX4wQbniaMu763KDnJ7T691%2b%2fxqKkU%2fIu4ZUGb5jRKRpG58MRjqGFG%2bLkNvX1T1oyTzo0iPXtbtkyI%2bMzzRbqad9DSrV8HgXo80fMPSb%2fmXF0UlcQU4a0TTJ%2bvdKwmX6Xl%2bVwZAGQST4%3d _x000d__x000a_https://bar.cnki.net/bar/download/order?id=jBGETXBNdPImvx70aLAuJKPd5%2bH15oC8gGzxs3xdBxiXNLAXg%2fC3jWhB4BgHFEr%2fEBmWIvuz0Y15xF283Q1NvEc1QZmxs35%2fX4wQbniaMu763KDnJ7T691%2b%2fxqKkU%2fIu4ZUGb5jRKRpG58MRjqGFG%2bLkNvX1T1oyTzo0iPXtbtkyI%2bMzzRbqad9DSrV8HgXosZybgLjgemMVw2Fk3VE6WV5irXQdptsUMBKCP%2fj64%2bzY9Rh0t1%2fsHPJmvPacC%2fDw _x000d__x000a_&lt;/_url&gt;&lt;_translated_author&gt;Zhang, Xurui&lt;/_translated_author&gt;&lt;_translated_tertiary_author&gt;Gao, Jianzhong&lt;/_translated_tertiary_author&gt;&lt;/Details&gt;&lt;Extra&gt;&lt;DBUID&gt;{BD8F6675-5345-4625-BBA4-8897723D22F5}&lt;/DBUID&gt;&lt;/Extra&gt;&lt;/Item&gt;&lt;/References&gt;&lt;/Group&gt;&lt;/Citation&gt;_x000a_"/>
    <w:docVar w:name="NE.Ref{A4DB9D83-FC80-436A-B3EA-9242B3C3C474}" w:val=" ADDIN NE.Ref.{A4DB9D83-FC80-436A-B3EA-9242B3C3C474}&lt;Citation&gt;&lt;Group&gt;&lt;References&gt;&lt;Item&gt;&lt;ID&gt;999&lt;/ID&gt;&lt;UID&gt;{0190992B-6204-455B-9BDD-EEEA390A102F}&lt;/UID&gt;&lt;Title&gt;Sustainable rural livelihoods: practical concepts for the 21st century&lt;/Title&gt;&lt;Template&gt;Journal Article&lt;/Template&gt;&lt;Star&gt;0&lt;/Star&gt;&lt;Tag&gt;0&lt;/Tag&gt;&lt;Author&gt;Chambers, R; Conway, G&lt;/Author&gt;&lt;Year&gt;1992&lt;/Year&gt;&lt;Details&gt;&lt;_accessed&gt;64292799&lt;/_accessed&gt;&lt;_created&gt;64292799&lt;/_created&gt;&lt;_journal&gt;IDS Discussion Paper No. 296. Brighton, Institute of Development Studies&lt;/_journal&gt;&lt;_label&gt;提出生计恢复力概念，作为可持续生计一部分&lt;/_label&gt;&lt;_modified&gt;64292800&lt;/_modified&gt;&lt;_volume&gt;296&lt;/_volume&gt;&lt;/Details&gt;&lt;Extra&gt;&lt;DBUID&gt;{BD8F6675-5345-4625-BBA4-8897723D22F5}&lt;/DBUID&gt;&lt;/Extra&gt;&lt;/Item&gt;&lt;/References&gt;&lt;/Group&gt;&lt;/Citation&gt;_x000a_"/>
    <w:docVar w:name="NE.Ref{A9FB9B05-FE5C-49E5-983F-31C833F387A1}" w:val=" ADDIN NE.Ref.{A9FB9B05-FE5C-49E5-983F-31C833F387A1}&lt;Citation&gt;&lt;Group&gt;&lt;References&gt;&lt;Item&gt;&lt;ID&gt;525&lt;/ID&gt;&lt;UID&gt;{EC63397F-7858-481A-980C-CD960E24AA0C}&lt;/UID&gt;&lt;Title&gt;Climate change 2014: synthesis report&lt;/Title&gt;&lt;Template&gt;Report&lt;/Template&gt;&lt;Star&gt;0&lt;/Star&gt;&lt;Tag&gt;0&lt;/Tag&gt;&lt;Author&gt;IPCC&lt;/Author&gt;&lt;Year&gt;2014&lt;/Year&gt;&lt;Details&gt;&lt;_accessed&gt;64528867&lt;/_accessed&gt;&lt;_created&gt;64060751&lt;/_created&gt;&lt;_modified&gt;64060763&lt;/_modified&gt;&lt;_place_published&gt;Geneva, Switzerland&lt;/_place_published&gt;&lt;/Details&gt;&lt;Extra&gt;&lt;DBUID&gt;{BD8F6675-5345-4625-BBA4-8897723D22F5}&lt;/DBUID&gt;&lt;/Extra&gt;&lt;/Item&gt;&lt;/References&gt;&lt;/Group&gt;&lt;/Citation&gt;_x000a_"/>
    <w:docVar w:name="NE.Ref{ABBB37E4-04BE-4FD9-833C-693ECEE0B2FF}" w:val=" ADDIN NE.Ref.{ABBB37E4-04BE-4FD9-833C-693ECEE0B2FF}&lt;Citation&gt;&lt;Group&gt;&lt;References&gt;&lt;Item&gt;&lt;ID&gt;1147&lt;/ID&gt;&lt;UID&gt;{6E2B07E9-7C1F-4B0A-8A55-51E5B550E097}&lt;/UID&gt;&lt;Title&gt;Livelihood resilience in pastoral communities: Methodological and field insights from Qinghai-Tibetan Plateau&lt;/Title&gt;&lt;Template&gt;Journal Article&lt;/Template&gt;&lt;Star&gt;0&lt;/Star&gt;&lt;Tag&gt;5&lt;/Tag&gt;&lt;Author&gt;Li, Tong; Cai, Shuohao; Singh, Ranjay K; Cui, Lizhen; Fava, Francesco; Tang, Li; Xu, Zhihong; Li, Congjia; Cui, Xiaoyong; Du, Jianqing; Hao, Yanbin; Liu, Yuexian; Wang, Yanfen&lt;/Author&gt;&lt;Year&gt;2022&lt;/Year&gt;&lt;Details&gt;&lt;_accessed&gt;64647052&lt;/_accessed&gt;&lt;_alternate_title&gt;Science of The Total Environment&lt;/_alternate_title&gt;&lt;_collection_scope&gt;SCI;SCIE;EI&lt;/_collection_scope&gt;&lt;_created&gt;64422289&lt;/_created&gt;&lt;_date&gt;2022-01-01&lt;/_date&gt;&lt;_date_display&gt;2022&lt;/_date_display&gt;&lt;_doi&gt;https://doi.org/10.1016/j.scitotenv.2022.155960&lt;/_doi&gt;&lt;_impact_factor&gt;  10.753&lt;/_impact_factor&gt;&lt;_isbn&gt;0048-9697&lt;/_isbn&gt;&lt;_journal&gt;Science of The Total Environment&lt;/_journal&gt;&lt;_keywords&gt;Stress and change; Livelihood assets; Alpine grassland; Entropy technique; Three River Headwaters Region (TRHR)&lt;/_keywords&gt;&lt;_modified&gt;64644825&lt;/_modified&gt;&lt;_pages&gt;155960&lt;/_pages&gt;&lt;_social_category&gt;环境科学与生态学(2)&lt;/_social_category&gt;&lt;_url&gt;https://www.sciencedirect.com/science/article/pii/S0048969722030571&lt;/_url&gt;&lt;_volume&gt;838&lt;/_volume&gt;&lt;/Details&gt;&lt;Extra&gt;&lt;DBUID&gt;{BD8F6675-5345-4625-BBA4-8897723D22F5}&lt;/DBUID&gt;&lt;/Extra&gt;&lt;/Item&gt;&lt;/References&gt;&lt;/Group&gt;&lt;Group&gt;&lt;References&gt;&lt;Item&gt;&lt;ID&gt;1148&lt;/ID&gt;&lt;UID&gt;{0A06C798-2670-46E6-A158-F92721B4A859}&lt;/UID&gt;&lt;Title&gt;Implementing the livelihood resilience framework: An indicator-based model for assessing mountain pastoral farming systems&lt;/Title&gt;&lt;Template&gt;Journal Article&lt;/Template&gt;&lt;Star&gt;0&lt;/Star&gt;&lt;Tag&gt;5&lt;/Tag&gt;&lt;Author&gt;Lecegui, Antonio; Olaizola, Ana María; López-i-Gelats, Feliu; Varela, Elsa&lt;/Author&gt;&lt;Year&gt;2022&lt;/Year&gt;&lt;Details&gt;&lt;_accessed&gt;64646837&lt;/_accessed&gt;&lt;_alternate_title&gt;Agricultural Systems&lt;/_alternate_title&gt;&lt;_collection_scope&gt;SCI;SCIE&lt;/_collection_scope&gt;&lt;_created&gt;64422289&lt;/_created&gt;&lt;_date&gt;2022-01-01&lt;/_date&gt;&lt;_date_display&gt;2022&lt;/_date_display&gt;&lt;_doi&gt;https://doi.org/10.1016/j.agsy.2022.103405&lt;/_doi&gt;&lt;_impact_factor&gt;   6.765&lt;/_impact_factor&gt;&lt;_isbn&gt;0308-521X&lt;/_isbn&gt;&lt;_journal&gt;Agricultural Systems&lt;/_journal&gt;&lt;_keywords&gt;Livelihood strategies; Farm household typology; Adaptive capacity; Diversification pathways; Latent profile analysis; Three-step approach&lt;/_keywords&gt;&lt;_modified&gt;64646836&lt;/_modified&gt;&lt;_pages&gt;103405&lt;/_pages&gt;&lt;_social_category&gt;农林科学(1)&lt;/_social_category&gt;&lt;_url&gt;https://www.sciencedirect.com/science/article/pii/S0308521X22000415&lt;/_url&gt;&lt;_volume&gt;199&lt;/_volume&gt;&lt;/Details&gt;&lt;Extra&gt;&lt;DBUID&gt;{BD8F6675-5345-4625-BBA4-8897723D22F5}&lt;/DBUID&gt;&lt;/Extra&gt;&lt;/Item&gt;&lt;/References&gt;&lt;/Group&gt;&lt;/Citation&gt;_x000a_"/>
    <w:docVar w:name="NE.Ref{ABE10197-214A-4B66-9BA4-108094BA1A36}" w:val=" ADDIN NE.Ref.{ABE10197-214A-4B66-9BA4-108094BA1A36}&lt;Citation SecTmpl=&quot;1&quot;&gt;&lt;Group&gt;&lt;References&gt;&lt;Item&gt;&lt;ID&gt;1029&lt;/ID&gt;&lt;UID&gt;{D838E49B-6008-4CA8-BBAF-167424B55702}&lt;/UID&gt;&lt;Title&gt;Sustainable development problems and countermeasures: A case study of the Qinghai-Tibet Plateau&lt;/Title&gt;&lt;Template&gt;Journal Article&lt;/Template&gt;&lt;Star&gt;0&lt;/Star&gt;&lt;Tag&gt;0&lt;/Tag&gt;&lt;Author&gt;Zhao, Yannan; Chen, Dong; Fan, Jie&lt;/Author&gt;&lt;Year&gt;2020&lt;/Year&gt;&lt;Details&gt;&lt;_accessed&gt;64644827&lt;/_accessed&gt;&lt;_alternate_title&gt;Geography and Sustainability&lt;/_alternate_title&gt;&lt;_collection_scope&gt;ESCI&lt;/_collection_scope&gt;&lt;_created&gt;64321585&lt;/_created&gt;&lt;_date&gt;2020-01-01&lt;/_date&gt;&lt;_date_display&gt;2020&lt;/_date_display&gt;&lt;_doi&gt;https://doi.org/10.1016/j.geosus.2020.11.002&lt;/_doi&gt;&lt;_isbn&gt;2666-6839&lt;/_isbn&gt;&lt;_issue&gt;4&lt;/_issue&gt;&lt;_journal&gt;Geography and Sustainability&lt;/_journal&gt;&lt;_keywords&gt;Qinghai-Tibet Plateau; Functional zone; Sustainable livelihood; Sustainable development&lt;/_keywords&gt;&lt;_modified&gt;64644828&lt;/_modified&gt;&lt;_pages&gt;275-283&lt;/_pages&gt;&lt;_social_category&gt;环境科学与生态学(4)&lt;/_social_category&gt;&lt;_url&gt;https://www.sciencedirect.com/science/article/pii/S2666683920300572&lt;/_url&gt;&lt;_volume&gt;1&lt;/_volume&gt;&lt;/Details&gt;&lt;Extra&gt;&lt;DBUID&gt;{BD8F6675-5345-4625-BBA4-8897723D22F5}&lt;/DBUID&gt;&lt;/Extra&gt;&lt;/Item&gt;&lt;/References&gt;&lt;/Group&gt;&lt;/Citation&gt;_x000a_"/>
    <w:docVar w:name="NE.Ref{ACC14133-6AB3-43FB-BBF8-540F287D4EDA}" w:val=" ADDIN NE.Ref.{ACC14133-6AB3-43FB-BBF8-540F287D4EDA}&lt;Citation&gt;&lt;Group&gt;&lt;References&gt;&lt;Item&gt;&lt;ID&gt;1672&lt;/ID&gt;&lt;UID&gt;{09F4C140-A9DF-409B-B649-1438F41213D4}&lt;/UID&gt;&lt;Title&gt;Applying Instructional Design Strategies and Behavior Theory to Household Disaster Preparedness Training&lt;/Title&gt;&lt;Template&gt;Journal Article&lt;/Template&gt;&lt;Star&gt;0&lt;/Star&gt;&lt;Tag&gt;0&lt;/Tag&gt;&lt;Author&gt;Thomas, Tracy N; Sobelson, Robyn K; Wigington, Corinne J; Davis, Alyson L; Harp, Victoria H; Leander-Griffith, Michelle; Cioffi, Joan P&lt;/Author&gt;&lt;Year&gt;2018&lt;/Year&gt;&lt;Details&gt;&lt;_alternate_title&gt;JOURNAL OF PUBLIC HEALTH MANAGEMENT AND PRACTICE&lt;/_alternate_title&gt;&lt;_collection_scope&gt;SSCI&lt;/_collection_scope&gt;&lt;_created&gt;64614973&lt;/_created&gt;&lt;_date&gt;2018-01-01&lt;/_date&gt;&lt;_date_display&gt;2018&lt;/_date_display&gt;&lt;_doi&gt;10.1097/PHH.0000000000000511&lt;/_doi&gt;&lt;_impact_factor&gt;   2.657&lt;/_impact_factor&gt;&lt;_isbn&gt;1078-4659&lt;/_isbn&gt;&lt;_issue&gt;1&lt;/_issue&gt;&lt;_journal&gt;JOURNAL OF PUBLIC HEALTH MANAGEMENT AND PRACTICE&lt;/_journal&gt;&lt;_modified&gt;64614973&lt;/_modified&gt;&lt;_pages&gt;E16-E25&lt;/_pages&gt;&lt;_social_category&gt;医学(4)&lt;/_social_category&gt;&lt;_volume&gt;24&lt;/_volume&gt;&lt;/Details&gt;&lt;Extra&gt;&lt;DBUID&gt;{BD8F6675-5345-4625-BBA4-8897723D22F5}&lt;/DBUID&gt;&lt;/Extra&gt;&lt;/Item&gt;&lt;/References&gt;&lt;/Group&gt;&lt;Group&gt;&lt;References&gt;&lt;Item&gt;&lt;ID&gt;1526&lt;/ID&gt;&lt;UID&gt;{F484116B-AD7B-40A9-9527-760FC75978AB}&lt;/UID&gt;&lt;Title&gt;Multi-dimensional poverty measurement for photovoltaic poverty alleviation areas: Evidence from pilot counties in China&lt;/Title&gt;&lt;Template&gt;Journal Article&lt;/Template&gt;&lt;Star&gt;0&lt;/Star&gt;&lt;Tag&gt;0&lt;/Tag&gt;&lt;Author&gt;Zhang, Huiming; Xu, Zhidong; Wu, Kai; Zhou, Dequn; Wei, Guo&lt;/Author&gt;&lt;Year&gt;2019&lt;/Year&gt;&lt;Details&gt;&lt;_accessed&gt;64528819&lt;/_accessed&gt;&lt;_alternate_title&gt;JOURNAL OF CLEANER PRODUCTION&lt;/_alternate_title&gt;&lt;_collection_scope&gt;SCIE;EI&lt;/_collection_scope&gt;&lt;_created&gt;64528796&lt;/_created&gt;&lt;_date&gt;2019-01-01&lt;/_date&gt;&lt;_date_display&gt;2019&lt;/_date_display&gt;&lt;_doi&gt;10.1016/j.jclepro.2019.118382&lt;/_doi&gt;&lt;_impact_factor&gt;  11.072&lt;/_impact_factor&gt;&lt;_isbn&gt;0959-6526&lt;/_isbn&gt;&lt;_journal&gt;JOURNAL OF CLEANER PRODUCTION&lt;/_journal&gt;&lt;_modified&gt;64646913&lt;/_modified&gt;&lt;_social_category&gt;环境科学与生态学(2)&lt;/_social_category&gt;&lt;_volume&gt;241&lt;/_volume&gt;&lt;/Details&gt;&lt;Extra&gt;&lt;DBUID&gt;{BD8F6675-5345-4625-BBA4-8897723D22F5}&lt;/DBUID&gt;&lt;/Extra&gt;&lt;/Item&gt;&lt;/References&gt;&lt;/Group&gt;&lt;/Citation&gt;_x000a_"/>
    <w:docVar w:name="NE.Ref{ADBBB5CB-7482-4D9F-BCEC-FB8D0C09389B}" w:val=" ADDIN NE.Ref.{ADBBB5CB-7482-4D9F-BCEC-FB8D0C09389B}&lt;Citation&gt;&lt;Group&gt;&lt;References&gt;&lt;Item&gt;&lt;ID&gt;1507&lt;/ID&gt;&lt;UID&gt;{DF7E85A9-5057-45D1-AEFC-CE212AC163D3}&lt;/UID&gt;&lt;Title&gt;农户生计资本和区域异质性对生计策略的影响研究——基于中国家庭追踪调查数据的实证分析&lt;/Title&gt;&lt;Template&gt;Journal Article&lt;/Template&gt;&lt;Star&gt;0&lt;/Star&gt;&lt;Tag&gt;0&lt;/Tag&gt;&lt;Author&gt;耿亚新; 刘栩含; 饶品样&lt;/Author&gt;&lt;Year&gt;2021&lt;/Year&gt;&lt;Details&gt;&lt;_author_adr&gt;郑州大学旅游管理学院;&lt;/_author_adr&gt;&lt;_collection_scope&gt;PKU&lt;/_collection_scope&gt;&lt;_created&gt;64432546&lt;/_created&gt;&lt;_db_provider&gt;CNKI&lt;/_db_provider&gt;&lt;_doi&gt;10.13843/j.cnki.lyjj.20210709.001&lt;/_doi&gt;&lt;_isbn&gt;1673-338X&lt;/_isbn&gt;&lt;_issue&gt;05&lt;/_issue&gt;&lt;_journal&gt;林业经济&lt;/_journal&gt;&lt;_keywords&gt;生计资本;生计策略;区域异质性;无序多分类Logistic回归&lt;/_keywords&gt;&lt;_modified&gt;64432744&lt;/_modified&gt;&lt;_pages&gt;17-31&lt;/_pages&gt;&lt;_url&gt;https://kns.cnki.net/kcms/detail/11.5390.S.20210709.1224.002.html _x000d__x000a_https://bar.cnki.net/bar/download/order?id=jBGETXBNdPImvx70aLAuJPYxPoFw%2bp%2bi0fIiSrcN6lXvBSU3eRwO7jPMcnkepCyeu0Y9cJyaeMzChUwbF%2bvmtEGxVkq8YHJNz4jV3WhknTrl8E%2bCUVp5GtDTYhVF2dNUoJeGx62Ssygg68TNXJ%2b5JrigejDAar8Xqw%2f6WR22OFXUdUGh4At8VBYSvh%2fCUD5a1nKrEXbU0bKTUpsAF7bgbCWZL0ai5A42K%2bdv2kg5hcj5LXYX1qwFXwOc1HUZT%2bTB _x000d__x000a_&lt;/_url&gt;&lt;_volume&gt;43&lt;/_volume&gt;&lt;_translated_author&gt;Geng, Yaxin;Liu, Xuhan;Rao, Pinyang&lt;/_translated_author&gt;&lt;/Details&gt;&lt;Extra&gt;&lt;DBUID&gt;{BD8F6675-5345-4625-BBA4-8897723D22F5}&lt;/DBUID&gt;&lt;/Extra&gt;&lt;/Item&gt;&lt;/References&gt;&lt;/Group&gt;&lt;/Citation&gt;_x000a_"/>
    <w:docVar w:name="NE.Ref{AE244840-3951-4CDC-8591-48919091AD54}" w:val=" ADDIN NE.Ref.{AE244840-3951-4CDC-8591-48919091AD54}&lt;Citation SecTmpl=&quot;1&quot;&gt;&lt;Group&gt;&lt;References&gt;&lt;Item&gt;&lt;ID&gt;1443&lt;/ID&gt;&lt;UID&gt;{0C0C4D48-F372-4201-97B7-90F6D9921AD6}&lt;/UID&gt;&lt;Title&gt;A people-centred perspective on climate change, environmental stress, and livelihood resilience in Bangladesh&lt;/Title&gt;&lt;Template&gt;Journal Article&lt;/Template&gt;&lt;Star&gt;0&lt;/Star&gt;&lt;Tag&gt;0&lt;/Tag&gt;&lt;Author&gt;Ayeb-Karlsson, S; van der Geest, K; Ahmed, I; Huq, S; Warner, K&lt;/Author&gt;&lt;Year&gt;2016&lt;/Year&gt;&lt;Details&gt;&lt;_accessed&gt;64628220&lt;/_accessed&gt;&lt;_alternate_title&gt;SUSTAINABILITY SCIENCE&lt;/_alternate_title&gt;&lt;_collection_scope&gt;SCIE&lt;/_collection_scope&gt;&lt;_created&gt;64422310&lt;/_created&gt;&lt;_date&gt;2016-01-01&lt;/_date&gt;&lt;_date_display&gt;2016&lt;/_date_display&gt;&lt;_doi&gt;10.1007/s11625-016-0379-z&lt;/_doi&gt;&lt;_impact_factor&gt;   7.196&lt;/_impact_factor&gt;&lt;_isbn&gt;1862-4065&lt;/_isbn&gt;&lt;_issue&gt;4&lt;/_issue&gt;&lt;_journal&gt;SUSTAINABILITY SCIENCE&lt;/_journal&gt;&lt;_label&gt;定性研究适应性策略对生计恢复力的影响&lt;/_label&gt;&lt;_modified&gt;64628220&lt;/_modified&gt;&lt;_pages&gt;679-694&lt;/_pages&gt;&lt;_social_category&gt;环境科学与生态学(2)&lt;/_social_category&gt;&lt;_volume&gt;11&lt;/_volume&gt;&lt;/Details&gt;&lt;Extra&gt;&lt;DBUID&gt;{BD8F6675-5345-4625-BBA4-8897723D22F5}&lt;/DBUID&gt;&lt;/Extra&gt;&lt;/Item&gt;&lt;/References&gt;&lt;/Group&gt;&lt;/Citation&gt;_x000a_"/>
    <w:docVar w:name="NE.Ref{B01E4C2C-DB28-4C9F-A5E1-DA90AB588C26}" w:val=" ADDIN NE.Ref.{B01E4C2C-DB28-4C9F-A5E1-DA90AB588C26}&lt;Citation SecTmpl=&quot;1&quot;&gt;&lt;Group&gt;&lt;References&gt;&lt;Item&gt;&lt;ID&gt;525&lt;/ID&gt;&lt;UID&gt;{EC63397F-7858-481A-980C-CD960E24AA0C}&lt;/UID&gt;&lt;Title&gt;Climate change 2014: synthesis report&lt;/Title&gt;&lt;Template&gt;Report&lt;/Template&gt;&lt;Star&gt;0&lt;/Star&gt;&lt;Tag&gt;0&lt;/Tag&gt;&lt;Author&gt;IPCC&lt;/Author&gt;&lt;Year&gt;2014&lt;/Year&gt;&lt;Details&gt;&lt;_accessed&gt;64528867&lt;/_accessed&gt;&lt;_created&gt;64060751&lt;/_created&gt;&lt;_modified&gt;64060763&lt;/_modified&gt;&lt;_place_published&gt;Geneva, Switzerland&lt;/_place_published&gt;&lt;/Details&gt;&lt;Extra&gt;&lt;DBUID&gt;{BD8F6675-5345-4625-BBA4-8897723D22F5}&lt;/DBUID&gt;&lt;/Extra&gt;&lt;/Item&gt;&lt;/References&gt;&lt;/Group&gt;&lt;/Citation&gt;_x000a_"/>
    <w:docVar w:name="NE.Ref{B33040FF-E41D-4292-B91A-E6F57C5801A2}" w:val=" ADDIN NE.Ref.{B33040FF-E41D-4292-B91A-E6F57C5801A2}&lt;Citation SecTmpl=&quot;1&quot;&gt;&lt;Group&gt;&lt;References&gt;&lt;Item&gt;&lt;ID&gt;999&lt;/ID&gt;&lt;UID&gt;{0190992B-6204-455B-9BDD-EEEA390A102F}&lt;/UID&gt;&lt;Title&gt;Sustainable rural livelihoods: practical concepts for the 21st century&lt;/Title&gt;&lt;Template&gt;Journal Article&lt;/Template&gt;&lt;Star&gt;0&lt;/Star&gt;&lt;Tag&gt;0&lt;/Tag&gt;&lt;Author&gt;Chambers, R; Conway, G&lt;/Author&gt;&lt;Year&gt;1992&lt;/Year&gt;&lt;Details&gt;&lt;_accessed&gt;64682958&lt;/_accessed&gt;&lt;_created&gt;64292799&lt;/_created&gt;&lt;_journal&gt;IDS Discussion Paper No. 296. Brighton, Institute of Development Studies&lt;/_journal&gt;&lt;_label&gt;提出生计恢复力概念，作为可持续生计一部分&lt;/_label&gt;&lt;_modified&gt;64682958&lt;/_modified&gt;&lt;_volume&gt;296&lt;/_volume&gt;&lt;_pages&gt;21-25&lt;/_pages&gt;&lt;/Details&gt;&lt;Extra&gt;&lt;DBUID&gt;{BD8F6675-5345-4625-BBA4-8897723D22F5}&lt;/DBUID&gt;&lt;/Extra&gt;&lt;/Item&gt;&lt;/References&gt;&lt;/Group&gt;&lt;/Citation&gt;_x000a_"/>
    <w:docVar w:name="NE.Ref{B3A2019B-17A5-474F-AB6C-BB89DE380427}" w:val=" ADDIN NE.Ref.{B3A2019B-17A5-474F-AB6C-BB89DE380427}&lt;Citation&gt;&lt;Group&gt;&lt;References&gt;&lt;Item&gt;&lt;ID&gt;1402&lt;/ID&gt;&lt;UID&gt;{255BCCB4-96B3-4F0F-B832-B1069CFCA692}&lt;/UID&gt;&lt;Title&gt;Farmer households&amp;apos; livelihood resilience in ecological-function areas: case of the Yellow River water source area of China&lt;/Title&gt;&lt;Template&gt;Journal Article&lt;/Template&gt;&lt;Star&gt;0&lt;/Star&gt;&lt;Tag&gt;0&lt;/Tag&gt;&lt;Author&gt;Zhao, X Y; Chen, H H; Zhao, H L; Xue, B&lt;/Author&gt;&lt;Year&gt;2022&lt;/Year&gt;&lt;Details&gt;&lt;_alternate_title&gt;ENVIRONMENT DEVELOPMENT AND SUSTAINABILITY&lt;/_alternate_title&gt;&lt;_collection_scope&gt;SCIE&lt;/_collection_scope&gt;&lt;_created&gt;64422310&lt;/_created&gt;&lt;_date&gt;2022-01-01&lt;/_date&gt;&lt;_date_display&gt;2022&lt;/_date_display&gt;&lt;_doi&gt;10.1007/s10668-021-01827-w&lt;/_doi&gt;&lt;_impact_factor&gt;   4.080&lt;/_impact_factor&gt;&lt;_isbn&gt;1387-585X&lt;/_isbn&gt;&lt;_issue&gt;7&lt;/_issue&gt;&lt;_journal&gt;ENVIRONMENT DEVELOPMENT AND SUSTAINABILITY&lt;/_journal&gt;&lt;_modified&gt;64618128&lt;/_modified&gt;&lt;_pages&gt;9665-9686&lt;/_pages&gt;&lt;_social_category&gt;环境科学与生态学(4)&lt;/_social_category&gt;&lt;_volume&gt;24&lt;/_volume&gt;&lt;/Details&gt;&lt;Extra&gt;&lt;DBUID&gt;{BD8F6675-5345-4625-BBA4-8897723D22F5}&lt;/DBUID&gt;&lt;/Extra&gt;&lt;/Item&gt;&lt;/References&gt;&lt;/Group&gt;&lt;/Citation&gt;_x000a_"/>
    <w:docVar w:name="NE.Ref{B59152B4-12AF-40B3-BBC0-9C9A55DD24A4}" w:val=" ADDIN NE.Ref.{B59152B4-12AF-40B3-BBC0-9C9A55DD24A4}&lt;Citation&gt;&lt;Group&gt;&lt;References&gt;&lt;Item&gt;&lt;ID&gt;110&lt;/ID&gt;&lt;UID&gt;{F40E7D46-27DF-4F9D-A2BB-4D8D45263FBA}&lt;/UID&gt;&lt;Title&gt;The significance of dry forest income for livelihood resilience: The case of the pastoralists and agro-pastoralists in the drylands of southeastern Ethiopia&lt;/Title&gt;&lt;Template&gt;Journal Article&lt;/Template&gt;&lt;Star&gt;0&lt;/Star&gt;&lt;Tag&gt;0&lt;/Tag&gt;&lt;Author&gt;Worku, Adefires; Pretzsch, Jürgen; Kassa, Habtemariam; Auch, Eckhard&lt;/Author&gt;&lt;Year&gt;2014&lt;/Year&gt;&lt;Details&gt;&lt;_collection_scope&gt;SCIE;SSCI;EI&lt;/_collection_scope&gt;&lt;_created&gt;64051806&lt;/_created&gt;&lt;_date&gt;2014-01-01&lt;/_date&gt;&lt;_date_display&gt;2014/04/01/&lt;/_date_display&gt;&lt;_doi&gt;https://doi.org/10.1016/j.forpol.2014.01.001&lt;/_doi&gt;&lt;_image&gt;internal-pdf://4054235326/The-significance-of-dry-forest-income-for-live.pdf&lt;/_image&gt;&lt;_impact_factor&gt;   4.259&lt;/_impact_factor&gt;&lt;_isbn&gt;1389-9341&lt;/_isbn&gt;&lt;_journal&gt;Forest Policy and Economics&lt;/_journal&gt;&lt;_keywords&gt;Pastoralism_x000d__x000a_Agro-pastoralism_x000d__x000a_Drought vulnerability_x000d__x000a_Dry forest income_x000d__x000a_Livelihood resilience&lt;/_keywords&gt;&lt;_modified&gt;64608215&lt;/_modified&gt;&lt;_pages&gt;51-59&lt;/_pages&gt;&lt;_short_title&gt;The significance of dry forest income for livelihood resilience: The case of the pastoralists and agro-pastoralists in the drylands of southeastern Ethiopia&lt;/_short_title&gt;&lt;_social_category&gt;农林科学(2)&lt;/_social_category&gt;&lt;_url&gt;https://www.sciencedirect.com/science/article/pii/S1389934114000033&lt;/_url&gt;&lt;_volume&gt;41&lt;/_volume&gt;&lt;/Details&gt;&lt;Extra&gt;&lt;DBUID&gt;{BD8F6675-5345-4625-BBA4-8897723D22F5}&lt;/DBUID&gt;&lt;/Extra&gt;&lt;/Item&gt;&lt;/References&gt;&lt;/Group&gt;&lt;Group&gt;&lt;References&gt;&lt;Item&gt;&lt;ID&gt;102&lt;/ID&gt;&lt;UID&gt;{D40EF584-AAF8-4E76-8031-2A1C87DF6359}&lt;/UID&gt;&lt;Title&gt;Water and human livelihood resilience: a regional-to-global outlook&lt;/Title&gt;&lt;Template&gt;Journal Article&lt;/Template&gt;&lt;Star&gt;0&lt;/Star&gt;&lt;Tag&gt;0&lt;/Tag&gt;&lt;Author&gt;Falkenmark, Malin&lt;/Author&gt;&lt;Year&gt;2016&lt;/Year&gt;&lt;Details&gt;&lt;_accessed&gt;64051807&lt;/_accessed&gt;&lt;_accession_num&gt;WOS:000395009200001&lt;/_accession_num&gt;&lt;_collection_scope&gt;SCIE;EI&lt;/_collection_scope&gt;&lt;_created&gt;64051806&lt;/_created&gt;&lt;_date&gt;61626240&lt;/_date&gt;&lt;_date_display&gt;Mar&lt;/_date_display&gt;&lt;_db_updated&gt;CrossRef&lt;/_db_updated&gt;&lt;_doi&gt;10.1080/07900627.2016.1190320&lt;/_doi&gt;&lt;_image&gt;internal-pdf://0647050136/Falkenmark-2017-Water-and-human-livelihood-res.pdf&lt;/_image&gt;&lt;_impact_factor&gt;   3.776&lt;/_impact_factor&gt;&lt;_isbn&gt;0790-0627&lt;/_isbn&gt;&lt;_issue&gt;2&lt;/_issue&gt;&lt;_journal&gt;International Journal of Water Resources Development&lt;/_journal&gt;&lt;_modified&gt;64608215&lt;/_modified&gt;&lt;_pages&gt;181-197&lt;/_pages&gt;&lt;_short_title&gt;Water and human livelihood resilience: a regional-to-global outlook&lt;/_short_title&gt;&lt;_social_category&gt;环境科学与生态学(2)&lt;/_social_category&gt;&lt;_tertiary_title&gt;International Journal of Water Resources Development&lt;/_tertiary_title&gt;&lt;_url&gt;https://www.tandfonline.com/doi/full/10.1080/07900627.2016.1190320_x000d__x000a_https://www.tandfonline.com/doi/pdf/10.1080/07900627.2016.1190320&lt;/_url&gt;&lt;_volume&gt;33&lt;/_volume&gt;&lt;/Details&gt;&lt;Extra&gt;&lt;DBUID&gt;{BD8F6675-5345-4625-BBA4-8897723D22F5}&lt;/DBUID&gt;&lt;/Extra&gt;&lt;/Item&gt;&lt;/References&gt;&lt;/Group&gt;&lt;/Citation&gt;_x000a_"/>
    <w:docVar w:name="NE.Ref{B64CA538-FF72-46B4-9178-68212D35D1A2}" w:val=" ADDIN NE.Ref.{B64CA538-FF72-46B4-9178-68212D35D1A2}&lt;Citation&gt;&lt;Group&gt;&lt;References&gt;&lt;Item&gt;&lt;ID&gt;1679&lt;/ID&gt;&lt;UID&gt;{5B50C999-D7B5-450D-9B00-1B0E9F244041}&lt;/UID&gt;&lt;Title&gt;Climate change and Chinese farmers: Perceptions and determinants of adaptive strategies&lt;/Title&gt;&lt;Template&gt;Journal Article&lt;/Template&gt;&lt;Star&gt;0&lt;/Star&gt;&lt;Tag&gt;0&lt;/Tag&gt;&lt;Author&gt;Zhai, S Y; Song, G X; Qin, Y C; Ye, X Y; Leipnik, M&lt;/Author&gt;&lt;Year&gt;2018&lt;/Year&gt;&lt;Details&gt;&lt;_alternate_title&gt;JOURNAL OF INTEGRATIVE AGRICULTURE&lt;/_alternate_title&gt;&lt;_collection_scope&gt;CSCD;SCIE&lt;/_collection_scope&gt;&lt;_created&gt;64634081&lt;/_created&gt;&lt;_date&gt;2018-01-01&lt;/_date&gt;&lt;_date_display&gt;2018&lt;/_date_display&gt;&lt;_doi&gt;10.1016/S2095-3119(17)61753-2&lt;/_doi&gt;&lt;_impact_factor&gt;   4.384&lt;/_impact_factor&gt;&lt;_isbn&gt;2095-3119&lt;/_isbn&gt;&lt;_issue&gt;4&lt;/_issue&gt;&lt;_journal&gt;JOURNAL OF INTEGRATIVE AGRICULTURE&lt;/_journal&gt;&lt;_modified&gt;64634081&lt;/_modified&gt;&lt;_pages&gt;949-963&lt;/_pages&gt;&lt;_social_category&gt;农林科学(2)&lt;/_social_category&gt;&lt;_volume&gt;17&lt;/_volume&gt;&lt;/Details&gt;&lt;Extra&gt;&lt;DBUID&gt;{BD8F6675-5345-4625-BBA4-8897723D22F5}&lt;/DBUID&gt;&lt;/Extra&gt;&lt;/Item&gt;&lt;/References&gt;&lt;/Group&gt;&lt;Group&gt;&lt;References&gt;&lt;Item&gt;&lt;ID&gt;1678&lt;/ID&gt;&lt;UID&gt;{3E26B50D-5954-41C5-8792-005C163C7A57}&lt;/UID&gt;&lt;Title&gt;Farmers&amp;apos; perceived efficacy of adaptive behaviors to climate change in the Loess Plateau, China&lt;/Title&gt;&lt;Template&gt;Journal Article&lt;/Template&gt;&lt;Star&gt;0&lt;/Star&gt;&lt;Tag&gt;0&lt;/Tag&gt;&lt;Author&gt;Shi, Xingmin; Sun, Lifan; Chen, Xieyang; Wang, Lu&lt;/Author&gt;&lt;Year&gt;2019&lt;/Year&gt;&lt;Details&gt;&lt;_accessed&gt;64648871&lt;/_accessed&gt;&lt;_alternate_title&gt;SCIENCE OF THE TOTAL ENVIRONMENT&lt;/_alternate_title&gt;&lt;_collection_scope&gt;SCIE;EI&lt;/_collection_scope&gt;&lt;_created&gt;64634079&lt;/_created&gt;&lt;_date&gt;2019-01-01&lt;/_date&gt;&lt;_date_display&gt;2019&lt;/_date_display&gt;&lt;_doi&gt;10.1016/j.scitotenv.2019.134217&lt;/_doi&gt;&lt;_impact_factor&gt;  10.753&lt;/_impact_factor&gt;&lt;_isbn&gt;0048-9697&lt;/_isbn&gt;&lt;_journal&gt;SCIENCE OF THE TOTAL ENVIRONMENT&lt;/_journal&gt;&lt;_modified&gt;64648871&lt;/_modified&gt;&lt;_pages&gt;134217&lt;/_pages&gt;&lt;_social_category&gt;环境科学与生态学(2)&lt;/_social_category&gt;&lt;_volume&gt;697&lt;/_volume&gt;&lt;/Details&gt;&lt;Extra&gt;&lt;DBUID&gt;{BD8F6675-5345-4625-BBA4-8897723D22F5}&lt;/DBUID&gt;&lt;/Extra&gt;&lt;/Item&gt;&lt;/References&gt;&lt;/Group&gt;&lt;/Citation&gt;_x000a_"/>
    <w:docVar w:name="NE.Ref{BFB7129B-95AE-47AB-9058-5ED9CABA70F3}" w:val=" ADDIN NE.Ref.{BFB7129B-95AE-47AB-9058-5ED9CABA70F3}&lt;Citation SecTmpl=&quot;1&quot;&gt;&lt;Group&gt;&lt;References&gt;&lt;Item&gt;&lt;ID&gt;355&lt;/ID&gt;&lt;UID&gt;{243210E5-90A6-4132-9186-0AA5336A051A}&lt;/UID&gt;&lt;Title&gt;Household strategies and rural livelihood diversification&lt;/Title&gt;&lt;Template&gt;Journal Article&lt;/Template&gt;&lt;Star&gt;0&lt;/Star&gt;&lt;Tag&gt;0&lt;/Tag&gt;&lt;Author&gt;Ellis, Frank&lt;/Author&gt;&lt;Year&gt;1998&lt;/Year&gt;&lt;Details&gt;&lt;_accessed&gt;64060479&lt;/_accessed&gt;&lt;_accession_num&gt;WOS:000077317500002&lt;/_accession_num&gt;&lt;_collection_scope&gt;SSCI&lt;/_collection_scope&gt;&lt;_created&gt;64060478&lt;/_created&gt;&lt;_date&gt;1990-10-01&lt;/_date&gt;&lt;_date_display&gt;Oct&lt;/_date_display&gt;&lt;_db_updated&gt;CrossRef&lt;/_db_updated&gt;&lt;_doi&gt;10.1080/00220389808422553&lt;/_doi&gt;&lt;_impact_factor&gt;   2.519&lt;/_impact_factor&gt;&lt;_isbn&gt;0022-0388&lt;/_isbn&gt;&lt;_issue&gt;1&lt;/_issue&gt;&lt;_journal&gt;Journal of Development Studies&lt;/_journal&gt;&lt;_modified&gt;64594249&lt;/_modified&gt;&lt;_pages&gt;1-38&lt;/_pages&gt;&lt;_short_title&gt;Household strategies and rural livelihood diversification&lt;/_short_title&gt;&lt;_social_category&gt;经济学(3)&lt;/_social_category&gt;&lt;_tertiary_title&gt;Journal of Development Studies&lt;/_tertiary_title&gt;&lt;_url&gt;http://www.tandfonline.com/doi/abs/10.1080/00220389808422553_x000d__x000a_http://www.tandfonline.com/doi/pdf/10.1080/00220389808422553&lt;/_url&gt;&lt;_volume&gt;35&lt;/_volume&gt;&lt;/Details&gt;&lt;Extra&gt;&lt;DBUID&gt;{BD8F6675-5345-4625-BBA4-8897723D22F5}&lt;/DBUID&gt;&lt;/Extra&gt;&lt;/Item&gt;&lt;/References&gt;&lt;/Group&gt;&lt;/Citation&gt;_x000a_"/>
    <w:docVar w:name="NE.Ref{C0E1252E-46F9-46FB-9E25-43B1F59FD810}" w:val=" ADDIN NE.Ref.{C0E1252E-46F9-46FB-9E25-43B1F59FD810}&lt;Citation&gt;&lt;Group&gt;&lt;References&gt;&lt;Item&gt;&lt;ID&gt;329&lt;/ID&gt;&lt;UID&gt;{8C08DFCB-B997-424F-A25C-F69EF09E262C}&lt;/UID&gt;&lt;Title&gt;可持续生计分析研究综述&lt;/Title&gt;&lt;Template&gt;Journal Article&lt;/Template&gt;&lt;Star&gt;0&lt;/Star&gt;&lt;Tag&gt;0&lt;/Tag&gt;&lt;Author&gt;苏芳; 徐中民; 尚海洋&lt;/Author&gt;&lt;Year&gt;2009&lt;/Year&gt;&lt;Details&gt;&lt;_author_adr&gt;中国科学院寒区旱区环境与工程研究所寒旱区流域水文及应用生态实验室;&lt;/_author_adr&gt;&lt;_collection_scope&gt;CSCD;PKU&lt;/_collection_scope&gt;&lt;_created&gt;64053637&lt;/_created&gt;&lt;_db_provider&gt;CNKI&lt;/_db_provider&gt;&lt;_isbn&gt;1001-8166&lt;/_isbn&gt;&lt;_issue&gt;01&lt;/_issue&gt;&lt;_journal&gt;地球科学进展&lt;/_journal&gt;&lt;_keywords&gt;可持续生计;;脆弱性背景;;生计资本&lt;/_keywords&gt;&lt;_modified&gt;64055088&lt;/_modified&gt;&lt;_pages&gt;61-69&lt;/_pages&gt;&lt;_url&gt;https://bar.cnki.net/bar/download/order?id=jBGETXBNdPImvx70aLAuJPYxPoFw%2bp%2bi0fIiSrcN6lWeAsz2xmLOQieNEvzEmt5ssshnTQdlzf0o9Rxczx2nOhiuqSlCZOKwDrp5qZ4QW%2bgtqddCdidyosdSaMNWur3ZJBjdlDrNnftoR5pdZPiFRNlKM4sfpT3nRHSqBOA4sms8GQBtE8Z8mK%2fNwS15YoSEIkdzZIfYyhaetHdUMYorbQ%3d%3d _x000d__x000a_&lt;/_url&gt;&lt;_volume&gt;24&lt;/_volume&gt;&lt;_translated_author&gt;Su, Fang;Xu, Zhongmin;Shang, Haiyang&lt;/_translated_author&gt;&lt;/Details&gt;&lt;Extra&gt;&lt;DBUID&gt;{BD8F6675-5345-4625-BBA4-8897723D22F5}&lt;/DBUID&gt;&lt;/Extra&gt;&lt;/Item&gt;&lt;/References&gt;&lt;/Group&gt;&lt;/Citation&gt;_x000a_"/>
    <w:docVar w:name="NE.Ref{C0F65A38-483D-403B-B7D5-921E3AC6B850}" w:val=" ADDIN NE.Ref.{C0F65A38-483D-403B-B7D5-921E3AC6B850}&lt;Citation&gt;&lt;Group&gt;&lt;References&gt;&lt;Item&gt;&lt;ID&gt;450&lt;/ID&gt;&lt;UID&gt;{931D0E4E-ABF3-4052-998A-8B89CF162E4E}&lt;/UID&gt;&lt;Title&gt;Impact of climate change on agricultural total factor productivity based on spatial panel data model: Evidence from China&lt;/Title&gt;&lt;Template&gt;Journal Article&lt;/Template&gt;&lt;Star&gt;0&lt;/Star&gt;&lt;Tag&gt;0&lt;/Tag&gt;&lt;Author&gt;Zhong, Zhangqi; Hu, Yiqin; Jiang, Lei&lt;/Author&gt;&lt;Year&gt;2019&lt;/Year&gt;&lt;Details&gt;&lt;_accessed&gt;64529027&lt;/_accessed&gt;&lt;_collection_scope&gt;SCIE;SSCI&lt;/_collection_scope&gt;&lt;_created&gt;64060478&lt;/_created&gt;&lt;_date&gt;62690400&lt;/_date&gt;&lt;_db_updated&gt;CrossRef&lt;/_db_updated&gt;&lt;_doi&gt;10.3390/su11061516&lt;/_doi&gt;&lt;_image&gt;internal-pdf://0781139621/Zhong-2019-Impact-of-climate-change-on-agricul.pdf&lt;/_image&gt;&lt;_impact_factor&gt;   3.889&lt;/_impact_factor&gt;&lt;_isbn&gt;2071-1050&lt;/_isbn&gt;&lt;_issue&gt;6&lt;/_issue&gt;&lt;_journal&gt;Sustainability&lt;/_journal&gt;&lt;_modified&gt;64668478&lt;/_modified&gt;&lt;_pages&gt;1516&lt;/_pages&gt;&lt;_short_title&gt;Impact of Climate Change on Agricultural Total Factor Productivity Based on Spatial Panel Data Model: Evidence from China&lt;/_short_title&gt;&lt;_social_category&gt;环境科学与生态学(4)&lt;/_social_category&gt;&lt;_tertiary_title&gt;Sustainability&lt;/_tertiary_title&gt;&lt;_url&gt;https://www.mdpi.com/2071-1050/11/6/1516_x000d__x000a_https://www.mdpi.com/2071-1050/11/6/1516/pdf&lt;/_url&gt;&lt;_volume&gt;11&lt;/_volume&gt;&lt;/Details&gt;&lt;Extra&gt;&lt;DBUID&gt;{BD8F6675-5345-4625-BBA4-8897723D22F5}&lt;/DBUID&gt;&lt;/Extra&gt;&lt;/Item&gt;&lt;/References&gt;&lt;/Group&gt;&lt;Group&gt;&lt;References&gt;&lt;Item&gt;&lt;ID&gt;503&lt;/ID&gt;&lt;UID&gt;{102D43E7-6A17-47B4-A470-F5E6E34693ED}&lt;/UID&gt;&lt;Title&gt;Evidence of climate change impacts on crop comparative advantage and land use&lt;/Title&gt;&lt;Template&gt;Journal Article&lt;/Template&gt;&lt;Star&gt;0&lt;/Star&gt;&lt;Tag&gt;0&lt;/Tag&gt;&lt;Author&gt;Arora, Gaurav; Feng, Hongli; Anderson, Christopher J; Hennessy, David A&lt;/Author&gt;&lt;Year&gt;2020&lt;/Year&gt;&lt;Details&gt;&lt;_accessed&gt;64060486&lt;/_accessed&gt;&lt;_collection_scope&gt;SCIE;SSCI&lt;/_collection_scope&gt;&lt;_created&gt;64060478&lt;/_created&gt;&lt;_db_updated&gt;CrossRef&lt;/_db_updated&gt;&lt;_doi&gt;10.1111/agec.12551&lt;/_doi&gt;&lt;_image&gt;internal-pdf://3470726509/Arora-2020-Evidence-of-climate-change-impacts-.pdf&lt;/_image&gt;&lt;_impact_factor&gt;   2.585&lt;/_impact_factor&gt;&lt;_isbn&gt;0169-5150&lt;/_isbn&gt;&lt;_issue&gt;2&lt;/_issue&gt;&lt;_journal&gt;Agricultural Economics&lt;/_journal&gt;&lt;_modified&gt;64060776&lt;/_modified&gt;&lt;_pages&gt;221-236&lt;/_pages&gt;&lt;_short_title&gt;Evidence of climate change impacts on crop comparative advantage and land use&lt;/_short_title&gt;&lt;_tertiary_title&gt;Agricultural Economics&lt;/_tertiary_title&gt;&lt;_url&gt;https://onlinelibrary.wiley.com/doi/10.1111/agec.12551_x000d__x000a_https://onlinelibrary.wiley.com/doi/pdf/10.1111/agec.12551&lt;/_url&gt;&lt;_volume&gt;51&lt;/_volume&gt;&lt;/Details&gt;&lt;Extra&gt;&lt;DBUID&gt;{BD8F6675-5345-4625-BBA4-8897723D22F5}&lt;/DBUID&gt;&lt;/Extra&gt;&lt;/Item&gt;&lt;/References&gt;&lt;/Group&gt;&lt;/Citation&gt;_x000a_"/>
    <w:docVar w:name="NE.Ref{C362D7FB-A5A6-496D-922B-6DA28C11797F}" w:val=" ADDIN NE.Ref.{C362D7FB-A5A6-496D-922B-6DA28C11797F}&lt;Citation&gt;&lt;Group&gt;&lt;References&gt;&lt;Item&gt;&lt;ID&gt;469&lt;/ID&gt;&lt;UID&gt;{6C811EFF-94C1-4C88-8AAB-21F3B6F7711D}&lt;/UID&gt;&lt;Title&gt;气候灾害下黄土高原农户生计恢复力研究&lt;/Title&gt;&lt;Template&gt;Thesis&lt;/Template&gt;&lt;Star&gt;0&lt;/Star&gt;&lt;Tag&gt;0&lt;/Tag&gt;&lt;Author&gt;吴晓萍&lt;/Author&gt;&lt;Year&gt;2019&lt;/Year&gt;&lt;Details&gt;&lt;_accessed&gt;64292831&lt;/_accessed&gt;&lt;_created&gt;64060478&lt;/_created&gt;&lt;_db_updated&gt;CNKI - Reference&lt;/_db_updated&gt;&lt;_image&gt;internal-pdf://1855923281/气候灾害下黄土高原农户生计恢复力研究_吴晓萍.caj&lt;/_image&gt;&lt;_keywords&gt;气候灾害;生计恢复力;黄土高原;农户&lt;/_keywords&gt;&lt;_label&gt;在经典框架上加上心里感知能力&lt;/_label&gt;&lt;_modified&gt;64293924&lt;/_modified&gt;&lt;_pages&gt;69&lt;/_pages&gt;&lt;_publisher&gt;西北农林科技大学&lt;/_publisher&gt;&lt;_short_title&gt;气候灾害下黄土高原农户生计恢复力研究&lt;/_short_title&gt;&lt;_tertiary_author&gt;淮建军&lt;/_tertiary_author&gt;&lt;_type_work&gt;硕士&lt;/_type_work&gt;&lt;_url&gt;https://kns.cnki.net/kcms/detail/detail.aspx?FileName=1019844895.nh&amp;amp;DbName=CMFD2019 _x000d__x000a_https://bar.cnki.net/bar/download/order?id=jBGETXBNdPImvx70aLAuJFo8d3crjALHLDOld0RphO0ibb2zJvg0iCM%2b10Q1jPegRsbAoyvB4t8pFeksLzfjVvHn0Y3rZUVMAjPppNnIzz50kLXJs8oIrymTj1517PLaNtkhhqQSRKIuUpambLA7bQkHsxGDxQo5Kqbx7ZlvVJnDLQCqA1Hl3VpFjUT%2bGtlkqYMIgoyuiZE%2fgnJft7wBqw3pB4mNLtmMnQURlS70XAg%3d _x000d__x000a_&lt;/_url&gt;&lt;_volume&gt;硕士&lt;/_volume&gt;&lt;_translated_author&gt;Wu, Xiaoping&lt;/_translated_author&gt;&lt;_translated_tertiary_author&gt;Huai, Jianjun&lt;/_translated_tertiary_author&gt;&lt;/Details&gt;&lt;Extra&gt;&lt;DBUID&gt;{BD8F6675-5345-4625-BBA4-8897723D22F5}&lt;/DBUID&gt;&lt;/Extra&gt;&lt;/Item&gt;&lt;/References&gt;&lt;/Group&gt;&lt;/Citation&gt;_x000a_"/>
    <w:docVar w:name="NE.Ref{C86F4A07-B2D7-4FE4-8512-29F04E47EAEA}" w:val=" ADDIN NE.Ref.{C86F4A07-B2D7-4FE4-8512-29F04E47EAEA}&lt;Citation SecTmpl=&quot;1&quot;&gt;&lt;Group&gt;&lt;References&gt;&lt;Item&gt;&lt;ID&gt;1436&lt;/ID&gt;&lt;UID&gt;{B4E1D5BD-516C-4979-B8B6-70D4C5034662}&lt;/UID&gt;&lt;Title&gt;Effects of natural disasters on livelihood resilience of rural residents in Sichuan&lt;/Title&gt;&lt;Template&gt;Journal Article&lt;/Template&gt;&lt;Star&gt;0&lt;/Star&gt;&lt;Tag&gt;0&lt;/Tag&gt;&lt;Author&gt;Fang, Y P; Zhu, FBA; Qiu, X P; Zhao, S&lt;/Author&gt;&lt;Year&gt;2018&lt;/Year&gt;&lt;Details&gt;&lt;_alternate_title&gt;HABITAT INTERNATIONAL&lt;/_alternate_title&gt;&lt;_collection_scope&gt;SSCI&lt;/_collection_scope&gt;&lt;_created&gt;64422310&lt;/_created&gt;&lt;_date&gt;2018-01-01&lt;/_date&gt;&lt;_date_display&gt;2018&lt;/_date_display&gt;&lt;_doi&gt;10.1016/j.habitatint.2018.05.004&lt;/_doi&gt;&lt;_impact_factor&gt;   5.205&lt;/_impact_factor&gt;&lt;_isbn&gt;0197-3975&lt;/_isbn&gt;&lt;_journal&gt;HABITAT INTERNATIONAL&lt;/_journal&gt;&lt;_modified&gt;64618303&lt;/_modified&gt;&lt;_pages&gt;19-28&lt;/_pages&gt;&lt;_social_category&gt;经济学(2)&lt;/_social_category&gt;&lt;_volume&gt;76&lt;/_volume&gt;&lt;/Details&gt;&lt;Extra&gt;&lt;DBUID&gt;{BD8F6675-5345-4625-BBA4-8897723D22F5}&lt;/DBUID&gt;&lt;/Extra&gt;&lt;/Item&gt;&lt;/References&gt;&lt;/Group&gt;&lt;/Citation&gt;_x000a_"/>
    <w:docVar w:name="NE.Ref{CA621534-9B83-48C1-A718-9D1EB61AA00B}" w:val=" ADDIN NE.Ref.{CA621534-9B83-48C1-A718-9D1EB61AA00B}&lt;Citation&gt;&lt;Group&gt;&lt;References&gt;&lt;Item&gt;&lt;ID&gt;394&lt;/ID&gt;&lt;UID&gt;{260447FB-0737-4FC5-9FF2-BA913365C939}&lt;/UID&gt;&lt;Title&gt;“三农”背景中的农民贫困问题研究&lt;/Title&gt;&lt;Template&gt;Thesis&lt;/Template&gt;&lt;Star&gt;0&lt;/Star&gt;&lt;Tag&gt;0&lt;/Tag&gt;&lt;Author&gt;黄艳华&lt;/Author&gt;&lt;Year&gt;2004&lt;/Year&gt;&lt;Details&gt;&lt;_accessed&gt;64060480&lt;/_accessed&gt;&lt;_created&gt;64060478&lt;/_created&gt;&lt;_db_updated&gt;CNKI - Reference&lt;/_db_updated&gt;&lt;_keywords&gt;农业; 农民 ;农村;工业化; 农民贫困问题&lt;/_keywords&gt;&lt;_modified&gt;64060786&lt;/_modified&gt;&lt;_pages&gt;42&lt;/_pages&gt;&lt;_publisher&gt;东北师范大学&lt;/_publisher&gt;&lt;_short_title&gt;“三农”背景中的农民贫困问题研究&lt;/_short_title&gt;&lt;_tertiary_author&gt;王兵&lt;/_tertiary_author&gt;&lt;_type_work&gt;硕士&lt;/_type_work&gt;&lt;_url&gt;https://kns.cnki.net/kcms/detail/detail.aspx?FileName=2004120245.nh&amp;amp;DbName=CMFD2005&lt;/_url&gt;&lt;_volume&gt;硕士&lt;/_volume&gt;&lt;_translated_author&gt;Huang, Yanhua&lt;/_translated_author&gt;&lt;_translated_tertiary_author&gt;Wang, Bing&lt;/_translated_tertiary_author&gt;&lt;/Details&gt;&lt;Extra&gt;&lt;DBUID&gt;{BD8F6675-5345-4625-BBA4-8897723D22F5}&lt;/DBUID&gt;&lt;/Extra&gt;&lt;/Item&gt;&lt;/References&gt;&lt;/Group&gt;&lt;Group&gt;&lt;References&gt;&lt;Item&gt;&lt;ID&gt;501&lt;/ID&gt;&lt;UID&gt;{3FFEEC34-23F2-41A2-BA72-FBDEEEB8DFC4}&lt;/UID&gt;&lt;Title&gt;习近平关于“三农”问题系列重要论述的全面性特征及其价值指向&lt;/Title&gt;&lt;Template&gt;Journal Article&lt;/Template&gt;&lt;Star&gt;0&lt;/Star&gt;&lt;Tag&gt;0&lt;/Tag&gt;&lt;Author&gt;方兰; 李双媛; 陈龙&lt;/Author&gt;&lt;Year&gt;2019&lt;/Year&gt;&lt;Details&gt;&lt;_accessed&gt;64060485&lt;/_accessed&gt;&lt;_author_adr&gt;陕西师范大学西北历史环境与经济社会发展研究院;安徽师范大学经济管理学院;&lt;/_author_adr&gt;&lt;_author_aff&gt;陕西师范大学西北历史环境与经济社会发展研究院;安徽师范大学经济管理学院;&lt;/_author_aff&gt;&lt;_call_num&gt;61-1012/C&lt;/_call_num&gt;&lt;_created&gt;64060478&lt;/_created&gt;&lt;_date&gt;62868960&lt;/_date&gt;&lt;_db_updated&gt;CNKI - Reference&lt;/_db_updated&gt;&lt;_image&gt;internal-pdf://3342765115/习近平关于“三农”问题系列重要论述的全面性特征及其价值指向_方兰.pdf&lt;/_image&gt;&lt;_isbn&gt;1672-4283&lt;/_isbn&gt;&lt;_issue&gt;04&lt;/_issue&gt;&lt;_journal&gt;陕西师范大学学报(哲学社会科学版)&lt;/_journal&gt;&lt;_keywords&gt;习近平时代中国特色社会主义思想;习近平关于“三农”系列重要论述;“三农”问题;“以人民为中心”&lt;/_keywords&gt;&lt;_modified&gt;64060787&lt;/_modified&gt;&lt;_pages&gt;12-20&lt;/_pages&gt;&lt;_short_title&gt;习近平关于“三农”问题系列重要论述的全面性特征及其价值指向&lt;/_short_title&gt;&lt;_url&gt;https://kns.cnki.net/kcms/detail/detail.aspx?FileName=SXSS201904003&amp;amp;DbName=CJFQ2019&lt;/_url&gt;&lt;_volume&gt;48&lt;/_volume&gt;&lt;_translated_author&gt;Fang, Lan;Li, Shuangyuan;Chen, Long&lt;/_translated_author&gt;&lt;/Details&gt;&lt;Extra&gt;&lt;DBUID&gt;{BD8F6675-5345-4625-BBA4-8897723D22F5}&lt;/DBUID&gt;&lt;/Extra&gt;&lt;/Item&gt;&lt;/References&gt;&lt;/Group&gt;&lt;/Citation&gt;_x000a_"/>
    <w:docVar w:name="NE.Ref{CB71A21C-1E3D-44D6-AB8E-8045AB08A4B0}" w:val=" ADDIN NE.Ref.{CB71A21C-1E3D-44D6-AB8E-8045AB08A4B0}&lt;Citation SecTmpl=&quot;1&quot;&gt;&lt;Group&gt;&lt;References&gt;&lt;Item&gt;&lt;ID&gt;1658&lt;/ID&gt;&lt;UID&gt;{7A869AC0-93AA-4126-9381-5DFD80BC86A9}&lt;/UID&gt;&lt;Title&gt;Livelihoods perspectives and rural development&lt;/Title&gt;&lt;Template&gt;Journal Article&lt;/Template&gt;&lt;Star&gt;0&lt;/Star&gt;&lt;Tag&gt;0&lt;/Tag&gt;&lt;Author&gt;Scoones, I&lt;/Author&gt;&lt;Year&gt;2009&lt;/Year&gt;&lt;Details&gt;&lt;_accessed&gt;64586524&lt;/_accessed&gt;&lt;_alternate_title&gt;JOURNAL OF PEASANT STUDIES&lt;/_alternate_title&gt;&lt;_collection_scope&gt;SSCI&lt;/_collection_scope&gt;&lt;_created&gt;64586523&lt;/_created&gt;&lt;_date&gt;2009-01-01&lt;/_date&gt;&lt;_date_display&gt;2009&lt;/_date_display&gt;&lt;_doi&gt;10.1080/03066150902820503&lt;/_doi&gt;&lt;_impact_factor&gt;   5.333&lt;/_impact_factor&gt;&lt;_isbn&gt;0306-6150&lt;/_isbn&gt;&lt;_issue&gt;1&lt;/_issue&gt;&lt;_journal&gt;JOURNAL OF PEASANT STUDIES&lt;/_journal&gt;&lt;_modified&gt;64586523&lt;/_modified&gt;&lt;_pages&gt;171-196&lt;/_pages&gt;&lt;_social_category&gt;法学(1)&lt;/_social_category&gt;&lt;_volume&gt;36&lt;/_volume&gt;&lt;/Details&gt;&lt;Extra&gt;&lt;DBUID&gt;{BD8F6675-5345-4625-BBA4-8897723D22F5}&lt;/DBUID&gt;&lt;/Extra&gt;&lt;/Item&gt;&lt;/References&gt;&lt;/Group&gt;&lt;/Citation&gt;_x000a_"/>
    <w:docVar w:name="NE.Ref{CC67D938-9F46-4989-919F-380939810AB0}" w:val=" ADDIN NE.Ref.{CC67D938-9F46-4989-919F-380939810AB0}&lt;Citation SecTmpl=&quot;1&quot;&gt;&lt;Group&gt;&lt;References&gt;&lt;Item&gt;&lt;ID&gt;1659&lt;/ID&gt;&lt;UID&gt;{758E35A8-FD23-49A3-B1AB-4480BA1CC5B0}&lt;/UID&gt;&lt;Title&gt;Sustainable  Rural  Livelihoods:A  Framework  for  Analysis &lt;/Title&gt;&lt;Template&gt;Book&lt;/Template&gt;&lt;Star&gt;0&lt;/Star&gt;&lt;Tag&gt;0&lt;/Tag&gt;&lt;Author&gt;Scoones, I&lt;/Author&gt;&lt;Year&gt;1998&lt;/Year&gt;&lt;Details&gt;&lt;_accessed&gt;64594182&lt;/_accessed&gt;&lt;_created&gt;64594181&lt;/_created&gt;&lt;_modified&gt;64594182&lt;/_modified&gt;&lt;_publisher&gt;Institute  of  Development Studies&lt;/_publisher&gt;&lt;/Details&gt;&lt;Extra&gt;&lt;DBUID&gt;{BD8F6675-5345-4625-BBA4-8897723D22F5}&lt;/DBUID&gt;&lt;/Extra&gt;&lt;/Item&gt;&lt;/References&gt;&lt;/Group&gt;&lt;/Citation&gt;_x000a_"/>
    <w:docVar w:name="NE.Ref{CCE2C7D7-DB39-487C-84BF-AF0450A1326F}" w:val=" ADDIN NE.Ref.{CCE2C7D7-DB39-487C-84BF-AF0450A1326F}&lt;Citation SecTmpl=&quot;1&quot;&gt;&lt;Group&gt;&lt;References&gt;&lt;Item&gt;&lt;ID&gt;396&lt;/ID&gt;&lt;UID&gt;{E49C4F4B-6C1C-4009-A68A-44C024B2C6FF}&lt;/UID&gt;&lt;Title&gt;弹性城市研究框架综述&lt;/Title&gt;&lt;Template&gt;Journal Article&lt;/Template&gt;&lt;Star&gt;0&lt;/Star&gt;&lt;Tag&gt;0&lt;/Tag&gt;&lt;Author&gt;李彤玥; 牛品一; 顾朝林&lt;/Author&gt;&lt;Year&gt;2014&lt;/Year&gt;&lt;Details&gt;&lt;_accessed&gt;64060482&lt;/_accessed&gt;&lt;_author_adr&gt;清华大学建筑学院;北京同衡规划设计研究院顾朝林工作室;清华大学;&lt;/_author_adr&gt;&lt;_author_aff&gt;清华大学建筑学院;北京同衡规划设计研究院顾朝林工作室;清华大学;&lt;/_author_aff&gt;&lt;_call_num&gt;31-1938/TU&lt;/_call_num&gt;&lt;_collection_scope&gt;CSCD;CSSCI-C;PKU&lt;/_collection_scope&gt;&lt;_created&gt;64060478&lt;/_created&gt;&lt;_date&gt;60336000&lt;/_date&gt;&lt;_db_updated&gt;CNKI - Reference&lt;/_db_updated&gt;&lt;_isbn&gt;1000-3363&lt;/_isbn&gt;&lt;_issue&gt;05&lt;/_issue&gt;&lt;_journal&gt;城市规划学刊&lt;/_journal&gt;&lt;_keywords&gt;弹性城市;城市研究方法;灾害风险管理;可持续城市&lt;/_keywords&gt;&lt;_modified&gt;64061139&lt;/_modified&gt;&lt;_pages&gt;23-31&lt;/_pages&gt;&lt;_short_title&gt;弹性城市研究框架综述&lt;/_short_title&gt;&lt;_url&gt;https://kns.cnki.net/kcms/detail/detail.aspx?FileName=CXGH201405008&amp;amp;DbName=CJFQ2014&lt;/_url&gt;&lt;_translated_author&gt;Li, Tongyue;Niu, Pinyi;Gu, Chaolin&lt;/_translated_author&gt;&lt;/Details&gt;&lt;Extra&gt;&lt;DBUID&gt;{BD8F6675-5345-4625-BBA4-8897723D22F5}&lt;/DBUID&gt;&lt;/Extra&gt;&lt;/Item&gt;&lt;/References&gt;&lt;/Group&gt;&lt;/Citation&gt;_x000a_"/>
    <w:docVar w:name="NE.Ref{CD0E2605-C5FB-422A-8279-3AA14F9B429B}" w:val=" ADDIN NE.Ref.{CD0E2605-C5FB-422A-8279-3AA14F9B429B}&lt;Citation SecTmpl=&quot;1&quot;&gt;&lt;Group&gt;&lt;References&gt;&lt;Item&gt;&lt;ID&gt;1668&lt;/ID&gt;&lt;UID&gt;{4FD848B6-E522-4B2C-A66A-10356644DA05}&lt;/UID&gt;&lt;Title&gt;福祉框架下时间利用研究进展&lt;/Title&gt;&lt;Template&gt;Journal Article&lt;/Template&gt;&lt;Star&gt;0&lt;/Star&gt;&lt;Tag&gt;0&lt;/Tag&gt;&lt;Author&gt;檀学文; 吴国宝&lt;/Author&gt;&lt;Year&gt;2014&lt;/Year&gt;&lt;Details&gt;&lt;_author_adr&gt;中国社会科学院农村发展研究所;&lt;/_author_adr&gt;&lt;_collection_scope&gt;CSSCI;PKU&lt;/_collection_scope&gt;&lt;_created&gt;64594344&lt;/_created&gt;&lt;_db_provider&gt;CNKI&lt;/_db_provider&gt;&lt;_isbn&gt;1002-8390&lt;/_isbn&gt;&lt;_issue&gt;07&lt;/_issue&gt;&lt;_journal&gt;经济学动态&lt;/_journal&gt;&lt;_keywords&gt;时间利用;幸福;福祉研究&lt;/_keywords&gt;&lt;_modified&gt;64594344&lt;/_modified&gt;&lt;_pages&gt;151-158&lt;/_pages&gt;&lt;_volume&gt;No.641&lt;/_volume&gt;&lt;_translated_author&gt;Tan, Xuewen;Wu, Guobao&lt;/_translated_author&gt;&lt;/Details&gt;&lt;Extra&gt;&lt;DBUID&gt;{BD8F6675-5345-4625-BBA4-8897723D22F5}&lt;/DBUID&gt;&lt;/Extra&gt;&lt;/Item&gt;&lt;/References&gt;&lt;/Group&gt;&lt;/Citation&gt;_x000a_"/>
    <w:docVar w:name="NE.Ref{CE44164F-A724-43C9-9810-0E59D2EE9429}" w:val=" ADDIN NE.Ref.{CE44164F-A724-43C9-9810-0E59D2EE9429}&lt;Citation&gt;&lt;Group&gt;&lt;References&gt;&lt;Item&gt;&lt;ID&gt;361&lt;/ID&gt;&lt;UID&gt;{A242D422-17A7-41F2-936C-6A4AA9ED26FD}&lt;/UID&gt;&lt;Title&gt;Resilience and stability of ecological systems&lt;/Title&gt;&lt;Template&gt;Journal Article&lt;/Template&gt;&lt;Star&gt;0&lt;/Star&gt;&lt;Tag&gt;0&lt;/Tag&gt;&lt;Author&gt;Holling, C S&lt;/Author&gt;&lt;Year&gt;1973&lt;/Year&gt;&lt;Details&gt;&lt;_accessed&gt;64587765&lt;/_accessed&gt;&lt;_created&gt;64060478&lt;/_created&gt;&lt;_issue&gt;1&lt;/_issue&gt;&lt;_journal&gt;Annual Review of Ecology &amp;amp; Systematics&lt;/_journal&gt;&lt;_modified&gt;64587770&lt;/_modified&gt;&lt;_pages&gt;1-23&lt;/_pages&gt;&lt;_short_title&gt;Resilience and Stability of Ecological Systems&lt;/_short_title&gt;&lt;_volume&gt;4&lt;/_volume&gt;&lt;/Details&gt;&lt;Extra&gt;&lt;DBUID&gt;{BD8F6675-5345-4625-BBA4-8897723D22F5}&lt;/DBUID&gt;&lt;/Extra&gt;&lt;/Item&gt;&lt;/References&gt;&lt;/Group&gt;&lt;Group&gt;&lt;References&gt;&lt;Item&gt;&lt;ID&gt;356&lt;/ID&gt;&lt;UID&gt;{66D01C4F-7AB1-49A6-B179-6787F5CE9A2E}&lt;/UID&gt;&lt;Title&gt;Resilience: The emergence of a perspective for social–ecological systems analyses&lt;/Title&gt;&lt;Template&gt;Journal Article&lt;/Template&gt;&lt;Star&gt;0&lt;/Star&gt;&lt;Tag&gt;0&lt;/Tag&gt;&lt;Author&gt;Folke, Carl&lt;/Author&gt;&lt;Year&gt;2006&lt;/Year&gt;&lt;Details&gt;&lt;_accessed&gt;64528990&lt;/_accessed&gt;&lt;_accession_num&gt;WOS:000239752200004&lt;/_accession_num&gt;&lt;_collection_scope&gt;SCI;SCIE;SSCI&lt;/_collection_scope&gt;&lt;_created&gt;64060478&lt;/_created&gt;&lt;_date&gt;1990-08-01&lt;/_date&gt;&lt;_date_display&gt;Aug&lt;/_date_display&gt;&lt;_db_updated&gt;CrossRef&lt;/_db_updated&gt;&lt;_doi&gt;10.1016/j.gloenvcha.2006.04.002&lt;/_doi&gt;&lt;_impact_factor&gt;   9.523&lt;/_impact_factor&gt;&lt;_isbn&gt;09593780&lt;/_isbn&gt;&lt;_issue&gt;3&lt;/_issue&gt;&lt;_journal&gt;Global Environmental Change&lt;/_journal&gt;&lt;_modified&gt;64061127&lt;/_modified&gt;&lt;_pages&gt;253-267&lt;/_pages&gt;&lt;_short_title&gt;Resilience: The emergence of a perspective for social-ecological systems analyses&lt;/_short_title&gt;&lt;_tertiary_title&gt;Global Environmental Change&lt;/_tertiary_title&gt;&lt;_url&gt;https://linkinghub.elsevier.com/retrieve/pii/S0959378006000379_x000d__x000a_https://api.elsevier.com/content/article/PII:S0959378006000379?httpAccept=text/xml&lt;/_url&gt;&lt;_volume&gt;16&lt;/_volume&gt;&lt;/Details&gt;&lt;Extra&gt;&lt;DBUID&gt;{BD8F6675-5345-4625-BBA4-8897723D22F5}&lt;/DBUID&gt;&lt;/Extra&gt;&lt;/Item&gt;&lt;/References&gt;&lt;/Group&gt;&lt;/Citation&gt;_x000a_"/>
    <w:docVar w:name="NE.Ref{D063D71A-F321-4D22-A50E-4BA2F8E3FB51}" w:val=" ADDIN NE.Ref.{D063D71A-F321-4D22-A50E-4BA2F8E3FB51}&lt;Citation&gt;&lt;Group&gt;&lt;References&gt;&lt;Item&gt;&lt;ID&gt;342&lt;/ID&gt;&lt;UID&gt;{828D0D49-B4E4-42ED-836A-2AB2A8F2E63D}&lt;/UID&gt;&lt;Title&gt;Farmer Perceptions of Climate Change, Observed Trends and Adaptation of Agriculture in Pakistan&lt;/Title&gt;&lt;Template&gt;Journal Article&lt;/Template&gt;&lt;Star&gt;0&lt;/Star&gt;&lt;Tag&gt;0&lt;/Tag&gt;&lt;Author&gt;Abid, Muhammad; Scheffran, Jürgen; Schneider, Uwe A; Elahi, Ehsan&lt;/Author&gt;&lt;Year&gt;2019&lt;/Year&gt;&lt;Details&gt;&lt;_accessed&gt;64060485&lt;/_accessed&gt;&lt;_accession_num&gt;WOS:000457278900009&lt;/_accession_num&gt;&lt;_collection_scope&gt;SCI;SCIE;EI&lt;/_collection_scope&gt;&lt;_created&gt;64060478&lt;/_created&gt;&lt;_date&gt;1990-01-01&lt;/_date&gt;&lt;_date_display&gt;Jan&lt;/_date_display&gt;&lt;_db_updated&gt;CrossRef&lt;/_db_updated&gt;&lt;_doi&gt;10.1007/s00267-018-1113-7&lt;/_doi&gt;&lt;_impact_factor&gt;   3.266&lt;/_impact_factor&gt;&lt;_isbn&gt;0364-152X&lt;/_isbn&gt;&lt;_issue&gt;1&lt;/_issue&gt;&lt;_journal&gt;Environmental Management&lt;/_journal&gt;&lt;_modified&gt;64061955&lt;/_modified&gt;&lt;_pages&gt;110-123&lt;/_pages&gt;&lt;_short_title&gt;Farmer Perceptions of Climate Change, Observed Trends and Adaptation of Agriculture in Pakistan&lt;/_short_title&gt;&lt;_tertiary_title&gt;Environmental Management&lt;/_tertiary_title&gt;&lt;_url&gt;http://link.springer.com/10.1007/s00267-018-1113-7_x000d__x000a_http://link.springer.com/content/pdf/10.1007/s00267-018-1113-7.pdf&lt;/_url&gt;&lt;_volume&gt;63&lt;/_volume&gt;&lt;/Details&gt;&lt;Extra&gt;&lt;DBUID&gt;{BD8F6675-5345-4625-BBA4-8897723D22F5}&lt;/DBUID&gt;&lt;/Extra&gt;&lt;/Item&gt;&lt;/References&gt;&lt;/Group&gt;&lt;/Citation&gt;_x000a_"/>
    <w:docVar w:name="NE.Ref{D1B82ECD-B218-42E7-B980-49B96540CD4F}" w:val=" ADDIN NE.Ref.{D1B82ECD-B218-42E7-B980-49B96540CD4F}&lt;Citation&gt;&lt;Group&gt;&lt;References&gt;&lt;Item&gt;&lt;ID&gt;373&lt;/ID&gt;&lt;UID&gt;{C195FFE0-2231-4CBC-9718-52550CC07547}&lt;/UID&gt;&lt;Title&gt;Resilient or vulnerable livelihoods? Assessing livelihood dynamics and trajectories in rural Botswana&lt;/Title&gt;&lt;Template&gt;Journal Article&lt;/Template&gt;&lt;Star&gt;0&lt;/Star&gt;&lt;Tag&gt;0&lt;/Tag&gt;&lt;Author&gt;Sallu, Susannah M; Twyman, Chasca; Stringer, Lindsay C&lt;/Author&gt;&lt;Year&gt;2010&lt;/Year&gt;&lt;Details&gt;&lt;_accessed&gt;64663038&lt;/_accessed&gt;&lt;_accession_num&gt;WOS:000285917100005&lt;/_accession_num&gt;&lt;_collection_scope&gt;SCIE;SSCI&lt;/_collection_scope&gt;&lt;_created&gt;64060478&lt;/_created&gt;&lt;_date&gt;57854880&lt;/_date&gt;&lt;_date_display&gt;2010&lt;/_date_display&gt;&lt;_db_updated&gt;PKU Search&lt;/_db_updated&gt;&lt;_doi&gt;10.5751/ES-03505-150403&lt;/_doi&gt;&lt;_impact_factor&gt;   4.653&lt;/_impact_factor&gt;&lt;_isbn&gt;1708-3087&lt;/_isbn&gt;&lt;_issue&gt;4&lt;/_issue&gt;&lt;_journal&gt;Ecology and society&lt;/_journal&gt;&lt;_keywords&gt;Agroecosystems; Botswana; Drought; Ecological sustainability; Employment; Human ecology; livelihood strategies; livelihood trajectories; Livestock; Natural resources; Rain; Research; resilience; Sustainable agriculture; Trajectories; vulnerability&lt;/_keywords&gt;&lt;_modified&gt;64613598&lt;/_modified&gt;&lt;_number&gt;1&lt;/_number&gt;&lt;_ori_publication&gt;Resilience Alliance&lt;/_ori_publication&gt;&lt;_pages&gt;3&lt;/_pages&gt;&lt;_short_title&gt;Resilient or Vulnerable Livelihoods? Assessing Livelihood Dynamics and Trajectories in Rural Botswana&lt;/_short_title&gt;&lt;_social_category&gt;法学(2)&lt;/_social_category&gt;&lt;_url&gt;http://pku.summon.serialssolutions.com/2.0.0/link/0/eLvHCXMwnV1LT8MwDLYGCIkLb8R4TDlyKYwkXdsT2mATQgMhXtcqTRxpMHVjDyH-PU7aVYDEhR7TNq1iN59d258BBD9tBr_2hEQLOhxZFUauzVUouFGkLImOZIiZr5a-jfv3vNcNb2oQL0pjXJalTxP0QX2yl7IhnnEywgnIoovxe-DaR7kwa9lLYwlWOEEqqffKTe-u3a98r0TG_Af0eIb-n0mIHlJ6G_9_-iasl2Ykaxdy34Ia5tuw2vUU1J87gA84HQxdqSMbTdjLfOi4pWla1qfNbThwVMbTC1YEfAm7vg2zq6JF_ZSp3DBCslf_W5_8aTbI2YMj6WCd0Wz6oXK1C8-97tPldVA2VAgcrs8CnbWQdhVNYtBhrJWQFkUcWc11YpWKuZFCJFaLViIFNg2PjLWYWWO4xAiV2IPlfJTjPjAVJS4Ap9GQgeA6lnPyysm4QE23JIrX4WSx1um44M1Iyd9wUZ60-5i6eGaYkjEqm6IOHSeL6jJHeO0HaNHT8vtJTdwSgt7OxiRKGfJMK6VaKCS3eK71eR32vKSqWRZiOvjrxCGs8So15QiWZ5M5HsPS-G3e8I55o1ShL3VE1Pc&lt;/_url&gt;&lt;_volume&gt;15&lt;/_volume&gt;&lt;/Details&gt;&lt;Extra&gt;&lt;DBUID&gt;{BD8F6675-5345-4625-BBA4-8897723D22F5}&lt;/DBUID&gt;&lt;/Extra&gt;&lt;/Item&gt;&lt;/References&gt;&lt;/Group&gt;&lt;/Citation&gt;_x000a_"/>
    <w:docVar w:name="NE.Ref{D2E7C394-D860-44E6-A10D-BC4E58E88329}" w:val=" ADDIN NE.Ref.{D2E7C394-D860-44E6-A10D-BC4E58E88329}&lt;Citation SecTmpl=&quot;1&quot;&gt;&lt;Group&gt;&lt;References&gt;&lt;Item&gt;&lt;ID&gt;439&lt;/ID&gt;&lt;UID&gt;{7580359E-58D3-4367-BD26-4658B43960E7}&lt;/UID&gt;&lt;Title&gt;Buffer capacity: capturing a dimension of resilience to climate change in African smallholder agriculture&lt;/Title&gt;&lt;Template&gt;Journal Article&lt;/Template&gt;&lt;Star&gt;0&lt;/Star&gt;&lt;Tag&gt;0&lt;/Tag&gt;&lt;Author&gt;Speranza, Chinwe Ifejika&lt;/Author&gt;&lt;Year&gt;2013&lt;/Year&gt;&lt;Details&gt;&lt;_accessed&gt;64061138&lt;/_accessed&gt;&lt;_accession_num&gt;WOS:000319774800005&lt;/_accession_num&gt;&lt;_alternate_title&gt;Regional Environmental Change&lt;/_alternate_title&gt;&lt;_author_adr&gt;[Speranza, Chinwe Ifejika] Univ Bern, Ctr Dev &amp;amp; Environment, NCCR North South, Bern, Switzerland. [Speranza, Chinwe Ifejika] German Dev Inst DIE, Bonn, Germany._x000d__x000a_Speranza, CI (corresponding author), Univ Bern, Ctr Dev &amp;amp; Environment, NCCR North South, Bern, Switzerland._x000d__x000a_chinwe.ifejika.speranza@cde.unibe.ch&lt;/_author_adr&gt;&lt;_collection_scope&gt;SCIE;SSCI&lt;/_collection_scope&gt;&lt;_created&gt;64060478&lt;/_created&gt;&lt;_date&gt;1990-06-01&lt;/_date&gt;&lt;_date_display&gt;Jun&lt;/_date_display&gt;&lt;_db_updated&gt;CrossRef&lt;/_db_updated&gt;&lt;_doi&gt;10.1007/s10113-012-0391-5&lt;/_doi&gt;&lt;_image&gt;internal-pdf://0643893551/Speranza-2013-Buffer capacity_ capturing a dim.pdf&lt;/_image&gt;&lt;_impact_factor&gt;   4.704&lt;/_impact_factor&gt;&lt;_isbn&gt;1436-3798&lt;/_isbn&gt;&lt;_issue&gt;3&lt;/_issue&gt;&lt;_journal&gt;Regional Environmental Change&lt;/_journal&gt;&lt;_keywords&gt;Buffer capacity_x000d__x000a_Resilience_x000d__x000a_Climate change_x000d__x000a_Adaptation_x000d__x000a_Conservation_x000d__x000a_agriculture_x000d__x000a_Kenya_x000d__x000a_Africa_x000d__x000a_conservation agriculture_x000d__x000a_systems_x000d__x000a_agroecology_x000d__x000a_management_x000d__x000a_maize_x000d__x000a_yield_x000d__x000a_soil_x000d__x000a_Environmental Sciences &amp;amp; Ecology&lt;/_keywords&gt;&lt;_language&gt;English&lt;/_language&gt;&lt;_modified&gt;64613433&lt;/_modified&gt;&lt;_pages&gt;521-535&lt;/_pages&gt;&lt;_short_title&gt;Buffer capacity: capturing a dimension of resilience to climate change in African smallholder agriculture&lt;/_short_title&gt;&lt;_social_category&gt;环境科学与生态学(2)&lt;/_social_category&gt;&lt;_tertiary_title&gt;Reg Environ Change&lt;/_tertiary_title&gt;&lt;_type_work&gt;Article&lt;/_type_work&gt;&lt;_url&gt;http://link.springer.com/10.1007/s10113-012-0391-5_x000d__x000a_http://link.springer.com/content/pdf/10.1007/s10113-012-0391-5&lt;/_url&gt;&lt;_volume&gt;13&lt;/_volume&gt;&lt;/Details&gt;&lt;Extra&gt;&lt;DBUID&gt;{BD8F6675-5345-4625-BBA4-8897723D22F5}&lt;/DBUID&gt;&lt;/Extra&gt;&lt;/Item&gt;&lt;/References&gt;&lt;/Group&gt;&lt;/Citation&gt;_x000a_"/>
    <w:docVar w:name="NE.Ref{D34084FA-F566-47F7-8A91-F8972B9668D1}" w:val=" ADDIN NE.Ref.{D34084FA-F566-47F7-8A91-F8972B9668D1}&lt;Citation SecTmpl=&quot;1&quot;&gt;&lt;Group&gt;&lt;References&gt;&lt;Item&gt;&lt;ID&gt;1661&lt;/ID&gt;&lt;UID&gt;{5F7A2A24-E053-41E1-926D-B812E45179AB}&lt;/UID&gt;&lt;Title&gt;如何测量社会资本:一个经验研究综述&lt;/Title&gt;&lt;Template&gt;Journal Article&lt;/Template&gt;&lt;Star&gt;0&lt;/Star&gt;&lt;Tag&gt;0&lt;/Tag&gt;&lt;Author&gt;赵延东; 罗家德&lt;/Author&gt;&lt;Year&gt;2005&lt;/Year&gt;&lt;Details&gt;&lt;_author_adr&gt;中国科学技术促进发展研究中心_x000d__x000a__x000d__x000a__x000d__x000a__x000d__x000a__x000d__x000a__x000d__x000a__x000d__x000a__x000d__x000a_,台湾元智大学企业管理学系&lt;/_author_adr&gt;&lt;_collection_scope&gt;CSSCI;PKU&lt;/_collection_scope&gt;&lt;_created&gt;64594191&lt;/_created&gt;&lt;_db_provider&gt;CNKI&lt;/_db_provider&gt;&lt;_isbn&gt;1000-4777&lt;/_isbn&gt;&lt;_issue&gt;02&lt;/_issue&gt;&lt;_journal&gt;国外社会科学&lt;/_journal&gt;&lt;_keywords&gt;社会资本;层次;测量方法&lt;/_keywords&gt;&lt;_modified&gt;64594191&lt;/_modified&gt;&lt;_pages&gt;18-24&lt;/_pages&gt;&lt;_translated_author&gt;Zhao, Yandong;Luo, Jiade&lt;/_translated_author&gt;&lt;/Details&gt;&lt;Extra&gt;&lt;DBUID&gt;{BD8F6675-5345-4625-BBA4-8897723D22F5}&lt;/DBUID&gt;&lt;/Extra&gt;&lt;/Item&gt;&lt;/References&gt;&lt;/Group&gt;&lt;/Citation&gt;_x000a_"/>
    <w:docVar w:name="NE.Ref{D4310A55-21F1-4409-94B2-73DA9DF146C5}" w:val=" ADDIN NE.Ref.{D4310A55-21F1-4409-94B2-73DA9DF146C5}&lt;Citation&gt;&lt;Group&gt;&lt;References&gt;&lt;Item&gt;&lt;ID&gt;1044&lt;/ID&gt;&lt;UID&gt;{21A65CA0-076A-409B-9F37-4719A4137DBD}&lt;/UID&gt;&lt;Title&gt;农户生计策略选择与生计恢复力评估——基于三峡田园综合体农户调查数据的分析&lt;/Title&gt;&lt;Template&gt;Journal Article&lt;/Template&gt;&lt;Star&gt;0&lt;/Star&gt;&lt;Tag&gt;0&lt;/Tag&gt;&lt;Author&gt;郭蕾蕾&lt;/Author&gt;&lt;Year&gt;2021&lt;/Year&gt;&lt;Details&gt;&lt;_accessed&gt;64573461&lt;/_accessed&gt;&lt;_author_adr&gt;重庆师范大学地理与旅游学院;&lt;/_author_adr&gt;&lt;_created&gt;64396393&lt;/_created&gt;&lt;_db_provider&gt;CNKI&lt;/_db_provider&gt;&lt;_isbn&gt;1000-6850&lt;/_isbn&gt;&lt;_issue&gt;08&lt;/_issue&gt;&lt;_journal&gt;中国农学通报&lt;/_journal&gt;&lt;_keywords&gt;生计恢复力;;生计策略;;农户;;田园综合体&lt;/_keywords&gt;&lt;_modified&gt;64573461&lt;/_modified&gt;&lt;_pages&gt;151-158&lt;/_pages&gt;&lt;_url&gt;https://bar.cnki.net/bar/download/order?id=jBGETXBNdPImvx70aLAuJPYxPoFw%2bp%2bi0fIiSrcN6lWe8gY%2fb1U4cydqvKi9xbCffIposeNU2ImrJAJ3lANen0GxVkq8YHJNz4jV3WhknTrl8E%2bCUVp5GtDTYhVF2dNUoJeGx62Ssygg68TNXJ%2b5JrigejDAar8Xqw%2f6WR22OFXUdUGh4At8VBYSvh%2fCUD5aXOA9AEr8%2fL9RWMJs6HW68%2bPyk0KAUx%2bvRb2nBqtXw1r5LXYX1qwFXwOc1HUZT%2bTB _x000d__x000a_&lt;/_url&gt;&lt;_volume&gt;37&lt;/_volume&gt;&lt;_translated_author&gt;Guo, Leilei&lt;/_translated_author&gt;&lt;/Details&gt;&lt;Extra&gt;&lt;DBUID&gt;{BD8F6675-5345-4625-BBA4-8897723D22F5}&lt;/DBUID&gt;&lt;/Extra&gt;&lt;/Item&gt;&lt;/References&gt;&lt;/Group&gt;&lt;Group&gt;&lt;References&gt;&lt;Item&gt;&lt;ID&gt;341&lt;/ID&gt;&lt;UID&gt;{96533628-46B4-4101-80CA-CF0C6822DA1C}&lt;/UID&gt;&lt;Title&gt;农牧户可持续生计资产与生计策略的关系研究——以鄂尔多斯市乌审旗为例&lt;/Title&gt;&lt;Template&gt;Journal Article&lt;/Template&gt;&lt;Star&gt;0&lt;/Star&gt;&lt;Tag&gt;0&lt;/Tag&gt;&lt;Author&gt;蒙吉军; 艾木入拉; 刘洋; 向芸芸&lt;/Author&gt;&lt;Year&gt;2013&lt;/Year&gt;&lt;Details&gt;&lt;_author_adr&gt;北京大学城市与环境学院地表过程分析与模拟教育部重点实验室;&lt;/_author_adr&gt;&lt;_created&gt;64059719&lt;/_created&gt;&lt;_db_provider&gt;CNKI&lt;/_db_provider&gt;&lt;_isbn&gt;0479-8023&lt;/_isbn&gt;&lt;_issue&gt;02&lt;/_issue&gt;&lt;_journal&gt;北京大学学报(自然科学版)&lt;/_journal&gt;&lt;_keywords&gt;生计资产;;生计策略;;土地利用;;参与式农村评估;;乌审旗&lt;/_keywords&gt;&lt;_modified&gt;64059720&lt;/_modified&gt;&lt;_pages&gt;321-328&lt;/_pages&gt;&lt;_url&gt;https://bar.cnki.net/bar/download/order?id=jBGETXBNdPImvx70aLAuJPYxPoFw%2bp%2bi0fIiSrcN6lV%2fICXAUV5C03DgbGaTwfbQjy9dcRzLlhbI%2bla6SeH4NzeVu5Rs5wkJzzPB%2bz1dhj8tqddCdidyosdSaMNWur3ZJBjdlDrNnftoR5pdZPiFRNlKM4sfpT3nRHSqBOA4sms8GQBtE8Z8mK%2fNwS15YoSEMmUxq8XLACtzBOPdL3y9gQ%3d%3d _x000d__x000a_&lt;/_url&gt;&lt;_volume&gt;49&lt;/_volume&gt;&lt;_translated_author&gt;Meng, Jijun;Ai, Murula;Liu, Yang;Xiang, Yunyun&lt;/_translated_author&gt;&lt;/Details&gt;&lt;Extra&gt;&lt;DBUID&gt;{BD8F6675-5345-4625-BBA4-8897723D22F5}&lt;/DBUID&gt;&lt;/Extra&gt;&lt;/Item&gt;&lt;/References&gt;&lt;/Group&gt;&lt;/Citation&gt;_x000a_"/>
    <w:docVar w:name="NE.Ref{D4964A5E-25C7-4B8B-92D3-2AAC381223CD}" w:val=" ADDIN NE.Ref.{D4964A5E-25C7-4B8B-92D3-2AAC381223CD}&lt;Citation SecTmpl=&quot;1&quot;&gt;&lt;Group&gt;&lt;References&gt;&lt;Item&gt;&lt;ID&gt;470&lt;/ID&gt;&lt;UID&gt;{9B2F9548-EBDB-4641-A23D-10038ABB9C30}&lt;/UID&gt;&lt;Title&gt;An indicator framework for assessing livelihood resilience in the context of social–ecological dynamics&lt;/Title&gt;&lt;Template&gt;Journal Article&lt;/Template&gt;&lt;Star&gt;0&lt;/Star&gt;&lt;Tag&gt;0&lt;/Tag&gt;&lt;Author&gt;Speranza, Chinwe Ifejika; Wiesmann, Urs; Rist, Stephan&lt;/Author&gt;&lt;Year&gt;2014&lt;/Year&gt;&lt;Details&gt;&lt;_accessed&gt;64573624&lt;/_accessed&gt;&lt;_accession_num&gt;WOS:000343839100010&lt;/_accession_num&gt;&lt;_collection_scope&gt;SCI;SCIE;SSCI&lt;/_collection_scope&gt;&lt;_created&gt;64060478&lt;/_created&gt;&lt;_date&gt;1990-09-01&lt;/_date&gt;&lt;_date_display&gt;Sep&lt;/_date_display&gt;&lt;_db_updated&gt;CrossRef&lt;/_db_updated&gt;&lt;_doi&gt;10.1016/j.gloenvcha.2014.06.005&lt;/_doi&gt;&lt;_image&gt;internal-pdf://1898458805/1-s2.0-S0959378014001101-main.pdf&lt;/_image&gt;&lt;_impact_factor&gt;  11.160&lt;/_impact_factor&gt;&lt;_isbn&gt;09593780&lt;/_isbn&gt;&lt;_journal&gt;Global Environmental Change&lt;/_journal&gt;&lt;_label&gt;从缓冲能力、自组织能力和学习能力构建生计恢复力分析框架，最为经典的框架&lt;/_label&gt;&lt;_modified&gt;64586500&lt;/_modified&gt;&lt;_pages&gt;109-119&lt;/_pages&gt;&lt;_short_title&gt;An indicator framework for assessing livelihood resilience in the context of social-ecological dynamics&lt;/_short_title&gt;&lt;_tertiary_title&gt;Global Environmental Change&lt;/_tertiary_title&gt;&lt;_url&gt;https://linkinghub.elsevier.com/retrieve/pii/S0959378014001101_x000d__x000a_https://api.elsevier.com/content/article/PII:S0959378014001101?httpAccept=text/plain&lt;/_url&gt;&lt;_volume&gt;28&lt;/_volume&gt;&lt;/Details&gt;&lt;Extra&gt;&lt;DBUID&gt;{BD8F6675-5345-4625-BBA4-8897723D22F5}&lt;/DBUID&gt;&lt;/Extra&gt;&lt;/Item&gt;&lt;/References&gt;&lt;/Group&gt;&lt;/Citation&gt;_x000a_"/>
    <w:docVar w:name="NE.Ref{D81B6325-AE4D-4A22-9DA9-964729EE6A26}" w:val=" ADDIN NE.Ref.{D81B6325-AE4D-4A22-9DA9-964729EE6A26}&lt;Citation SecTmpl=&quot;1&quot;&gt;&lt;Group&gt;&lt;References&gt;&lt;Item&gt;&lt;ID&gt;1522&lt;/ID&gt;&lt;UID&gt;{B9E57C78-9CE9-43D9-AC36-FC3EE1D51646}&lt;/UID&gt;&lt;Title&gt;Discovering and characterizing farm households&amp;apos; resilience under water scarcity&lt;/Title&gt;&lt;Template&gt;Journal Article&lt;/Template&gt;&lt;Star&gt;0&lt;/Star&gt;&lt;Tag&gt;0&lt;/Tag&gt;&lt;Author&gt;Maleksaeidi, H; Karami, E; Zamani, G H; Rezaei-Moghaddam, K; Hayati, D; Masoudi, M&lt;/Author&gt;&lt;Year&gt;2016&lt;/Year&gt;&lt;Details&gt;&lt;_accessed&gt;64508408&lt;/_accessed&gt;&lt;_alternate_title&gt;ENVIRONMENT DEVELOPMENT AND SUSTAINABILITY&lt;/_alternate_title&gt;&lt;_author_adr&gt;Shiraz Univ, Coll Agr, Dept Agr Extens &amp;amp; Educ, Shiraz 7144165186, Iran; Shiraz Univ, Coll Agr, Dept Nat Resources &amp;amp; Environm, Shiraz 7144165186, Iran&lt;/_author_adr&gt;&lt;_collection_scope&gt;SCIE&lt;/_collection_scope&gt;&lt;_created&gt;64508408&lt;/_created&gt;&lt;_date&gt;2016-01-01&lt;/_date&gt;&lt;_date_display&gt;2016&lt;/_date_display&gt;&lt;_doi&gt;10.1007/s10668-015-9661-y&lt;/_doi&gt;&lt;_impact_factor&gt;   4.080&lt;/_impact_factor&gt;&lt;_isbn&gt;1387-585X&lt;/_isbn&gt;&lt;_issue&gt;2&lt;/_issue&gt;&lt;_journal&gt;ENVIRONMENT DEVELOPMENT AND SUSTAINABILITY&lt;/_journal&gt;&lt;_keywords&gt;Resilience; Farm household; Knowledge management; Water scarcity; Parishan wetland; Iran; CLIMATE-CHANGE ADAPTATION; ADAPTIVE CAPACITY; 5-FACTOR MODEL; MANAGEMENT; VULNERABILITY; PERSONALITY; EDUCATION; IMPACT&lt;/_keywords&gt;&lt;_label&gt;分析不同类别农户生计恢复力水平差异和主要影响因素&lt;/_label&gt;&lt;_modified&gt;64618329&lt;/_modified&gt;&lt;_pages&gt;499-525&lt;/_pages&gt;&lt;_social_category&gt;环境科学与生态学(4)&lt;/_social_category&gt;&lt;_volume&gt;18&lt;/_volume&gt;&lt;/Details&gt;&lt;Extra&gt;&lt;DBUID&gt;{BD8F6675-5345-4625-BBA4-8897723D22F5}&lt;/DBUID&gt;&lt;/Extra&gt;&lt;/Item&gt;&lt;/References&gt;&lt;/Group&gt;&lt;/Citation&gt;_x000a_"/>
    <w:docVar w:name="NE.Ref{D86981CA-5175-429B-A898-3828EB67C580}" w:val=" ADDIN NE.Ref.{D86981CA-5175-429B-A898-3828EB67C580}&lt;Citation&gt;&lt;Group&gt;&lt;References&gt;&lt;Item&gt;&lt;ID&gt;74&lt;/ID&gt;&lt;UID&gt;{5EB95FD9-2A6A-463B-8E9A-2A922837C420}&lt;/UID&gt;&lt;Title&gt;Exploring livelihood resilience and its impact on livelihood strategy in rural China&lt;/Title&gt;&lt;Template&gt;Journal Article&lt;/Template&gt;&lt;Star&gt;0&lt;/Star&gt;&lt;Tag&gt;0&lt;/Tag&gt;&lt;Author&gt;Liu, Wei; Li, Jie; Ren, Linjing; Xu, Jie; Li, Cong; Li, Shuzhuo&lt;/Author&gt;&lt;Year&gt;2020&lt;/Year&gt;&lt;Details&gt;&lt;_accessed&gt;64536337&lt;/_accessed&gt;&lt;_accession_num&gt;WOS:000528964800001&lt;/_accession_num&gt;&lt;_collection_scope&gt;SSCI&lt;/_collection_scope&gt;&lt;_created&gt;64051806&lt;/_created&gt;&lt;_date&gt;1990-08-01&lt;/_date&gt;&lt;_date_display&gt;Aug&lt;/_date_display&gt;&lt;_db_updated&gt;CrossRef&lt;/_db_updated&gt;&lt;_doi&gt;10.1007/s11205-020-02347-2&lt;/_doi&gt;&lt;_image&gt;internal-pdf://1118112693/Liu-2020-Exploring-livelihood-resilience-and.pdf&lt;/_image&gt;&lt;_impact_factor&gt;   2.935&lt;/_impact_factor&gt;&lt;_isbn&gt;0303-8300&lt;/_isbn&gt;&lt;_issue&gt;3&lt;/_issue&gt;&lt;_journal&gt;Social Indicators Research&lt;/_journal&gt;&lt;_modified&gt;64608213&lt;/_modified&gt;&lt;_pages&gt;977-998&lt;/_pages&gt;&lt;_short_title&gt;Exploring Livelihood Resilience and Its Impact on Livelihood Strategy in Rural China&lt;/_short_title&gt;&lt;_social_category&gt;法学(3)&lt;/_social_category&gt;&lt;_tertiary_title&gt;Soc Indic Res&lt;/_tertiary_title&gt;&lt;_url&gt;https://link.springer.com/10.1007/s11205-020-02347-2 _x000d__x000a_https://link.springer.com/content/pdf/10.1007/s11205-020-02347-2.pdf _x000d__x000a_http://link.springer.com/content/pdf/10.1007%2Fs11205-020-02347-2.pdf _x000d__x000a_&lt;/_url&gt;&lt;_volume&gt;150&lt;/_volume&gt;&lt;/Details&gt;&lt;Extra&gt;&lt;DBUID&gt;{BD8F6675-5345-4625-BBA4-8897723D22F5}&lt;/DBUID&gt;&lt;/Extra&gt;&lt;/Item&gt;&lt;/References&gt;&lt;/Group&gt;&lt;Group&gt;&lt;References&gt;&lt;Item&gt;&lt;ID&gt;62&lt;/ID&gt;&lt;UID&gt;{62341839-8C47-474B-A5E1-E1746A02527B}&lt;/UID&gt;&lt;Title&gt;Livelihood resilience and strategies of rural residents of earthquake-threatened areas in Sichuan Province, China&lt;/Title&gt;&lt;Template&gt;Journal Article&lt;/Template&gt;&lt;Star&gt;0&lt;/Star&gt;&lt;Tag&gt;0&lt;/Tag&gt;&lt;Author&gt;Zhou, Wenfeng; Guo, Shili; Deng, Xin; Xu, Dingde&lt;/Author&gt;&lt;Year&gt;2021&lt;/Year&gt;&lt;Details&gt;&lt;_accessed&gt;64452488&lt;/_accessed&gt;&lt;_accession_num&gt;WOS:000604222800005&lt;/_accession_num&gt;&lt;_collection_scope&gt;SCIE&lt;/_collection_scope&gt;&lt;_created&gt;64051806&lt;/_created&gt;&lt;_date&gt;1990-03-01&lt;/_date&gt;&lt;_date_display&gt;Mar&lt;/_date_display&gt;&lt;_db_updated&gt;CrossRef&lt;/_db_updated&gt;&lt;_doi&gt;10.1007/s11069-020-04460-4&lt;/_doi&gt;&lt;_image&gt;internal-pdf://2746979186/Zhou-2021-Livelihood-resilience-and-strategie.pdf&lt;/_image&gt;&lt;_impact_factor&gt;   3.158&lt;/_impact_factor&gt;&lt;_isbn&gt;0921-030X&lt;/_isbn&gt;&lt;_issue&gt;1&lt;/_issue&gt;&lt;_journal&gt;Natural Hazards&lt;/_journal&gt;&lt;_label&gt;生计恢复力与生计策略&lt;/_label&gt;&lt;_modified&gt;64608208&lt;/_modified&gt;&lt;_pages&gt;255-275&lt;/_pages&gt;&lt;_short_title&gt;Livelihood resilience and strategies of rural residents of earthquake-threatened areas in Sichuan Province, China&lt;/_short_title&gt;&lt;_social_category&gt;工程技术(3)&lt;/_social_category&gt;&lt;_tertiary_title&gt;Nat Hazards&lt;/_tertiary_title&gt;&lt;_url&gt;http://link.springer.com/10.1007/s11069-020-04460-4 _x000d__x000a_http://link.springer.com/content/pdf/10.1007/s11069-020-04460-4.pdf _x000d__x000a_http://link.springer.com/content/pdf/10.1007%2Fs11069-020-04460-4.pdf _x000d__x000a_&lt;/_url&gt;&lt;_volume&gt;106&lt;/_volume&gt;&lt;/Details&gt;&lt;Extra&gt;&lt;DBUID&gt;{BD8F6675-5345-4625-BBA4-8897723D22F5}&lt;/DBUID&gt;&lt;/Extra&gt;&lt;/Item&gt;&lt;/References&gt;&lt;/Group&gt;&lt;/Citation&gt;_x000a_"/>
    <w:docVar w:name="NE.Ref{D92A1863-738E-4592-BAE9-599AF5C47417}" w:val=" ADDIN NE.Ref.{D92A1863-738E-4592-BAE9-599AF5C47417}&lt;Citation SecTmpl=&quot;1&quot;&gt;&lt;Group&gt;&lt;References&gt;&lt;Item&gt;&lt;ID&gt;348&lt;/ID&gt;&lt;UID&gt;{F1785EF2-74AA-4AC9-91B1-19FC3C259712}&lt;/UID&gt;&lt;Title&gt;Global environmental change I&lt;/Title&gt;&lt;Template&gt;Journal Article&lt;/Template&gt;&lt;Star&gt;0&lt;/Star&gt;&lt;Tag&gt;0&lt;/Tag&gt;&lt;Author&gt;Brown, Katrina&lt;/Author&gt;&lt;Year&gt;2014&lt;/Year&gt;&lt;Details&gt;&lt;_accessed&gt;64060482&lt;/_accessed&gt;&lt;_accession_num&gt;WOS:000331379700006&lt;/_accession_num&gt;&lt;_collection_scope&gt;SSCI&lt;/_collection_scope&gt;&lt;_created&gt;64060478&lt;/_created&gt;&lt;_date&gt;1990-02-01&lt;/_date&gt;&lt;_date_display&gt;Feb&lt;/_date_display&gt;&lt;_db_updated&gt;CrossRef&lt;/_db_updated&gt;&lt;_doi&gt;10.1177/0309132513498837&lt;/_doi&gt;&lt;_impact_factor&gt;  10.218&lt;/_impact_factor&gt;&lt;_isbn&gt;0309-1325&lt;/_isbn&gt;&lt;_issue&gt;1&lt;/_issue&gt;&lt;_journal&gt;Progress in Human Geography&lt;/_journal&gt;&lt;_modified&gt;64061149&lt;/_modified&gt;&lt;_pages&gt;107-117&lt;/_pages&gt;&lt;_short_title&gt;Global environmental change I: A social turn for resilience?&lt;/_short_title&gt;&lt;_tertiary_title&gt;Progress in Human Geography&lt;/_tertiary_title&gt;&lt;_url&gt;http://journals.sagepub.com/doi/10.1177/0309132513498837_x000d__x000a_http://journals.sagepub.com/doi/pdf/10.1177/0309132513498837&lt;/_url&gt;&lt;_volume&gt;38&lt;/_volume&gt;&lt;/Details&gt;&lt;Extra&gt;&lt;DBUID&gt;{BD8F6675-5345-4625-BBA4-8897723D22F5}&lt;/DBUID&gt;&lt;/Extra&gt;&lt;/Item&gt;&lt;/References&gt;&lt;/Group&gt;&lt;/Citation&gt;_x000a_"/>
    <w:docVar w:name="NE.Ref{D98EB5CF-D64B-456B-A19B-8C8A13CD7588}" w:val=" ADDIN NE.Ref.{D98EB5CF-D64B-456B-A19B-8C8A13CD7588}&lt;Citation&gt;&lt;Group&gt;&lt;References&gt;&lt;Item&gt;&lt;ID&gt;526&lt;/ID&gt;&lt;UID&gt;{06BA649B-3AB0-45BA-9F18-7B8CE4C49BF7}&lt;/UID&gt;&lt;Title&gt;气候变化对中国农业生产的影响研究进展&lt;/Title&gt;&lt;Template&gt;Journal Article&lt;/Template&gt;&lt;Star&gt;0&lt;/Star&gt;&lt;Tag&gt;0&lt;/Tag&gt;&lt;Author&gt;郭建平&lt;/Author&gt;&lt;Year&gt;2015&lt;/Year&gt;&lt;Details&gt;&lt;_author_adr&gt;中国气象科学研究院;&lt;/_author_adr&gt;&lt;_call_num&gt;11-2690/P&lt;/_call_num&gt;&lt;_collection_scope&gt;CSCD;PKU&lt;/_collection_scope&gt;&lt;_created&gt;64060780&lt;/_created&gt;&lt;_image&gt;internal-pdf://0287869224/气候变化对中国农业生产的影响研究进展_郭建平.pdf&lt;/_image&gt;&lt;_isbn&gt;1001-7313&lt;/_isbn&gt;&lt;_issue&gt;01&lt;/_issue&gt;&lt;_journal&gt;应用气象学报&lt;/_journal&gt;&lt;_keywords&gt;气候变化_x000d__x000a_农业生产_x000d__x000a_影响评估_x000d__x000a_研究进展&lt;/_keywords&gt;&lt;_modified&gt;64060780&lt;/_modified&gt;&lt;_pages&gt;1-11&lt;/_pages&gt;&lt;_short_title&gt;气候变化对中国农业生产的影响研究进展&lt;/_short_title&gt;&lt;_volume&gt;26&lt;/_volume&gt;&lt;_translated_author&gt;Guo, Jianping&lt;/_translated_author&gt;&lt;/Details&gt;&lt;Extra&gt;&lt;DBUID&gt;{BD8F6675-5345-4625-BBA4-8897723D22F5}&lt;/DBUID&gt;&lt;/Extra&gt;&lt;/Item&gt;&lt;/References&gt;&lt;/Group&gt;&lt;/Citation&gt;_x000a_"/>
    <w:docVar w:name="NE.Ref{D9CF1927-92D8-4698-A2AA-B18584A31CE8}" w:val=" ADDIN NE.Ref.{D9CF1927-92D8-4698-A2AA-B18584A31CE8}&lt;Citation&gt;&lt;Group&gt;&lt;References&gt;&lt;Item&gt;&lt;ID&gt;105&lt;/ID&gt;&lt;UID&gt;{D501D40C-778D-4ADD-B8B9-E6D0E3807C23}&lt;/UID&gt;&lt;Title&gt;Determinants of perceptions of climate change and adaptation among Turkana pastoralists in northwestern Kenya&lt;/Title&gt;&lt;Template&gt;Journal Article&lt;/Template&gt;&lt;Star&gt;0&lt;/Star&gt;&lt;Tag&gt;0&lt;/Tag&gt;&lt;Author&gt;Opiyo, Francis; Wasonga, Oliver V; Nyangito, Moses M; Mureithi, Stephen M; Obando, Joy; Munang, Richard&lt;/Author&gt;&lt;Year&gt;2015&lt;/Year&gt;&lt;Details&gt;&lt;_accessed&gt;64051808&lt;/_accessed&gt;&lt;_accession_num&gt;WOS:000372444500008&lt;/_accession_num&gt;&lt;_collection_scope&gt;SSCI&lt;/_collection_scope&gt;&lt;_created&gt;64051806&lt;/_created&gt;&lt;_date&gt;61115040&lt;/_date&gt;&lt;_date_display&gt;Mar&lt;/_date_display&gt;&lt;_db_updated&gt;CrossRef&lt;/_db_updated&gt;&lt;_doi&gt;10.1080/17565529.2015.1034231&lt;/_doi&gt;&lt;_impact_factor&gt;   4.280&lt;/_impact_factor&gt;&lt;_isbn&gt;1756-5529&lt;/_isbn&gt;&lt;_issue&gt;2&lt;/_issue&gt;&lt;_journal&gt;Climate and Development&lt;/_journal&gt;&lt;_modified&gt;64051808&lt;/_modified&gt;&lt;_pages&gt;179-189&lt;/_pages&gt;&lt;_short_title&gt;Determinants of perceptions of climate change and adaptation among Turkana pastoralists in northwestern Kenya&lt;/_short_title&gt;&lt;_tertiary_title&gt;Climate and Development&lt;/_tertiary_title&gt;&lt;_url&gt;http://www.tandfonline.com/doi/full/10.1080/17565529.2015.1034231_x000d__x000a_http://www.tandfonline.com/doi/pdf/10.1080/17565529.2015.1034231&lt;/_url&gt;&lt;_volume&gt;8&lt;/_volume&gt;&lt;/Details&gt;&lt;Extra&gt;&lt;DBUID&gt;{BD8F6675-5345-4625-BBA4-8897723D22F5}&lt;/DBUID&gt;&lt;/Extra&gt;&lt;/Item&gt;&lt;/References&gt;&lt;/Group&gt;&lt;/Citation&gt;_x000a_"/>
    <w:docVar w:name="NE.Ref{DA506038-2134-46CD-A2F9-985009637961}" w:val=" ADDIN NE.Ref.{DA506038-2134-46CD-A2F9-985009637961}&lt;Citation&gt;&lt;Group&gt;&lt;References&gt;&lt;Item&gt;&lt;ID&gt;310&lt;/ID&gt;&lt;UID&gt;{D47088DF-DF5F-4A1F-8100-AA4140EF8E43}&lt;/UID&gt;&lt;Title&gt;可持续生计视角下中国农村贫困治理研究综述&lt;/Title&gt;&lt;Template&gt;Journal Article&lt;/Template&gt;&lt;Star&gt;0&lt;/Star&gt;&lt;Tag&gt;0&lt;/Tag&gt;&lt;Author&gt;何仁伟; 李光勤; 刘邵权; 徐定德; 李立娜&lt;/Author&gt;&lt;Year&gt;2017&lt;/Year&gt;&lt;Details&gt;&lt;_author_adr&gt;北京市社会科学院市情调研中心;上海财经大学财经研究所/城市与区域科学学院;中国科学院水利部成都山地灾害与环境研究所;西昌学院资源与环境学院;&lt;/_author_adr&gt;&lt;_collection_scope&gt;CSSCI;PKU;CSCD&lt;/_collection_scope&gt;&lt;_created&gt;64053637&lt;/_created&gt;&lt;_db_provider&gt;CNKI&lt;/_db_provider&gt;&lt;_isbn&gt;1002-2104&lt;/_isbn&gt;&lt;_issue&gt;11&lt;/_issue&gt;&lt;_journal&gt;中国人口·资源与环境&lt;/_journal&gt;&lt;_keywords&gt;可持续生计;;生计资本;;生计策略;;精准扶贫;;贫困治理&lt;/_keywords&gt;&lt;_modified&gt;64594159&lt;/_modified&gt;&lt;_pages&gt;69-85&lt;/_pages&gt;&lt;_url&gt;https://bar.cnki.net/bar/download/order?id=jBGETXBNdPImvx70aLAuJPYxPoFw%2bp%2bi0fIiSrcN6lWuuTP8dwXoLfavsfS7mdAaLDZRoj5cV7XU4AV9w9D201aDlGRGqfvrZs8WIjNZTiDl8E%2bCUVp5GtDTYhVF2dNUoJeGx62Ssygg68TNXJ%2b5JrigejDAar8Xqw%2f6WR22OFXUdUGh4At8VBYSvh%2fCUD5a9tPi389KZ1%2f%2fln327zMTcSMKpkchz4FhDB3rwF6z1gE%3d _x000d__x000a_&lt;/_url&gt;&lt;_volume&gt;27&lt;/_volume&gt;&lt;_translated_author&gt;He, Renwei;Li, Guangqin;Liu, Shaoquan;Xu, Dingde;Li, Lina&lt;/_translated_author&gt;&lt;/Details&gt;&lt;Extra&gt;&lt;DBUID&gt;{BD8F6675-5345-4625-BBA4-8897723D22F5}&lt;/DBUID&gt;&lt;/Extra&gt;&lt;/Item&gt;&lt;/References&gt;&lt;/Group&gt;&lt;Group&gt;&lt;References&gt;&lt;Item&gt;&lt;ID&gt;428&lt;/ID&gt;&lt;UID&gt;{10F7E8F3-638F-49AF-98E9-CA38B372D167}&lt;/UID&gt;&lt;Title&gt;我国农户可持续生计的研究综述&lt;/Title&gt;&lt;Template&gt;Journal Article&lt;/Template&gt;&lt;Star&gt;0&lt;/Star&gt;&lt;Tag&gt;0&lt;/Tag&gt;&lt;Author&gt;潘晓坤; 罗蓉&lt;/Author&gt;&lt;Year&gt;2018&lt;/Year&gt;&lt;Details&gt;&lt;_accessed&gt;64060484&lt;/_accessed&gt;&lt;_author_adr&gt;贵州大学管理学院;&lt;/_author_adr&gt;&lt;_author_aff&gt;贵州大学管理学院;&lt;/_author_aff&gt;&lt;_call_num&gt;11-3946/F&lt;/_call_num&gt;&lt;_created&gt;64060478&lt;/_created&gt;&lt;_date&gt;62461440&lt;/_date&gt;&lt;_db_updated&gt;CNKI - Reference&lt;/_db_updated&gt;&lt;_image&gt;internal-pdf://0364727691/我国农户可持续生计的研究综述_潘晓坤.pdf&lt;/_image&gt;&lt;_isbn&gt;1008-1283&lt;/_isbn&gt;&lt;_issue&gt;28&lt;/_issue&gt;&lt;_journal&gt;中国集体经济&lt;/_journal&gt;&lt;_keywords&gt;农户;生计资本;生计策略;可持续生计&lt;/_keywords&gt;&lt;_modified&gt;64664260&lt;/_modified&gt;&lt;_pages&gt;75-76&lt;/_pages&gt;&lt;_short_title&gt;我国农户可持续生计的研究综述&lt;/_short_title&gt;&lt;_url&gt;https://kns.cnki.net/kcms/detail/detail.aspx?FileName=ZJTG201828041&amp;amp;DbName=CJFQ2018 _x000d__x000a_https://bar.cnki.net/bar/download/order?id=jBGETXBNdPImvx70aLAuJPYxPoFw%2bp%2bi0fIiSrcN6lUHpNY4cz%2b%2frT0CSP8tXBBF1cTHvAdsrzHEY2YEarDKW%2fxcK7E%2b1%2bNriIb3ea%2bN9O%2fl8E%2bCUVp5GtDTYhVF2dNUoJeGx62Ssygg68TNXJ%2b5JrigejDAar8Xqw%2f6WR22OFXUdUGh4At8VBYSvh%2fCUD5aCIHlcnJGkQBq1S0KHC7wa7TihrX%2bXhIDS76w1EK5zfP5LXYX1qwFXwOc1HUZT%2bTB _x000d__x000a_&lt;/_url&gt;&lt;_translated_author&gt;Pan, Xiaokun;Luo, Rong&lt;/_translated_author&gt;&lt;/Details&gt;&lt;Extra&gt;&lt;DBUID&gt;{BD8F6675-5345-4625-BBA4-8897723D22F5}&lt;/DBUID&gt;&lt;/Extra&gt;&lt;/Item&gt;&lt;/References&gt;&lt;/Group&gt;&lt;/Citation&gt;_x000a_"/>
    <w:docVar w:name="NE.Ref{DC941A86-6D8F-4642-9771-AE758627521C}" w:val=" ADDIN NE.Ref.{DC941A86-6D8F-4642-9771-AE758627521C}&lt;Citation&gt;&lt;Group&gt;&lt;References&gt;&lt;Item&gt;&lt;ID&gt;121&lt;/ID&gt;&lt;UID&gt;{7C64F784-596B-4EDD-A513-520F5E89E15A}&lt;/UID&gt;&lt;Title&gt;Adaptation to environmental change: Contributions of a resilience framework&lt;/Title&gt;&lt;Template&gt;Journal Article&lt;/Template&gt;&lt;Star&gt;0&lt;/Star&gt;&lt;Tag&gt;0&lt;/Tag&gt;&lt;Author&gt;Nelson, Donald R; Adger, W Neil; Brown, Katrina&lt;/Author&gt;&lt;Year&gt;2007&lt;/Year&gt;&lt;Details&gt;&lt;_accessed&gt;64536327&lt;/_accessed&gt;&lt;_accession_num&gt;WOS:000251280300015&lt;/_accession_num&gt;&lt;_collection_scope&gt;SCI;SCIE;SSCI;EI&lt;/_collection_scope&gt;&lt;_created&gt;64051806&lt;/_created&gt;&lt;_date&gt;56714400&lt;/_date&gt;&lt;_db_updated&gt;CrossRef&lt;/_db_updated&gt;&lt;_doi&gt;10.1146/annurev.energy.32.051807.090348&lt;/_doi&gt;&lt;_image&gt;internal-pdf://0229663729/Nelson-2007-Adaptation-to-environmental-change.pdf&lt;/_image&gt;&lt;_impact_factor&gt;  17.909&lt;/_impact_factor&gt;&lt;_isbn&gt;1543-5938&lt;/_isbn&gt;&lt;_issue&gt;1&lt;/_issue&gt;&lt;_journal&gt;Annual Review of Environment and Resources&lt;/_journal&gt;&lt;_modified&gt;64594196&lt;/_modified&gt;&lt;_pages&gt;395-419&lt;/_pages&gt;&lt;_short_title&gt;Adaptation to environmental change: Contributions of a resilience framework&lt;/_short_title&gt;&lt;_social_category&gt;环境科学与生态学(1)&lt;/_social_category&gt;&lt;_tertiary_title&gt;Annu. Rev. Environ. Resour.&lt;/_tertiary_title&gt;&lt;_url&gt;https://www.annualreviews.org/doi/10.1146/annurev.energy.32.051807.090348_x000d__x000a_https://www.annualreviews.org/doi/pdf/10.1146/annurev.energy.32.051807.090348&lt;/_url&gt;&lt;_volume&gt;32&lt;/_volume&gt;&lt;/Details&gt;&lt;Extra&gt;&lt;DBUID&gt;{BD8F6675-5345-4625-BBA4-8897723D22F5}&lt;/DBUID&gt;&lt;/Extra&gt;&lt;/Item&gt;&lt;/References&gt;&lt;/Group&gt;&lt;/Citation&gt;_x000a_"/>
    <w:docVar w:name="NE.Ref{E264869E-D627-4820-B31D-8D1736D9F804}" w:val=" ADDIN NE.Ref.{E264869E-D627-4820-B31D-8D1736D9F804}&lt;Citation&gt;&lt;Group&gt;&lt;References&gt;&lt;Item&gt;&lt;ID&gt;500&lt;/ID&gt;&lt;UID&gt;{0BF79DC3-5290-42AD-97C5-7A8B357A4D7D}&lt;/UID&gt;&lt;Title&gt;Farm-level adaptation to climate change in Western Bangladesh: An analysis of adaptation dynamics, profitability and risks&lt;/Title&gt;&lt;Template&gt;Journal Article&lt;/Template&gt;&lt;Star&gt;0&lt;/Star&gt;&lt;Tag&gt;0&lt;/Tag&gt;&lt;Author&gt;Kabir, Md. Jahangir; Alauddin, Mohammad; Crimp, Steven&lt;/Author&gt;&lt;Year&gt;2017&lt;/Year&gt;&lt;Details&gt;&lt;_accessed&gt;64060484&lt;/_accessed&gt;&lt;_accession_num&gt;WOS:000405881100020&lt;/_accession_num&gt;&lt;_alternate_title&gt;Land Use Pol.&lt;/_alternate_title&gt;&lt;_author_adr&gt;[Kabir, Md. Jahangir] Univ Queensland, Sch Agr &amp;amp; Food Sci, St Lucia, Qld 4072, Australia. [Kabir, Md. Jahangir] Bangladesh Rice Res Inst, Agr Econ Div, Gazipur 1701, Bangladesh. [Alauddin, Mohammad] Univ Queensland, Sch Econ, Brisbane, Qld 4072, Australia. [Crimp, Steven] CSIRO, Agr, GPO Box 1700, Canberra, ACT 2601, Australia._x000d__x000a_Kabir, MJ (reprint author), Univ Queensland, Sch Agr &amp;amp; Food Sci, St Lucia, Qld 4072, Australia.; Kabir, MJ (reprint author), Bangladesh Rice Res Inst, Agr Econ Div, Gazipur 1701, Bangladesh._x000d__x000a_jahangir.kabir@uqconnect.edu.au&lt;/_author_adr&gt;&lt;_collection_scope&gt;SSCI&lt;/_collection_scope&gt;&lt;_created&gt;64060478&lt;/_created&gt;&lt;_date&gt;1990-05-01&lt;/_date&gt;&lt;_date_display&gt;May&lt;/_date_display&gt;&lt;_db_updated&gt;CrossRef&lt;/_db_updated&gt;&lt;_doi&gt;10.1016/j.landusepol.2017.02.026&lt;/_doi&gt;&lt;_image&gt;internal-pdf://3331687836/1-s2.0-S0264837715301289-main1.pdf_x000d__x000a_internal-pdf://2765512118/1-s2.0-S0264837715301289-main.pdf&lt;/_image&gt;&lt;_impact_factor&gt;   5.398&lt;/_impact_factor&gt;&lt;_isbn&gt;02648377&lt;/_isbn&gt;&lt;_journal&gt;Land Use Policy&lt;/_journal&gt;&lt;_keywords&gt;Climate change_x000d__x000a_Drought severity_x000d__x000a_Farm budgeting_x000d__x000a_Risk analysis_x000d__x000a_Adaptation dynamics_x000d__x000a_Sustainability_x000d__x000a_crop diversification_x000d__x000a_drought-prone_x000d__x000a_productivity_x000d__x000a_variability_x000d__x000a_strategies_x000d__x000a_perception_x000d__x000a_security_x000d__x000a_ethiopia_x000d__x000a_district_x000d__x000a_shrimp_x000d__x000a_Environmental Sciences &amp;amp; Ecology&lt;/_keywords&gt;&lt;_language&gt;English&lt;/_language&gt;&lt;_modified&gt;64060773&lt;/_modified&gt;&lt;_pages&gt;212-224&lt;/_pages&gt;&lt;_short_title&gt;Farm-level adaptation to climate change in Western Bangladesh: An analysis of adaptation dynamics, profitability and risks&lt;/_short_title&gt;&lt;_tertiary_title&gt;Land Use Policy&lt;/_tertiary_title&gt;&lt;_type_work&gt;Article&lt;/_type_work&gt;&lt;_url&gt;https://linkinghub.elsevier.com/retrieve/pii/S0264837715301289_x000d__x000a_https://dul.usage.elsevier.com/doi/&lt;/_url&gt;&lt;_volume&gt;64&lt;/_volume&gt;&lt;/Details&gt;&lt;Extra&gt;&lt;DBUID&gt;{BD8F6675-5345-4625-BBA4-8897723D22F5}&lt;/DBUID&gt;&lt;/Extra&gt;&lt;/Item&gt;&lt;/References&gt;&lt;/Group&gt;&lt;Group&gt;&lt;References&gt;&lt;Item&gt;&lt;ID&gt;342&lt;/ID&gt;&lt;UID&gt;{828D0D49-B4E4-42ED-836A-2AB2A8F2E63D}&lt;/UID&gt;&lt;Title&gt;Farmer perceptions of climate change, observed trends and adaptation of agriculture in Pakistan&lt;/Title&gt;&lt;Template&gt;Journal Article&lt;/Template&gt;&lt;Star&gt;0&lt;/Star&gt;&lt;Tag&gt;0&lt;/Tag&gt;&lt;Author&gt;Abid, Muhammad; Scheffran, Jürgen; Schneider, Uwe A; Elahi, Ehsan&lt;/Author&gt;&lt;Year&gt;2019&lt;/Year&gt;&lt;Details&gt;&lt;_accessed&gt;64529019&lt;/_accessed&gt;&lt;_accession_num&gt;WOS:000457278900009&lt;/_accession_num&gt;&lt;_collection_scope&gt;SCI;SCIE;EI&lt;/_collection_scope&gt;&lt;_created&gt;64060478&lt;/_created&gt;&lt;_date&gt;1990-01-01&lt;/_date&gt;&lt;_date_display&gt;Jan&lt;/_date_display&gt;&lt;_db_updated&gt;CrossRef&lt;/_db_updated&gt;&lt;_doi&gt;10.1007/s00267-018-1113-7&lt;/_doi&gt;&lt;_impact_factor&gt;   3.644&lt;/_impact_factor&gt;&lt;_isbn&gt;0364-152X&lt;/_isbn&gt;&lt;_issue&gt;1&lt;/_issue&gt;&lt;_journal&gt;Environmental Management&lt;/_journal&gt;&lt;_modified&gt;64614993&lt;/_modified&gt;&lt;_pages&gt;110-123&lt;/_pages&gt;&lt;_short_title&gt;Farmer Perceptions of Climate Change, Observed Trends and Adaptation of Agriculture in Pakistan&lt;/_short_title&gt;&lt;_social_category&gt;环境科学与生态学(3)&lt;/_social_category&gt;&lt;_tertiary_title&gt;Environmental Management&lt;/_tertiary_title&gt;&lt;_url&gt;http://link.springer.com/10.1007/s00267-018-1113-7_x000d__x000a_http://link.springer.com/content/pdf/10.1007/s00267-018-1113-7.pdf&lt;/_url&gt;&lt;_volume&gt;63&lt;/_volume&gt;&lt;/Details&gt;&lt;Extra&gt;&lt;DBUID&gt;{BD8F6675-5345-4625-BBA4-8897723D22F5}&lt;/DBUID&gt;&lt;/Extra&gt;&lt;/Item&gt;&lt;/References&gt;&lt;/Group&gt;&lt;/Citation&gt;_x000a_"/>
    <w:docVar w:name="NE.Ref{E7948B25-C71B-4CA2-BD2F-AD53EF6BF225}" w:val=" ADDIN NE.Ref.{E7948B25-C71B-4CA2-BD2F-AD53EF6BF225}&lt;Citation SecTmpl=&quot;1&quot;&gt;&lt;Group&gt;&lt;References&gt;&lt;Item&gt;&lt;ID&gt;453&lt;/ID&gt;&lt;UID&gt;{52BF9AA7-69F3-4FE5-8D2D-4E5C56E640B8}&lt;/UID&gt;&lt;Title&gt;Livelihood resilience and the generative mechanism of rural households out of poverty: An empirical analysis from Lankao County, Henan Province, China&lt;/Title&gt;&lt;Template&gt;Journal Article&lt;/Template&gt;&lt;Star&gt;0&lt;/Star&gt;&lt;Tag&gt;0&lt;/Tag&gt;&lt;Author&gt;Li, Erling; Deng, Qingqing; Zhou, Yang&lt;/Author&gt;&lt;Year&gt;2019&lt;/Year&gt;&lt;Details&gt;&lt;_accessed&gt;64062032&lt;/_accessed&gt;&lt;_collection_scope&gt;SSCI&lt;/_collection_scope&gt;&lt;_created&gt;64060478&lt;/_created&gt;&lt;_date&gt;2019-01-01&lt;/_date&gt;&lt;_date_display&gt;2019/01/23/&lt;/_date_display&gt;&lt;_doi&gt;https://doi.org/10.1016/j.jrurstud.2019.01.005&lt;/_doi&gt;&lt;_image&gt;internal-pdf://0944485018/Livelihood-resilience-and-the-generative-mecha.pdf&lt;/_image&gt;&lt;_impact_factor&gt;   5.157&lt;/_impact_factor&gt;&lt;_isbn&gt;0743-0167&lt;/_isbn&gt;&lt;_journal&gt;Journal of Rural Studies&lt;/_journal&gt;&lt;_keywords&gt;Livelihood resilience_x000d__x000a_Rural households out of poverty_x000d__x000a_Poverty alleviation_x000d__x000a_Generative mechanism_x000d__x000a_China&lt;/_keywords&gt;&lt;_modified&gt;64608217&lt;/_modified&gt;&lt;_short_title&gt;Livelihood resilience and the generative mechanism of rural households out of poverty: An empirical analysis from Lankao County, Henan Province, China&lt;/_short_title&gt;&lt;_social_category&gt;法学(1)&lt;/_social_category&gt;&lt;_url&gt;https://www.sciencedirect.com/science/article/pii/S0743016718303255&lt;/_url&gt;&lt;/Details&gt;&lt;Extra&gt;&lt;DBUID&gt;{BD8F6675-5345-4625-BBA4-8897723D22F5}&lt;/DBUID&gt;&lt;/Extra&gt;&lt;/Item&gt;&lt;/References&gt;&lt;/Group&gt;&lt;/Citation&gt;_x000a_"/>
    <w:docVar w:name="NE.Ref{E8E9354E-7597-450A-A921-563762B0AFA8}" w:val=" ADDIN NE.Ref.{E8E9354E-7597-450A-A921-563762B0AFA8}&lt;Citation SecTmpl=&quot;1&quot;&gt;&lt;Group&gt;&lt;References&gt;&lt;Item&gt;&lt;ID&gt;347&lt;/ID&gt;&lt;UID&gt;{47329480-2524-4E15-8D2B-3CBD78DF2235}&lt;/UID&gt;&lt;Title&gt;Capitals and capabilities: A framework for analyzing peasant viability, rural livelihoods and poverty&lt;/Title&gt;&lt;Template&gt;Journal Article&lt;/Template&gt;&lt;Star&gt;0&lt;/Star&gt;&lt;Tag&gt;0&lt;/Tag&gt;&lt;Author&gt;Bebbington, A&lt;/Author&gt;&lt;Year&gt;1999&lt;/Year&gt;&lt;Details&gt;&lt;_accession_num&gt;WOS:000083906300001&lt;/_accession_num&gt;&lt;_collection_scope&gt;SSCI&lt;/_collection_scope&gt;&lt;_created&gt;64060478&lt;/_created&gt;&lt;_date&gt;1990-12-01&lt;/_date&gt;&lt;_date_display&gt;Dec&lt;/_date_display&gt;&lt;_doi&gt;10.1016/s0305-750x(99)00104-7&lt;/_doi&gt;&lt;_impact_factor&gt;   6.678&lt;/_impact_factor&gt;&lt;_isbn&gt;0305-750X&lt;/_isbn&gt;&lt;_issue&gt;12&lt;/_issue&gt;&lt;_journal&gt;World Development&lt;/_journal&gt;&lt;_modified&gt;64594249&lt;/_modified&gt;&lt;_pages&gt;2021-2044&lt;/_pages&gt;&lt;_short_title&gt;Capitals and capabilities: A framework for analyzing peasant viability, rural livelihoods and poverty&lt;/_short_title&gt;&lt;_social_category&gt;经济学(1)&lt;/_social_category&gt;&lt;_url&gt;&amp;lt;Go to ISI&amp;gt;://WOS:000083906300001&lt;/_url&gt;&lt;_volume&gt;27&lt;/_volume&gt;&lt;/Details&gt;&lt;Extra&gt;&lt;DBUID&gt;{BD8F6675-5345-4625-BBA4-8897723D22F5}&lt;/DBUID&gt;&lt;/Extra&gt;&lt;/Item&gt;&lt;/References&gt;&lt;/Group&gt;&lt;/Citation&gt;_x000a_"/>
    <w:docVar w:name="NE.Ref{EA7F115E-6082-4824-95E9-CEA44F8F3DC9}" w:val=" ADDIN NE.Ref.{EA7F115E-6082-4824-95E9-CEA44F8F3DC9}&lt;Citation&gt;&lt;Group&gt;&lt;References&gt;&lt;Item&gt;&lt;ID&gt;358&lt;/ID&gt;&lt;UID&gt;{B97988B7-8373-4D3C-ACDA-C84E96B80B0D}&lt;/UID&gt;&lt;Title&gt;Children&amp;apos;s perceptions of the personal relationships in their social networks.&lt;/Title&gt;&lt;Template&gt;Journal Article&lt;/Template&gt;&lt;Star&gt;0&lt;/Star&gt;&lt;Tag&gt;0&lt;/Tag&gt;&lt;Author&gt;Furman, Wyndol; Buhrmester, Duane&lt;/Author&gt;&lt;Year&gt;1985&lt;/Year&gt;&lt;Details&gt;&lt;_accessed&gt;64060479&lt;/_accessed&gt;&lt;_accession_num&gt;WOS:A1985AVK6900011&lt;/_accession_num&gt;&lt;_alternate_title&gt;Developmental Psychology&lt;/_alternate_title&gt;&lt;_author_adr&gt;UNIV CALIF LOS ANGELES,LOS ANGELES,CA 90024._x000d__x000a_FURMAN, W (corresponding author), UNIV DENVER,DEPT PSYCHOL,DENVER,CO 80208, USA.&lt;/_author_adr&gt;&lt;_collection_scope&gt;SSCI&lt;/_collection_scope&gt;&lt;_created&gt;64060478&lt;/_created&gt;&lt;_db_updated&gt;CrossRef&lt;/_db_updated&gt;&lt;_doi&gt;10.1037/0012-1649.21.6.1016&lt;/_doi&gt;&lt;_impact_factor&gt;   3.845&lt;/_impact_factor&gt;&lt;_isbn&gt;0012-1649&lt;/_isbn&gt;&lt;_issue&gt;6&lt;/_issue&gt;&lt;_journal&gt;Developmental Psychology&lt;/_journal&gt;&lt;_keywords&gt;Psychology&lt;/_keywords&gt;&lt;_language&gt;English&lt;/_language&gt;&lt;_modified&gt;64060811&lt;/_modified&gt;&lt;_pages&gt;1016-1024&lt;/_pages&gt;&lt;_short_title&gt;CHILDRENS PERCEPTIONS OF THE PERSONAL RELATIONSHIPS IN THEIR SOCIAL NETWORKS&lt;/_short_title&gt;&lt;_tertiary_title&gt;Developmental Psychology&lt;/_tertiary_title&gt;&lt;_type_work&gt;Article&lt;/_type_work&gt;&lt;_url&gt;http://doi.apa.org/getdoi.cfm?doi=10.1037/0012-1649.21.6.1016&lt;/_url&gt;&lt;_volume&gt;21&lt;/_volume&gt;&lt;/Details&gt;&lt;Extra&gt;&lt;DBUID&gt;{BD8F6675-5345-4625-BBA4-8897723D22F5}&lt;/DBUID&gt;&lt;/Extra&gt;&lt;/Item&gt;&lt;/References&gt;&lt;/Group&gt;&lt;Group&gt;&lt;References&gt;&lt;Item&gt;&lt;ID&gt;422&lt;/ID&gt;&lt;UID&gt;{62732A42-7939-4A0E-BD9F-43DF56E1F75A}&lt;/UID&gt;&lt;Title&gt;社会网络与地位获得&lt;/Title&gt;&lt;Template&gt;Journal Article&lt;/Template&gt;&lt;Star&gt;0&lt;/Star&gt;&lt;Tag&gt;0&lt;/Tag&gt;&lt;Author&gt;林南; 俞弘强&lt;/Author&gt;&lt;Year&gt;2003&lt;/Year&gt;&lt;Details&gt;&lt;_accessed&gt;64060722&lt;/_accessed&gt;&lt;_author_adr&gt;美国杜克大学社会学系,北京大学社会学系 教授,美国社会学会前副会长,著名美籍华裔社会学家 ,博士生&lt;/_author_adr&gt;&lt;_author_aff&gt;美国杜克大学社会学系,北京大学社会学系 教授,美国社会学会前副会长,著名美籍华裔社会学家_x000d__x000a__x000d__x000a__x000d__x000a__x000d__x000a__x000d__x000a__x000d__x000a__x000d__x000a__x000d__x000a__x000d__x000a_,博士生&lt;/_author_aff&gt;&lt;_call_num&gt;11-2055/A&lt;/_call_num&gt;&lt;_collection_scope&gt;CSSCI-C;PKU&lt;/_collection_scope&gt;&lt;_created&gt;64060478&lt;/_created&gt;&lt;_date&gt;54322560&lt;/_date&gt;&lt;_db_updated&gt;CNKI - Reference&lt;/_db_updated&gt;&lt;_image&gt;internal-pdf://0256161529/社会网络与地位获得_林南.pdf&lt;/_image&gt;&lt;_isbn&gt;1004-5961&lt;/_isbn&gt;&lt;_issue&gt;02&lt;/_issue&gt;&lt;_journal&gt;马克思主义与现实&lt;/_journal&gt;&lt;_keywords&gt;社会资源;社会资本;社会网络;地位获得&lt;/_keywords&gt;&lt;_modified&gt;64060811&lt;/_modified&gt;&lt;_pages&gt;46-59&lt;/_pages&gt;&lt;_short_title&gt;社会网络与地位获得&lt;/_short_title&gt;&lt;_url&gt;https://kns.cnki.net/kcms/detail/detail.aspx?FileName=MKSZ200302003&amp;amp;DbName=CJFQ2003&lt;/_url&gt;&lt;_translated_author&gt;Lin, Nan;Yu, Hongqiang&lt;/_translated_author&gt;&lt;/Details&gt;&lt;Extra&gt;&lt;DBUID&gt;{BD8F6675-5345-4625-BBA4-8897723D22F5}&lt;/DBUID&gt;&lt;/Extra&gt;&lt;/Item&gt;&lt;/References&gt;&lt;/Group&gt;&lt;Group&gt;&lt;References&gt;&lt;Item&gt;&lt;ID&gt;419&lt;/ID&gt;&lt;UID&gt;{893A8985-1877-42B1-8C5D-FA6997B9C0AE}&lt;/UID&gt;&lt;Title&gt;强关系与弱关系的内涵重构——基于4家企业TMT社会关系网络的案例研究&lt;/Title&gt;&lt;Template&gt;Journal Article&lt;/Template&gt;&lt;Star&gt;0&lt;/Star&gt;&lt;Tag&gt;0&lt;/Tag&gt;&lt;Author&gt;乔坤; 吕途&lt;/Author&gt;&lt;Year&gt;2014&lt;/Year&gt;&lt;Details&gt;&lt;_accessed&gt;64060482&lt;/_accessed&gt;&lt;_author_adr&gt;大连理工大学管理与经济学部;&lt;/_author_adr&gt;&lt;_author_aff&gt;大连理工大学管理与经济学部;&lt;/_author_aff&gt;&lt;_call_num&gt;42-1725/C&lt;/_call_num&gt;&lt;_collection_scope&gt;CSSCI-C;PKU&lt;/_collection_scope&gt;&lt;_created&gt;64060478&lt;/_created&gt;&lt;_date&gt;60219360&lt;/_date&gt;&lt;_db_updated&gt;CNKI - Reference&lt;/_db_updated&gt;&lt;_image&gt;internal-pdf://0117429702/强关系与弱关系的内涵重构_基于4_省略_企业TMT社会关系网络的案例研究_乔坤.pdf&lt;/_image&gt;&lt;_isbn&gt;1672-884X&lt;/_isbn&gt;&lt;_issue&gt;07&lt;/_issue&gt;&lt;_journal&gt;管理学报&lt;/_journal&gt;&lt;_keywords&gt;社会关系网络;强关系;弱关系;TMT;关系强度&lt;/_keywords&gt;&lt;_modified&gt;64060812&lt;/_modified&gt;&lt;_pages&gt;972-980&lt;/_pages&gt;&lt;_short_title&gt;强关系与弱关系的内涵重构——基于4家企业TMT社会关系网络的案例研究&lt;/_short_title&gt;&lt;_url&gt;https://kns.cnki.net/kcms/detail/detail.aspx?FileName=GLXB201407006&amp;amp;DbName=CJFQ2014&lt;/_url&gt;&lt;_volume&gt;11&lt;/_volume&gt;&lt;_translated_author&gt;Qiao, Kun;Lu, Tu&lt;/_translated_author&gt;&lt;/Details&gt;&lt;Extra&gt;&lt;DBUID&gt;{BD8F6675-5345-4625-BBA4-8897723D22F5}&lt;/DBUID&gt;&lt;/Extra&gt;&lt;/Item&gt;&lt;/References&gt;&lt;/Group&gt;&lt;Group&gt;&lt;References&gt;&lt;Item&gt;&lt;ID&gt;480&lt;/ID&gt;&lt;UID&gt;{85585B50-37AE-4C14-A59D-28D04BF28197}&lt;/UID&gt;&lt;Title&gt;社会关系质量与脑外伤康复治疗患者韧性关系的研究&lt;/Title&gt;&lt;Template&gt;Journal Article&lt;/Template&gt;&lt;Star&gt;0&lt;/Star&gt;&lt;Tag&gt;0&lt;/Tag&gt;&lt;Author&gt;杨建萍; 胡丹红; 高懿; 陈锦文&lt;/Author&gt;&lt;Year&gt;2015&lt;/Year&gt;&lt;Details&gt;&lt;_accessed&gt;64060482&lt;/_accessed&gt;&lt;_author_adr&gt;温岭市第一人民医院;&lt;/_author_adr&gt;&lt;_author_aff&gt;温岭市第一人民医院;&lt;/_author_aff&gt;&lt;_call_num&gt;42-1251/R&lt;/_call_num&gt;&lt;_created&gt;64060478&lt;/_created&gt;&lt;_date&gt;60563520&lt;/_date&gt;&lt;_db_updated&gt;CNKI - Reference&lt;/_db_updated&gt;&lt;_image&gt;internal-pdf://2539457033/社会关系质量与脑外伤康复治疗患者韧性关系的研究_杨建萍.pdf&lt;/_image&gt;&lt;_isbn&gt;1001-2001&lt;/_isbn&gt;&lt;_issue&gt;01&lt;/_issue&gt;&lt;_journal&gt;中国康复&lt;/_journal&gt;&lt;_keywords&gt;社会关系质量;韧性;脑外伤&lt;/_keywords&gt;&lt;_modified&gt;64060812&lt;/_modified&gt;&lt;_pages&gt;19-22&lt;/_pages&gt;&lt;_short_title&gt;社会关系质量与脑外伤康复治疗患者韧性关系的研究&lt;/_short_title&gt;&lt;_url&gt;https://kns.cnki.net/kcms/detail/detail.aspx?FileName=ZLKF201501007&amp;amp;DbName=CJFQ2015&lt;/_url&gt;&lt;_volume&gt;30&lt;/_volume&gt;&lt;_translated_author&gt;Yang, Jianping;Hu, Danhong;Gao, Yi;Chen, Jinwen&lt;/_translated_author&gt;&lt;/Details&gt;&lt;Extra&gt;&lt;DBUID&gt;{BD8F6675-5345-4625-BBA4-8897723D22F5}&lt;/DBUID&gt;&lt;/Extra&gt;&lt;/Item&gt;&lt;/References&gt;&lt;/Group&gt;&lt;Group&gt;&lt;References&gt;&lt;Item&gt;&lt;ID&gt;455&lt;/ID&gt;&lt;UID&gt;{8FE6A561-F16B-41FD-87A8-F2FD8B260F31}&lt;/UID&gt;&lt;Title&gt;论社会资本的累积效应&lt;/Title&gt;&lt;Template&gt;Journal Article&lt;/Template&gt;&lt;Star&gt;0&lt;/Star&gt;&lt;Tag&gt;0&lt;/Tag&gt;&lt;Author&gt;边燕杰; 孙宇; 李颖晖&lt;/Author&gt;&lt;Year&gt;2018&lt;/Year&gt;&lt;Details&gt;&lt;_accessed&gt;64060484&lt;/_accessed&gt;&lt;_author_adr&gt;西安交通大学人文社会科学学院;西北政法大学社会学系;&lt;/_author_adr&gt;&lt;_author_aff&gt;西安交通大学人文社会科学学院;西北政法大学社会学系;&lt;/_author_aff&gt;&lt;_call_num&gt;34-1004/C&lt;/_call_num&gt;&lt;_collection_scope&gt;CSSCI-C;PKU&lt;/_collection_scope&gt;&lt;_created&gt;64060478&lt;/_created&gt;&lt;_date&gt;62255520&lt;/_date&gt;&lt;_db_updated&gt;CNKI - Reference&lt;/_db_updated&gt;&lt;_image&gt;internal-pdf://0968976149/论社会资本的累积效应_边燕杰.pdf&lt;/_image&gt;&lt;_issue&gt;05&lt;/_issue&gt;&lt;_journal&gt;学术界&lt;/_journal&gt;&lt;_keywords&gt;社会资本;累积效应;地位获得;人力资本&lt;/_keywords&gt;&lt;_modified&gt;64060857&lt;/_modified&gt;&lt;_pages&gt;5-17&lt;/_pages&gt;&lt;_short_title&gt;论社会资本的累积效应&lt;/_short_title&gt;&lt;_url&gt;https://kns.cnki.net/kcms/detail/detail.aspx?FileName=SSJI201805002&amp;amp;DbName=CJFQ2018&lt;/_url&gt;&lt;_translated_author&gt;Bian, Yanjie;Sun, Yu;Li, Yinghui&lt;/_translated_author&gt;&lt;/Details&gt;&lt;Extra&gt;&lt;DBUID&gt;{BD8F6675-5345-4625-BBA4-8897723D22F5}&lt;/DBUID&gt;&lt;/Extra&gt;&lt;/Item&gt;&lt;/References&gt;&lt;/Group&gt;&lt;/Citation&gt;_x000a_"/>
    <w:docVar w:name="NE.Ref{EDAB120B-A21D-4163-A7D5-23E91EF72675}" w:val=" ADDIN NE.Ref.{EDAB120B-A21D-4163-A7D5-23E91EF72675}&lt;Citation&gt;&lt;Group&gt;&lt;References&gt;&lt;Item&gt;&lt;ID&gt;1147&lt;/ID&gt;&lt;UID&gt;{6E2B07E9-7C1F-4B0A-8A55-51E5B550E097}&lt;/UID&gt;&lt;Title&gt;Livelihood resilience in pastoral communities: Methodological and field insights from Qinghai-Tibetan Plateau&lt;/Title&gt;&lt;Template&gt;Journal Article&lt;/Template&gt;&lt;Star&gt;0&lt;/Star&gt;&lt;Tag&gt;5&lt;/Tag&gt;&lt;Author&gt;Li, Tong; Cai, Shuohao; Singh, Ranjay K; Cui, Lizhen; Fava, Francesco; Tang, Li; Xu, Zhihong; Li, Congjia; Cui, Xiaoyong; Du, Jianqing; Hao, Yanbin; Liu, Yuexian; Wang, Yanfen&lt;/Author&gt;&lt;Year&gt;2022&lt;/Year&gt;&lt;Details&gt;&lt;_accessed&gt;64647052&lt;/_accessed&gt;&lt;_alternate_title&gt;Science of The Total Environment&lt;/_alternate_title&gt;&lt;_collection_scope&gt;SCI;SCIE;EI&lt;/_collection_scope&gt;&lt;_created&gt;64422289&lt;/_created&gt;&lt;_date&gt;2022-01-01&lt;/_date&gt;&lt;_date_display&gt;2022&lt;/_date_display&gt;&lt;_doi&gt;https://doi.org/10.1016/j.scitotenv.2022.155960&lt;/_doi&gt;&lt;_impact_factor&gt;  10.753&lt;/_impact_factor&gt;&lt;_isbn&gt;0048-9697&lt;/_isbn&gt;&lt;_journal&gt;Science of The Total Environment&lt;/_journal&gt;&lt;_keywords&gt;Stress and change; Livelihood assets; Alpine grassland; Entropy technique; Three River Headwaters Region (TRHR)&lt;/_keywords&gt;&lt;_modified&gt;64644825&lt;/_modified&gt;&lt;_pages&gt;155960&lt;/_pages&gt;&lt;_social_category&gt;环境科学与生态学(2)&lt;/_social_category&gt;&lt;_url&gt;https://www.sciencedirect.com/science/article/pii/S0048969722030571&lt;/_url&gt;&lt;_volume&gt;838&lt;/_volume&gt;&lt;/Details&gt;&lt;Extra&gt;&lt;DBUID&gt;{BD8F6675-5345-4625-BBA4-8897723D22F5}&lt;/DBUID&gt;&lt;/Extra&gt;&lt;/Item&gt;&lt;/References&gt;&lt;/Group&gt;&lt;/Citation&gt;_x000a_"/>
    <w:docVar w:name="NE.Ref{EE6B130A-FD0A-4B0D-BE21-9C45BFCD2079}" w:val=" ADDIN NE.Ref.{EE6B130A-FD0A-4B0D-BE21-9C45BFCD2079}&lt;Citation&gt;&lt;Group&gt;&lt;References&gt;&lt;Item&gt;&lt;ID&gt;317&lt;/ID&gt;&lt;UID&gt;{ABC61577-62E4-4E38-A0F6-4F8AAAC4F765}&lt;/UID&gt;&lt;Title&gt;农户生计对气候变化的恢复力研究综述&lt;/Title&gt;&lt;Template&gt;Journal Article&lt;/Template&gt;&lt;Star&gt;0&lt;/Star&gt;&lt;Tag&gt;0&lt;/Tag&gt;&lt;Author&gt;熊思鸿; 阎建忠; 吴雅&lt;/Author&gt;&lt;Year&gt;2020&lt;/Year&gt;&lt;Details&gt;&lt;_author_adr&gt;西南大学资源环境学院;&lt;/_author_adr&gt;&lt;_collection_scope&gt;CSCD;CSSCI-C;PKU&lt;/_collection_scope&gt;&lt;_created&gt;64053637&lt;/_created&gt;&lt;_db_provider&gt;CNKI&lt;/_db_provider&gt;&lt;_isbn&gt;1000-0585&lt;/_isbn&gt;&lt;_issue&gt;08&lt;/_issue&gt;&lt;_journal&gt;地理研究&lt;/_journal&gt;&lt;_keywords&gt;恢复力;;气候变化;;生计;;可持续性;;适应&lt;/_keywords&gt;&lt;_modified&gt;64053651&lt;/_modified&gt;&lt;_pages&gt;1934-1946&lt;/_pages&gt;&lt;_url&gt;https://bar.cnki.net/bar/download/order?id=jBGETXBNdPImvx70aLAuJPYxPoFw%2bp%2bi0fIiSrcN6lVuFozpfC82XBFZohITzoEoRSIKUaJzJKUPX09ooTadlznQrP31sd3qbIpJim%2fvA8Tl8E%2bCUVp5GtDTYhVF2dNUoJeGx62Ssygg68TNXJ%2b5JrigejDAar8Xqw%2f6WR22OFXUdUGh4At8VBYSvh%2fCUD5amUKQy3N%2bm044qVJsAD76xGRrLjqT6%2bdjgVgZret6S68%3d _x000d__x000a_&lt;/_url&gt;&lt;_volume&gt;39&lt;/_volume&gt;&lt;_translated_author&gt;Xiong, Sihong;Yan, Jianzhong;Wu, Ya&lt;/_translated_author&gt;&lt;/Details&gt;&lt;Extra&gt;&lt;DBUID&gt;{BD8F6675-5345-4625-BBA4-8897723D22F5}&lt;/DBUID&gt;&lt;/Extra&gt;&lt;/Item&gt;&lt;/References&gt;&lt;/Group&gt;&lt;/Citation&gt;_x000a_"/>
    <w:docVar w:name="NE.Ref{F573063A-2CAF-4084-9930-4985B9DC4E1A}" w:val=" ADDIN NE.Ref.{F573063A-2CAF-4084-9930-4985B9DC4E1A}&lt;Citation&gt;&lt;Group&gt;&lt;References&gt;&lt;Item&gt;&lt;ID&gt;951&lt;/ID&gt;&lt;UID&gt;{D7F91F7A-D550-4EB8-99B6-29E6F867D31E}&lt;/UID&gt;&lt;Title&gt;Role of social networks in building household livelihood resilience under payments for ecosystem services programs in a poor rural community in China&lt;/Title&gt;&lt;Template&gt;Journal Article&lt;/Template&gt;&lt;Star&gt;0&lt;/Star&gt;&lt;Tag&gt;0&lt;/Tag&gt;&lt;Author&gt;Wang, Y; Zhang, Q; Li, Q R; Wang, J Y; Sannigrahi, S; Bilsborrow, R; Bellingrath-Kimura, S D; Li, J F; Song, C H&lt;/Author&gt;&lt;Year&gt;2021&lt;/Year&gt;&lt;Details&gt;&lt;_accessed&gt;64528909&lt;/_accessed&gt;&lt;_alternate_title&gt;JOURNAL OF RURAL STUDIES&lt;/_alternate_title&gt;&lt;_collection_scope&gt;SSCI&lt;/_collection_scope&gt;&lt;_created&gt;64260842&lt;/_created&gt;&lt;_date&gt;2021-01-01&lt;/_date&gt;&lt;_date_display&gt;2021&lt;/_date_display&gt;&lt;_doi&gt;10.1016/j.jrurstud.2021.05.017&lt;/_doi&gt;&lt;_impact_factor&gt;   5.157&lt;/_impact_factor&gt;&lt;_isbn&gt;0743-0167&lt;/_isbn&gt;&lt;_journal&gt;JOURNAL OF RURAL STUDIES&lt;/_journal&gt;&lt;_modified&gt;64632845&lt;/_modified&gt;&lt;_pages&gt;208-225&lt;/_pages&gt;&lt;_social_category&gt;法学(1)&lt;/_social_category&gt;&lt;_volume&gt;86&lt;/_volume&gt;&lt;/Details&gt;&lt;Extra&gt;&lt;DBUID&gt;{BD8F6675-5345-4625-BBA4-8897723D22F5}&lt;/DBUID&gt;&lt;/Extra&gt;&lt;/Item&gt;&lt;/References&gt;&lt;/Group&gt;&lt;/Citation&gt;_x000a_"/>
    <w:docVar w:name="NE.Ref{F6E6341C-817E-477D-990B-4169BD4446B9}" w:val=" ADDIN NE.Ref.{F6E6341C-817E-477D-990B-4169BD4446B9}&lt;Citation&gt;&lt;Group&gt;&lt;References&gt;&lt;Item&gt;&lt;ID&gt;1700&lt;/ID&gt;&lt;UID&gt;{F59004AB-32D5-498F-8C8F-BFF420DD0BEF}&lt;/UID&gt;&lt;Title&gt;论农牧户生计与土地利用的关系&lt;/Title&gt;&lt;Template&gt;Thesis&lt;/Template&gt;&lt;Star&gt;0&lt;/Star&gt;&lt;Tag&gt;0&lt;/Tag&gt;&lt;Author&gt;花晓波&lt;/Author&gt;&lt;Year&gt;2014&lt;/Year&gt;&lt;Details&gt;&lt;_created&gt;64668520&lt;/_created&gt;&lt;_db_provider&gt;CNKI&lt;/_db_provider&gt;&lt;_keywords&gt;生计;土地利用;耦合关系;青藏高原;农业生态区&lt;/_keywords&gt;&lt;_modified&gt;64668520&lt;/_modified&gt;&lt;_publisher&gt;西南大学&lt;/_publisher&gt;&lt;_tertiary_author&gt;阎建忠&lt;/_tertiary_author&gt;&lt;_type_work&gt;硕士&lt;/_type_work&gt;&lt;_translated_author&gt;Hua, Xiaobo&lt;/_translated_author&gt;&lt;_translated_tertiary_author&gt;Yan, Jianzhong&lt;/_translated_tertiary_author&gt;&lt;/Details&gt;&lt;Extra&gt;&lt;DBUID&gt;{BD8F6675-5345-4625-BBA4-8897723D22F5}&lt;/DBUID&gt;&lt;/Extra&gt;&lt;/Item&gt;&lt;/References&gt;&lt;/Group&gt;&lt;/Citation&gt;_x000a_"/>
    <w:docVar w:name="NE.Ref{F74D86AA-248D-4E6C-AC90-3DCF0932C060}" w:val=" ADDIN NE.Ref.{F74D86AA-248D-4E6C-AC90-3DCF0932C060}&lt;Citation SecTmpl=&quot;1&quot;&gt;&lt;Group&gt;&lt;References&gt;&lt;Item&gt;&lt;ID&gt;473&lt;/ID&gt;&lt;UID&gt;{03B1998F-D9D7-4C64-B5F3-775AFF0A8444}&lt;/UID&gt;&lt;Title&gt;Livelihood resilience and adaptive capacity: a critical conceptual review&lt;/Title&gt;&lt;Template&gt;Journal Article&lt;/Template&gt;&lt;Star&gt;0&lt;/Star&gt;&lt;Tag&gt;0&lt;/Tag&gt;&lt;Author&gt;Nyamwanza, A M&lt;/Author&gt;&lt;Year&gt;2012&lt;/Year&gt;&lt;Details&gt;&lt;_accessed&gt;64586064&lt;/_accessed&gt;&lt;_created&gt;64060478&lt;/_created&gt;&lt;_image&gt;internal-pdf://2144439560/Nyamwanza-2012-Livelihood-resilience-and-adapt.pdf&lt;/_image&gt;&lt;_issue&gt;1&lt;/_issue&gt;&lt;_journal&gt;Jamba Journal of Disaster Risk Studies&lt;/_journal&gt;&lt;_label&gt;生计恢复力与福祉？&lt;/_label&gt;&lt;_modified&gt;64586064&lt;/_modified&gt;&lt;_pages&gt;1-6&lt;/_pages&gt;&lt;_short_title&gt;Livelihood resilience and adaptive capacity: a critical conceptual review&lt;/_short_title&gt;&lt;_volume&gt;4&lt;/_volume&gt;&lt;/Details&gt;&lt;Extra&gt;&lt;DBUID&gt;{BD8F6675-5345-4625-BBA4-8897723D22F5}&lt;/DBUID&gt;&lt;/Extra&gt;&lt;/Item&gt;&lt;/References&gt;&lt;/Group&gt;&lt;/Citation&gt;_x000a_"/>
    <w:docVar w:name="NE.Ref{FBFA7926-17C9-417F-A27C-212594EFAB37}" w:val=" ADDIN NE.Ref.{FBFA7926-17C9-417F-A27C-212594EFAB37}&lt;Citation&gt;&lt;Group&gt;&lt;References&gt;&lt;Item&gt;&lt;ID&gt;667&lt;/ID&gt;&lt;UID&gt;{D0EF1CA9-6023-4869-A11A-59ECDA448804}&lt;/UID&gt;&lt;Title&gt;生计资本对农户林地利用及收入的影响研究&lt;/Title&gt;&lt;Template&gt;Thesis&lt;/Template&gt;&lt;Star&gt;0&lt;/Star&gt;&lt;Tag&gt;0&lt;/Tag&gt;&lt;Author&gt;张旭锐&lt;/Author&gt;&lt;Year&gt;2020&lt;/Year&gt;&lt;Details&gt;&lt;_accessed&gt;64537545&lt;/_accessed&gt;&lt;_created&gt;64144221&lt;/_created&gt;&lt;_db_provider&gt;CNKI&lt;/_db_provider&gt;&lt;_keywords&gt;生计资本;;林地利用;;收入;;农户&lt;/_keywords&gt;&lt;_modified&gt;64547461&lt;/_modified&gt;&lt;_publisher&gt;西北农林科技大学&lt;/_publisher&gt;&lt;_tertiary_author&gt;高建中&lt;/_tertiary_author&gt;&lt;_type_work&gt;博士&lt;/_type_work&gt;&lt;_url&gt;https://bar.cnki.net/bar/download/order?id=jBGETXBNdPImvx70aLAuJKPd5%2bH15oC8gGzxs3xdBxiXNLAXg%2fC3jWhB4BgHFEr%2fEBmWIvuz0Y15xF283Q1NvEc1QZmxs35%2fX4wQbniaMu763KDnJ7T691%2b%2fxqKkU%2fIu4ZUGb5jRKRpG58MRjqGFG%2bLkNvX1T1oyTzo0iPXtbtkyI%2bMzzRbqad9DSrV8HgXo80fMPSb%2fmXF0UlcQU4a0TTJ%2bvdKwmX6Xl%2bVwZAGQST4%3d _x000d__x000a_https://bar.cnki.net/bar/download/order?id=jBGETXBNdPImvx70aLAuJKPd5%2bH15oC8gGzxs3xdBxiXNLAXg%2fC3jWhB4BgHFEr%2fEBmWIvuz0Y15xF283Q1NvEc1QZmxs35%2fX4wQbniaMu763KDnJ7T691%2b%2fxqKkU%2fIu4ZUGb5jRKRpG58MRjqGFG%2bLkNvX1T1oyTzo0iPXtbtkyI%2bMzzRbqad9DSrV8HgXosZybgLjgemMVw2Fk3VE6WV5irXQdptsUMBKCP%2fj64%2bzY9Rh0t1%2fsHPJmvPacC%2fDw _x000d__x000a_&lt;/_url&gt;&lt;_translated_author&gt;Zhang, Xurui&lt;/_translated_author&gt;&lt;_translated_tertiary_author&gt;Gao, Jianzhong&lt;/_translated_tertiary_author&gt;&lt;/Details&gt;&lt;Extra&gt;&lt;DBUID&gt;{BD8F6675-5345-4625-BBA4-8897723D22F5}&lt;/DBUID&gt;&lt;/Extra&gt;&lt;/Item&gt;&lt;/References&gt;&lt;/Group&gt;&lt;/Citation&gt;_x000a_"/>
    <w:docVar w:name="ne_docsoft" w:val="MSWord"/>
    <w:docVar w:name="ne_docversion" w:val="NoteExpress 2.0"/>
    <w:docVar w:name="ne_stylename" w:val="final"/>
  </w:docVars>
  <w:rsids>
    <w:rsidRoot w:val="00A66081"/>
    <w:rsid w:val="00000147"/>
    <w:rsid w:val="00000937"/>
    <w:rsid w:val="00001275"/>
    <w:rsid w:val="00001A5E"/>
    <w:rsid w:val="00001FF9"/>
    <w:rsid w:val="00001FFF"/>
    <w:rsid w:val="00002D12"/>
    <w:rsid w:val="000030E3"/>
    <w:rsid w:val="000036C8"/>
    <w:rsid w:val="000039FE"/>
    <w:rsid w:val="000049D7"/>
    <w:rsid w:val="00005B98"/>
    <w:rsid w:val="00005C1D"/>
    <w:rsid w:val="00006255"/>
    <w:rsid w:val="00006311"/>
    <w:rsid w:val="00007BD0"/>
    <w:rsid w:val="00007CA7"/>
    <w:rsid w:val="00007E2F"/>
    <w:rsid w:val="00012C45"/>
    <w:rsid w:val="000134B2"/>
    <w:rsid w:val="00013D9B"/>
    <w:rsid w:val="000148AD"/>
    <w:rsid w:val="00015235"/>
    <w:rsid w:val="000159FD"/>
    <w:rsid w:val="00015A52"/>
    <w:rsid w:val="0001644E"/>
    <w:rsid w:val="0001695E"/>
    <w:rsid w:val="00016AAD"/>
    <w:rsid w:val="00017426"/>
    <w:rsid w:val="000205BD"/>
    <w:rsid w:val="00022079"/>
    <w:rsid w:val="00022527"/>
    <w:rsid w:val="00023F60"/>
    <w:rsid w:val="00025651"/>
    <w:rsid w:val="00026EA8"/>
    <w:rsid w:val="0002707E"/>
    <w:rsid w:val="0003033B"/>
    <w:rsid w:val="00030604"/>
    <w:rsid w:val="00031997"/>
    <w:rsid w:val="0003233F"/>
    <w:rsid w:val="00033A09"/>
    <w:rsid w:val="00034857"/>
    <w:rsid w:val="00035F10"/>
    <w:rsid w:val="00035F38"/>
    <w:rsid w:val="000364EA"/>
    <w:rsid w:val="000367B2"/>
    <w:rsid w:val="00036B30"/>
    <w:rsid w:val="00037F54"/>
    <w:rsid w:val="00040F1E"/>
    <w:rsid w:val="00044841"/>
    <w:rsid w:val="000504EE"/>
    <w:rsid w:val="00050D31"/>
    <w:rsid w:val="000517B4"/>
    <w:rsid w:val="00052514"/>
    <w:rsid w:val="00053ADD"/>
    <w:rsid w:val="00054067"/>
    <w:rsid w:val="00056162"/>
    <w:rsid w:val="00056207"/>
    <w:rsid w:val="0005678F"/>
    <w:rsid w:val="00056E0B"/>
    <w:rsid w:val="000574B3"/>
    <w:rsid w:val="000575A3"/>
    <w:rsid w:val="00057AC8"/>
    <w:rsid w:val="000618B9"/>
    <w:rsid w:val="0006275E"/>
    <w:rsid w:val="00064B76"/>
    <w:rsid w:val="00066E29"/>
    <w:rsid w:val="0007000D"/>
    <w:rsid w:val="00070B6D"/>
    <w:rsid w:val="00070B85"/>
    <w:rsid w:val="00073A4C"/>
    <w:rsid w:val="00073DD5"/>
    <w:rsid w:val="00074B25"/>
    <w:rsid w:val="00074BC8"/>
    <w:rsid w:val="0007538F"/>
    <w:rsid w:val="0007564C"/>
    <w:rsid w:val="00076415"/>
    <w:rsid w:val="00077698"/>
    <w:rsid w:val="00077D32"/>
    <w:rsid w:val="00080604"/>
    <w:rsid w:val="00080AD6"/>
    <w:rsid w:val="000812E9"/>
    <w:rsid w:val="0008139F"/>
    <w:rsid w:val="00081F40"/>
    <w:rsid w:val="00081FAC"/>
    <w:rsid w:val="000828C5"/>
    <w:rsid w:val="00083FFD"/>
    <w:rsid w:val="00085003"/>
    <w:rsid w:val="00085E4F"/>
    <w:rsid w:val="0008606C"/>
    <w:rsid w:val="00086378"/>
    <w:rsid w:val="000869FF"/>
    <w:rsid w:val="00090008"/>
    <w:rsid w:val="00091A57"/>
    <w:rsid w:val="00092614"/>
    <w:rsid w:val="00094447"/>
    <w:rsid w:val="00095233"/>
    <w:rsid w:val="000958CB"/>
    <w:rsid w:val="00095FB0"/>
    <w:rsid w:val="00097C59"/>
    <w:rsid w:val="000A0231"/>
    <w:rsid w:val="000A0BE2"/>
    <w:rsid w:val="000A16D2"/>
    <w:rsid w:val="000A1881"/>
    <w:rsid w:val="000A1AAD"/>
    <w:rsid w:val="000A3347"/>
    <w:rsid w:val="000A4181"/>
    <w:rsid w:val="000A4B88"/>
    <w:rsid w:val="000A594C"/>
    <w:rsid w:val="000A5AE0"/>
    <w:rsid w:val="000A717A"/>
    <w:rsid w:val="000A7DED"/>
    <w:rsid w:val="000B0411"/>
    <w:rsid w:val="000B0567"/>
    <w:rsid w:val="000B0693"/>
    <w:rsid w:val="000B1013"/>
    <w:rsid w:val="000B1727"/>
    <w:rsid w:val="000B1C01"/>
    <w:rsid w:val="000B2069"/>
    <w:rsid w:val="000B22FB"/>
    <w:rsid w:val="000B7542"/>
    <w:rsid w:val="000B7675"/>
    <w:rsid w:val="000B7C48"/>
    <w:rsid w:val="000C1091"/>
    <w:rsid w:val="000C1292"/>
    <w:rsid w:val="000C1383"/>
    <w:rsid w:val="000C13AB"/>
    <w:rsid w:val="000C1CB8"/>
    <w:rsid w:val="000C2064"/>
    <w:rsid w:val="000C2BC2"/>
    <w:rsid w:val="000C3C20"/>
    <w:rsid w:val="000C490D"/>
    <w:rsid w:val="000C49F8"/>
    <w:rsid w:val="000C5D07"/>
    <w:rsid w:val="000C7E15"/>
    <w:rsid w:val="000D1D09"/>
    <w:rsid w:val="000D2484"/>
    <w:rsid w:val="000D2B45"/>
    <w:rsid w:val="000D3E00"/>
    <w:rsid w:val="000D49F1"/>
    <w:rsid w:val="000D4E4D"/>
    <w:rsid w:val="000D6909"/>
    <w:rsid w:val="000D6EEC"/>
    <w:rsid w:val="000D77D8"/>
    <w:rsid w:val="000D7868"/>
    <w:rsid w:val="000D78DD"/>
    <w:rsid w:val="000E0235"/>
    <w:rsid w:val="000E0E50"/>
    <w:rsid w:val="000E276F"/>
    <w:rsid w:val="000E376D"/>
    <w:rsid w:val="000E3815"/>
    <w:rsid w:val="000E410F"/>
    <w:rsid w:val="000E4693"/>
    <w:rsid w:val="000E4BC2"/>
    <w:rsid w:val="000E5C34"/>
    <w:rsid w:val="000E6252"/>
    <w:rsid w:val="000E699E"/>
    <w:rsid w:val="000E7384"/>
    <w:rsid w:val="000E7D5B"/>
    <w:rsid w:val="000F0A92"/>
    <w:rsid w:val="000F242C"/>
    <w:rsid w:val="000F2732"/>
    <w:rsid w:val="000F2AD7"/>
    <w:rsid w:val="000F310B"/>
    <w:rsid w:val="000F351B"/>
    <w:rsid w:val="000F3670"/>
    <w:rsid w:val="000F48EB"/>
    <w:rsid w:val="000F4904"/>
    <w:rsid w:val="000F5E3E"/>
    <w:rsid w:val="000F6034"/>
    <w:rsid w:val="000F62FB"/>
    <w:rsid w:val="000F7DB6"/>
    <w:rsid w:val="000F7F03"/>
    <w:rsid w:val="000F7F79"/>
    <w:rsid w:val="00100296"/>
    <w:rsid w:val="00100D80"/>
    <w:rsid w:val="001010A7"/>
    <w:rsid w:val="001013B5"/>
    <w:rsid w:val="00101C75"/>
    <w:rsid w:val="001026D0"/>
    <w:rsid w:val="001027B0"/>
    <w:rsid w:val="00102A92"/>
    <w:rsid w:val="0010353F"/>
    <w:rsid w:val="001040D5"/>
    <w:rsid w:val="00104218"/>
    <w:rsid w:val="001049D2"/>
    <w:rsid w:val="0010574E"/>
    <w:rsid w:val="00106059"/>
    <w:rsid w:val="001079B2"/>
    <w:rsid w:val="00107E0B"/>
    <w:rsid w:val="0011060B"/>
    <w:rsid w:val="001117A3"/>
    <w:rsid w:val="0011223C"/>
    <w:rsid w:val="00113250"/>
    <w:rsid w:val="00113955"/>
    <w:rsid w:val="001139DD"/>
    <w:rsid w:val="00115518"/>
    <w:rsid w:val="00117634"/>
    <w:rsid w:val="0012000D"/>
    <w:rsid w:val="00120864"/>
    <w:rsid w:val="001226E6"/>
    <w:rsid w:val="0012270E"/>
    <w:rsid w:val="00122AB3"/>
    <w:rsid w:val="00122FC2"/>
    <w:rsid w:val="00123582"/>
    <w:rsid w:val="00123B81"/>
    <w:rsid w:val="0012684F"/>
    <w:rsid w:val="001269F2"/>
    <w:rsid w:val="00126CA9"/>
    <w:rsid w:val="0012740D"/>
    <w:rsid w:val="00127850"/>
    <w:rsid w:val="00131BEC"/>
    <w:rsid w:val="00131D82"/>
    <w:rsid w:val="00132068"/>
    <w:rsid w:val="0013376C"/>
    <w:rsid w:val="0013598D"/>
    <w:rsid w:val="001374A7"/>
    <w:rsid w:val="0014003D"/>
    <w:rsid w:val="001404DE"/>
    <w:rsid w:val="00140610"/>
    <w:rsid w:val="0014081A"/>
    <w:rsid w:val="00140CE7"/>
    <w:rsid w:val="001426F0"/>
    <w:rsid w:val="00144C6E"/>
    <w:rsid w:val="00144D80"/>
    <w:rsid w:val="00145A58"/>
    <w:rsid w:val="00145FBE"/>
    <w:rsid w:val="00146492"/>
    <w:rsid w:val="00147AD6"/>
    <w:rsid w:val="00151331"/>
    <w:rsid w:val="001518EE"/>
    <w:rsid w:val="0015271A"/>
    <w:rsid w:val="00153327"/>
    <w:rsid w:val="001533C3"/>
    <w:rsid w:val="00153B9B"/>
    <w:rsid w:val="00153CBF"/>
    <w:rsid w:val="00154F94"/>
    <w:rsid w:val="00154FF2"/>
    <w:rsid w:val="00156011"/>
    <w:rsid w:val="00156658"/>
    <w:rsid w:val="00157E32"/>
    <w:rsid w:val="00157F28"/>
    <w:rsid w:val="00161185"/>
    <w:rsid w:val="00161FB3"/>
    <w:rsid w:val="0016234D"/>
    <w:rsid w:val="00162C49"/>
    <w:rsid w:val="001637BF"/>
    <w:rsid w:val="0016488D"/>
    <w:rsid w:val="00166408"/>
    <w:rsid w:val="0016684A"/>
    <w:rsid w:val="00167508"/>
    <w:rsid w:val="00167616"/>
    <w:rsid w:val="0017031C"/>
    <w:rsid w:val="0017054B"/>
    <w:rsid w:val="00170568"/>
    <w:rsid w:val="00170E40"/>
    <w:rsid w:val="0017137E"/>
    <w:rsid w:val="001715DB"/>
    <w:rsid w:val="001719FF"/>
    <w:rsid w:val="00171B7F"/>
    <w:rsid w:val="00172113"/>
    <w:rsid w:val="0017486B"/>
    <w:rsid w:val="00174CDD"/>
    <w:rsid w:val="00174FCB"/>
    <w:rsid w:val="001767A8"/>
    <w:rsid w:val="001776E9"/>
    <w:rsid w:val="00180018"/>
    <w:rsid w:val="0018057D"/>
    <w:rsid w:val="00180982"/>
    <w:rsid w:val="00181C79"/>
    <w:rsid w:val="001836D6"/>
    <w:rsid w:val="001844F6"/>
    <w:rsid w:val="00184BBE"/>
    <w:rsid w:val="00185B82"/>
    <w:rsid w:val="00186575"/>
    <w:rsid w:val="00187C81"/>
    <w:rsid w:val="001901B9"/>
    <w:rsid w:val="00190C31"/>
    <w:rsid w:val="00191513"/>
    <w:rsid w:val="00192282"/>
    <w:rsid w:val="00193985"/>
    <w:rsid w:val="001946F0"/>
    <w:rsid w:val="00196B64"/>
    <w:rsid w:val="001972B6"/>
    <w:rsid w:val="001A01E0"/>
    <w:rsid w:val="001A1159"/>
    <w:rsid w:val="001A1329"/>
    <w:rsid w:val="001A1E5B"/>
    <w:rsid w:val="001A3AEC"/>
    <w:rsid w:val="001A42F1"/>
    <w:rsid w:val="001A4FA7"/>
    <w:rsid w:val="001A4FB4"/>
    <w:rsid w:val="001A5BB5"/>
    <w:rsid w:val="001A5E04"/>
    <w:rsid w:val="001B0C54"/>
    <w:rsid w:val="001B103C"/>
    <w:rsid w:val="001B2974"/>
    <w:rsid w:val="001B2F08"/>
    <w:rsid w:val="001B38FF"/>
    <w:rsid w:val="001B5D3A"/>
    <w:rsid w:val="001B7515"/>
    <w:rsid w:val="001C185F"/>
    <w:rsid w:val="001C23AC"/>
    <w:rsid w:val="001C2A75"/>
    <w:rsid w:val="001C2F13"/>
    <w:rsid w:val="001C39DC"/>
    <w:rsid w:val="001C3D43"/>
    <w:rsid w:val="001C55F5"/>
    <w:rsid w:val="001C64CC"/>
    <w:rsid w:val="001D0736"/>
    <w:rsid w:val="001D12D8"/>
    <w:rsid w:val="001D2577"/>
    <w:rsid w:val="001D2F79"/>
    <w:rsid w:val="001D3171"/>
    <w:rsid w:val="001D4FD0"/>
    <w:rsid w:val="001D502D"/>
    <w:rsid w:val="001D649C"/>
    <w:rsid w:val="001D7515"/>
    <w:rsid w:val="001E032E"/>
    <w:rsid w:val="001E098C"/>
    <w:rsid w:val="001E0FE8"/>
    <w:rsid w:val="001E1BD3"/>
    <w:rsid w:val="001E2E02"/>
    <w:rsid w:val="001E3AE5"/>
    <w:rsid w:val="001E4D11"/>
    <w:rsid w:val="001E5130"/>
    <w:rsid w:val="001E52E5"/>
    <w:rsid w:val="001E663E"/>
    <w:rsid w:val="001E7567"/>
    <w:rsid w:val="001F096E"/>
    <w:rsid w:val="001F0B03"/>
    <w:rsid w:val="001F17F6"/>
    <w:rsid w:val="001F32D1"/>
    <w:rsid w:val="001F362C"/>
    <w:rsid w:val="001F3A0F"/>
    <w:rsid w:val="001F3C26"/>
    <w:rsid w:val="001F4489"/>
    <w:rsid w:val="001F47A6"/>
    <w:rsid w:val="001F787A"/>
    <w:rsid w:val="00200AB4"/>
    <w:rsid w:val="00200AD1"/>
    <w:rsid w:val="002011B5"/>
    <w:rsid w:val="002016BC"/>
    <w:rsid w:val="00201FD6"/>
    <w:rsid w:val="002020E9"/>
    <w:rsid w:val="00202289"/>
    <w:rsid w:val="00202C0C"/>
    <w:rsid w:val="00203147"/>
    <w:rsid w:val="0020428C"/>
    <w:rsid w:val="00207BEC"/>
    <w:rsid w:val="00211275"/>
    <w:rsid w:val="0021138A"/>
    <w:rsid w:val="002145ED"/>
    <w:rsid w:val="00214658"/>
    <w:rsid w:val="00214B03"/>
    <w:rsid w:val="0021631E"/>
    <w:rsid w:val="00216501"/>
    <w:rsid w:val="00216552"/>
    <w:rsid w:val="00216E42"/>
    <w:rsid w:val="00216F69"/>
    <w:rsid w:val="00217D57"/>
    <w:rsid w:val="002201FF"/>
    <w:rsid w:val="002218F3"/>
    <w:rsid w:val="00221978"/>
    <w:rsid w:val="002221A9"/>
    <w:rsid w:val="00222B2B"/>
    <w:rsid w:val="002237BC"/>
    <w:rsid w:val="00224E20"/>
    <w:rsid w:val="002250C9"/>
    <w:rsid w:val="0022539A"/>
    <w:rsid w:val="002272F7"/>
    <w:rsid w:val="002274AB"/>
    <w:rsid w:val="00231442"/>
    <w:rsid w:val="0023605A"/>
    <w:rsid w:val="00236B4B"/>
    <w:rsid w:val="0023769E"/>
    <w:rsid w:val="002410DA"/>
    <w:rsid w:val="00241537"/>
    <w:rsid w:val="0024234C"/>
    <w:rsid w:val="002427BE"/>
    <w:rsid w:val="0024381B"/>
    <w:rsid w:val="00245C4D"/>
    <w:rsid w:val="00245FBE"/>
    <w:rsid w:val="00246472"/>
    <w:rsid w:val="00247F7E"/>
    <w:rsid w:val="0025165E"/>
    <w:rsid w:val="002517C5"/>
    <w:rsid w:val="00251948"/>
    <w:rsid w:val="00251D6E"/>
    <w:rsid w:val="00252E8F"/>
    <w:rsid w:val="0025353B"/>
    <w:rsid w:val="002536FD"/>
    <w:rsid w:val="00253A88"/>
    <w:rsid w:val="0025488E"/>
    <w:rsid w:val="0025545D"/>
    <w:rsid w:val="00255B52"/>
    <w:rsid w:val="0025624F"/>
    <w:rsid w:val="0025648C"/>
    <w:rsid w:val="002579AE"/>
    <w:rsid w:val="0026049F"/>
    <w:rsid w:val="00260C6B"/>
    <w:rsid w:val="00262889"/>
    <w:rsid w:val="00264030"/>
    <w:rsid w:val="0026581A"/>
    <w:rsid w:val="00266608"/>
    <w:rsid w:val="00267807"/>
    <w:rsid w:val="0027092F"/>
    <w:rsid w:val="00271447"/>
    <w:rsid w:val="00272FAA"/>
    <w:rsid w:val="00272FEE"/>
    <w:rsid w:val="002742D8"/>
    <w:rsid w:val="00274DC3"/>
    <w:rsid w:val="0027566B"/>
    <w:rsid w:val="002760ED"/>
    <w:rsid w:val="00276BE1"/>
    <w:rsid w:val="00277858"/>
    <w:rsid w:val="00277979"/>
    <w:rsid w:val="00281016"/>
    <w:rsid w:val="002819FD"/>
    <w:rsid w:val="00282FA0"/>
    <w:rsid w:val="00284DAE"/>
    <w:rsid w:val="00284FDF"/>
    <w:rsid w:val="00286B45"/>
    <w:rsid w:val="0028723E"/>
    <w:rsid w:val="002878E5"/>
    <w:rsid w:val="002924EA"/>
    <w:rsid w:val="0029274D"/>
    <w:rsid w:val="002942CE"/>
    <w:rsid w:val="00294F09"/>
    <w:rsid w:val="00294FC2"/>
    <w:rsid w:val="002954F9"/>
    <w:rsid w:val="00295FF4"/>
    <w:rsid w:val="0029609E"/>
    <w:rsid w:val="0029612E"/>
    <w:rsid w:val="00296DA6"/>
    <w:rsid w:val="00297442"/>
    <w:rsid w:val="00297F93"/>
    <w:rsid w:val="002A128C"/>
    <w:rsid w:val="002A2A28"/>
    <w:rsid w:val="002A4BBF"/>
    <w:rsid w:val="002A5506"/>
    <w:rsid w:val="002B04FE"/>
    <w:rsid w:val="002B0A4D"/>
    <w:rsid w:val="002B0B78"/>
    <w:rsid w:val="002B0DE2"/>
    <w:rsid w:val="002B1057"/>
    <w:rsid w:val="002B17A1"/>
    <w:rsid w:val="002B1BBC"/>
    <w:rsid w:val="002B2568"/>
    <w:rsid w:val="002B2716"/>
    <w:rsid w:val="002B2A3A"/>
    <w:rsid w:val="002B6935"/>
    <w:rsid w:val="002B7558"/>
    <w:rsid w:val="002B7E8E"/>
    <w:rsid w:val="002C0296"/>
    <w:rsid w:val="002C11D3"/>
    <w:rsid w:val="002C157D"/>
    <w:rsid w:val="002C20CD"/>
    <w:rsid w:val="002C2C3E"/>
    <w:rsid w:val="002C3439"/>
    <w:rsid w:val="002C34C6"/>
    <w:rsid w:val="002C3644"/>
    <w:rsid w:val="002C40E5"/>
    <w:rsid w:val="002C677B"/>
    <w:rsid w:val="002C7428"/>
    <w:rsid w:val="002C79D8"/>
    <w:rsid w:val="002D0004"/>
    <w:rsid w:val="002D0836"/>
    <w:rsid w:val="002D2759"/>
    <w:rsid w:val="002D2780"/>
    <w:rsid w:val="002D2DBB"/>
    <w:rsid w:val="002D2DE8"/>
    <w:rsid w:val="002D315F"/>
    <w:rsid w:val="002D5564"/>
    <w:rsid w:val="002D5ECB"/>
    <w:rsid w:val="002D63D3"/>
    <w:rsid w:val="002D6533"/>
    <w:rsid w:val="002D6657"/>
    <w:rsid w:val="002D6AE0"/>
    <w:rsid w:val="002D7661"/>
    <w:rsid w:val="002D775C"/>
    <w:rsid w:val="002D7915"/>
    <w:rsid w:val="002E02E4"/>
    <w:rsid w:val="002E04F7"/>
    <w:rsid w:val="002E0BBB"/>
    <w:rsid w:val="002E1270"/>
    <w:rsid w:val="002E2915"/>
    <w:rsid w:val="002E382A"/>
    <w:rsid w:val="002E4B73"/>
    <w:rsid w:val="002E4D35"/>
    <w:rsid w:val="002E56F5"/>
    <w:rsid w:val="002E729E"/>
    <w:rsid w:val="002E7CF3"/>
    <w:rsid w:val="002E7E8C"/>
    <w:rsid w:val="002F01E5"/>
    <w:rsid w:val="002F072B"/>
    <w:rsid w:val="002F0791"/>
    <w:rsid w:val="002F0ECF"/>
    <w:rsid w:val="002F110D"/>
    <w:rsid w:val="002F2B80"/>
    <w:rsid w:val="002F46E9"/>
    <w:rsid w:val="002F52BF"/>
    <w:rsid w:val="002F5656"/>
    <w:rsid w:val="002F79DB"/>
    <w:rsid w:val="002F7C1E"/>
    <w:rsid w:val="002F7E69"/>
    <w:rsid w:val="002F7F73"/>
    <w:rsid w:val="0030004A"/>
    <w:rsid w:val="003029BF"/>
    <w:rsid w:val="00303B2E"/>
    <w:rsid w:val="00303BCE"/>
    <w:rsid w:val="00303D6E"/>
    <w:rsid w:val="00304873"/>
    <w:rsid w:val="00304D64"/>
    <w:rsid w:val="003056E6"/>
    <w:rsid w:val="003058A7"/>
    <w:rsid w:val="0030603D"/>
    <w:rsid w:val="00306D55"/>
    <w:rsid w:val="00307690"/>
    <w:rsid w:val="0030797F"/>
    <w:rsid w:val="00310D9B"/>
    <w:rsid w:val="00311711"/>
    <w:rsid w:val="00311EE5"/>
    <w:rsid w:val="00312A84"/>
    <w:rsid w:val="00312EC6"/>
    <w:rsid w:val="00313282"/>
    <w:rsid w:val="00315B54"/>
    <w:rsid w:val="003171F4"/>
    <w:rsid w:val="003211A4"/>
    <w:rsid w:val="0032262D"/>
    <w:rsid w:val="0032293F"/>
    <w:rsid w:val="00322F9F"/>
    <w:rsid w:val="003268AC"/>
    <w:rsid w:val="00327978"/>
    <w:rsid w:val="00327E7B"/>
    <w:rsid w:val="003302EA"/>
    <w:rsid w:val="00330AE1"/>
    <w:rsid w:val="0033135E"/>
    <w:rsid w:val="003319BB"/>
    <w:rsid w:val="0033305B"/>
    <w:rsid w:val="0033312D"/>
    <w:rsid w:val="003331F2"/>
    <w:rsid w:val="00333297"/>
    <w:rsid w:val="0033332D"/>
    <w:rsid w:val="0033394C"/>
    <w:rsid w:val="003358D0"/>
    <w:rsid w:val="00335B71"/>
    <w:rsid w:val="00335BD6"/>
    <w:rsid w:val="00336CEE"/>
    <w:rsid w:val="003376D8"/>
    <w:rsid w:val="0033799D"/>
    <w:rsid w:val="00337C82"/>
    <w:rsid w:val="00337E18"/>
    <w:rsid w:val="00341183"/>
    <w:rsid w:val="00341353"/>
    <w:rsid w:val="003419EA"/>
    <w:rsid w:val="00342283"/>
    <w:rsid w:val="003431F9"/>
    <w:rsid w:val="003433F7"/>
    <w:rsid w:val="00343505"/>
    <w:rsid w:val="00343B44"/>
    <w:rsid w:val="00343C2A"/>
    <w:rsid w:val="0034451C"/>
    <w:rsid w:val="00344E0C"/>
    <w:rsid w:val="0034576C"/>
    <w:rsid w:val="0034654F"/>
    <w:rsid w:val="003469D9"/>
    <w:rsid w:val="00346EDF"/>
    <w:rsid w:val="003470A3"/>
    <w:rsid w:val="00347CAB"/>
    <w:rsid w:val="003504FD"/>
    <w:rsid w:val="0035159C"/>
    <w:rsid w:val="00352C03"/>
    <w:rsid w:val="00353445"/>
    <w:rsid w:val="00354A31"/>
    <w:rsid w:val="00357C8C"/>
    <w:rsid w:val="00357DAB"/>
    <w:rsid w:val="00361663"/>
    <w:rsid w:val="003617DB"/>
    <w:rsid w:val="00361EB6"/>
    <w:rsid w:val="00362E93"/>
    <w:rsid w:val="00362EC1"/>
    <w:rsid w:val="00363DD9"/>
    <w:rsid w:val="00363F65"/>
    <w:rsid w:val="00364A7A"/>
    <w:rsid w:val="00364CF8"/>
    <w:rsid w:val="00365C76"/>
    <w:rsid w:val="0036667F"/>
    <w:rsid w:val="00370DCF"/>
    <w:rsid w:val="00371DDA"/>
    <w:rsid w:val="00372858"/>
    <w:rsid w:val="00373486"/>
    <w:rsid w:val="003746F0"/>
    <w:rsid w:val="00374B3E"/>
    <w:rsid w:val="00375063"/>
    <w:rsid w:val="00375BA3"/>
    <w:rsid w:val="0037677E"/>
    <w:rsid w:val="00377605"/>
    <w:rsid w:val="00377822"/>
    <w:rsid w:val="00381A1D"/>
    <w:rsid w:val="003825DD"/>
    <w:rsid w:val="00382637"/>
    <w:rsid w:val="00384040"/>
    <w:rsid w:val="00384164"/>
    <w:rsid w:val="00384579"/>
    <w:rsid w:val="00384656"/>
    <w:rsid w:val="00385235"/>
    <w:rsid w:val="0038646B"/>
    <w:rsid w:val="0038717E"/>
    <w:rsid w:val="0038785F"/>
    <w:rsid w:val="00390371"/>
    <w:rsid w:val="00392547"/>
    <w:rsid w:val="00393FBA"/>
    <w:rsid w:val="00394237"/>
    <w:rsid w:val="00394430"/>
    <w:rsid w:val="00394A89"/>
    <w:rsid w:val="00396D56"/>
    <w:rsid w:val="003A1754"/>
    <w:rsid w:val="003A225C"/>
    <w:rsid w:val="003A25AE"/>
    <w:rsid w:val="003A28BB"/>
    <w:rsid w:val="003A3F34"/>
    <w:rsid w:val="003A47EF"/>
    <w:rsid w:val="003A4A69"/>
    <w:rsid w:val="003A4F9F"/>
    <w:rsid w:val="003A515D"/>
    <w:rsid w:val="003A6203"/>
    <w:rsid w:val="003A7069"/>
    <w:rsid w:val="003B0881"/>
    <w:rsid w:val="003B08E7"/>
    <w:rsid w:val="003B0F27"/>
    <w:rsid w:val="003B0FF0"/>
    <w:rsid w:val="003B10A2"/>
    <w:rsid w:val="003B227F"/>
    <w:rsid w:val="003B2650"/>
    <w:rsid w:val="003B2D67"/>
    <w:rsid w:val="003B303F"/>
    <w:rsid w:val="003B467D"/>
    <w:rsid w:val="003B5739"/>
    <w:rsid w:val="003B75B2"/>
    <w:rsid w:val="003C04AC"/>
    <w:rsid w:val="003C1123"/>
    <w:rsid w:val="003C1883"/>
    <w:rsid w:val="003C1D15"/>
    <w:rsid w:val="003C2901"/>
    <w:rsid w:val="003C2AC2"/>
    <w:rsid w:val="003C2C70"/>
    <w:rsid w:val="003C4F8B"/>
    <w:rsid w:val="003C5F9E"/>
    <w:rsid w:val="003C6135"/>
    <w:rsid w:val="003C7A64"/>
    <w:rsid w:val="003C7CFD"/>
    <w:rsid w:val="003D0512"/>
    <w:rsid w:val="003D1D5A"/>
    <w:rsid w:val="003D4184"/>
    <w:rsid w:val="003D41B1"/>
    <w:rsid w:val="003D4226"/>
    <w:rsid w:val="003D4639"/>
    <w:rsid w:val="003D5B90"/>
    <w:rsid w:val="003D6DDC"/>
    <w:rsid w:val="003D743E"/>
    <w:rsid w:val="003D7448"/>
    <w:rsid w:val="003E0D1B"/>
    <w:rsid w:val="003E3430"/>
    <w:rsid w:val="003E3439"/>
    <w:rsid w:val="003E47E9"/>
    <w:rsid w:val="003E543B"/>
    <w:rsid w:val="003E633E"/>
    <w:rsid w:val="003E6BC6"/>
    <w:rsid w:val="003F15B5"/>
    <w:rsid w:val="003F1B82"/>
    <w:rsid w:val="003F1C13"/>
    <w:rsid w:val="003F3701"/>
    <w:rsid w:val="003F378B"/>
    <w:rsid w:val="003F3A9D"/>
    <w:rsid w:val="003F4CF6"/>
    <w:rsid w:val="003F57E0"/>
    <w:rsid w:val="003F65CB"/>
    <w:rsid w:val="003F7E9F"/>
    <w:rsid w:val="003F7FCE"/>
    <w:rsid w:val="00401B57"/>
    <w:rsid w:val="00401EEB"/>
    <w:rsid w:val="00401F2F"/>
    <w:rsid w:val="0040208E"/>
    <w:rsid w:val="00405C8E"/>
    <w:rsid w:val="00405FCE"/>
    <w:rsid w:val="00410160"/>
    <w:rsid w:val="00410C2A"/>
    <w:rsid w:val="00410F97"/>
    <w:rsid w:val="0041113E"/>
    <w:rsid w:val="00411BD9"/>
    <w:rsid w:val="00412CFA"/>
    <w:rsid w:val="00415194"/>
    <w:rsid w:val="00415824"/>
    <w:rsid w:val="0041586C"/>
    <w:rsid w:val="00415FC3"/>
    <w:rsid w:val="004165D4"/>
    <w:rsid w:val="00420428"/>
    <w:rsid w:val="004206E8"/>
    <w:rsid w:val="0042073A"/>
    <w:rsid w:val="00421596"/>
    <w:rsid w:val="00422FE9"/>
    <w:rsid w:val="00423002"/>
    <w:rsid w:val="00424AB0"/>
    <w:rsid w:val="0042532B"/>
    <w:rsid w:val="0042574A"/>
    <w:rsid w:val="00425D8F"/>
    <w:rsid w:val="00425DA6"/>
    <w:rsid w:val="00426E40"/>
    <w:rsid w:val="00426EB6"/>
    <w:rsid w:val="00427801"/>
    <w:rsid w:val="00427E62"/>
    <w:rsid w:val="00427F45"/>
    <w:rsid w:val="004312F8"/>
    <w:rsid w:val="00431AB0"/>
    <w:rsid w:val="00433A39"/>
    <w:rsid w:val="00433E2F"/>
    <w:rsid w:val="004365E8"/>
    <w:rsid w:val="0043681A"/>
    <w:rsid w:val="00437850"/>
    <w:rsid w:val="00437C8F"/>
    <w:rsid w:val="004404EF"/>
    <w:rsid w:val="0044120F"/>
    <w:rsid w:val="00441315"/>
    <w:rsid w:val="004420AE"/>
    <w:rsid w:val="00442FFA"/>
    <w:rsid w:val="0044363E"/>
    <w:rsid w:val="004439E9"/>
    <w:rsid w:val="00446155"/>
    <w:rsid w:val="00450B23"/>
    <w:rsid w:val="00451589"/>
    <w:rsid w:val="0045385C"/>
    <w:rsid w:val="004557F2"/>
    <w:rsid w:val="00456A25"/>
    <w:rsid w:val="00457919"/>
    <w:rsid w:val="00460CD8"/>
    <w:rsid w:val="00461A92"/>
    <w:rsid w:val="00462378"/>
    <w:rsid w:val="004623AF"/>
    <w:rsid w:val="00463BDA"/>
    <w:rsid w:val="004645A8"/>
    <w:rsid w:val="00465B85"/>
    <w:rsid w:val="004670BC"/>
    <w:rsid w:val="004679B0"/>
    <w:rsid w:val="004703B9"/>
    <w:rsid w:val="0047068D"/>
    <w:rsid w:val="0047256F"/>
    <w:rsid w:val="00473FFA"/>
    <w:rsid w:val="004765DA"/>
    <w:rsid w:val="00476B91"/>
    <w:rsid w:val="00476DBA"/>
    <w:rsid w:val="004779E6"/>
    <w:rsid w:val="00480188"/>
    <w:rsid w:val="00480CDC"/>
    <w:rsid w:val="00481820"/>
    <w:rsid w:val="00481B45"/>
    <w:rsid w:val="004836BA"/>
    <w:rsid w:val="004857FB"/>
    <w:rsid w:val="004858DC"/>
    <w:rsid w:val="00486DDA"/>
    <w:rsid w:val="0048707E"/>
    <w:rsid w:val="0048726B"/>
    <w:rsid w:val="00492757"/>
    <w:rsid w:val="0049299C"/>
    <w:rsid w:val="00492BFF"/>
    <w:rsid w:val="00492E86"/>
    <w:rsid w:val="004933A3"/>
    <w:rsid w:val="0049343D"/>
    <w:rsid w:val="00493C7E"/>
    <w:rsid w:val="00494AA0"/>
    <w:rsid w:val="004A0B5F"/>
    <w:rsid w:val="004A1F7A"/>
    <w:rsid w:val="004A26F5"/>
    <w:rsid w:val="004A547E"/>
    <w:rsid w:val="004B1DC7"/>
    <w:rsid w:val="004B1F7A"/>
    <w:rsid w:val="004B1FD2"/>
    <w:rsid w:val="004B29D7"/>
    <w:rsid w:val="004B359A"/>
    <w:rsid w:val="004B46AE"/>
    <w:rsid w:val="004B50E5"/>
    <w:rsid w:val="004B5B1A"/>
    <w:rsid w:val="004B5C62"/>
    <w:rsid w:val="004B7800"/>
    <w:rsid w:val="004C0100"/>
    <w:rsid w:val="004C1456"/>
    <w:rsid w:val="004C1974"/>
    <w:rsid w:val="004C3A1D"/>
    <w:rsid w:val="004C4D4F"/>
    <w:rsid w:val="004C5102"/>
    <w:rsid w:val="004C6401"/>
    <w:rsid w:val="004C6638"/>
    <w:rsid w:val="004C7F22"/>
    <w:rsid w:val="004D1500"/>
    <w:rsid w:val="004D19B7"/>
    <w:rsid w:val="004D2530"/>
    <w:rsid w:val="004D34C3"/>
    <w:rsid w:val="004D386B"/>
    <w:rsid w:val="004E0B7C"/>
    <w:rsid w:val="004E0F10"/>
    <w:rsid w:val="004E2A02"/>
    <w:rsid w:val="004E323D"/>
    <w:rsid w:val="004E3AFF"/>
    <w:rsid w:val="004E429E"/>
    <w:rsid w:val="004E68BA"/>
    <w:rsid w:val="004E78B3"/>
    <w:rsid w:val="004F1B36"/>
    <w:rsid w:val="004F25DA"/>
    <w:rsid w:val="004F27E3"/>
    <w:rsid w:val="004F2C5F"/>
    <w:rsid w:val="004F33E9"/>
    <w:rsid w:val="004F3627"/>
    <w:rsid w:val="004F6CA8"/>
    <w:rsid w:val="004F6E0B"/>
    <w:rsid w:val="004F71CA"/>
    <w:rsid w:val="004F722D"/>
    <w:rsid w:val="00501A19"/>
    <w:rsid w:val="00502385"/>
    <w:rsid w:val="00503F4B"/>
    <w:rsid w:val="005053D9"/>
    <w:rsid w:val="00505D14"/>
    <w:rsid w:val="00505D6C"/>
    <w:rsid w:val="00506163"/>
    <w:rsid w:val="00510651"/>
    <w:rsid w:val="0051098B"/>
    <w:rsid w:val="005112C5"/>
    <w:rsid w:val="005117DE"/>
    <w:rsid w:val="00511BBD"/>
    <w:rsid w:val="00512400"/>
    <w:rsid w:val="005131E1"/>
    <w:rsid w:val="00513CC1"/>
    <w:rsid w:val="005147BC"/>
    <w:rsid w:val="00515632"/>
    <w:rsid w:val="00516732"/>
    <w:rsid w:val="0051684A"/>
    <w:rsid w:val="0051716C"/>
    <w:rsid w:val="005178F9"/>
    <w:rsid w:val="00517AB1"/>
    <w:rsid w:val="00517CAA"/>
    <w:rsid w:val="00517EA0"/>
    <w:rsid w:val="00520061"/>
    <w:rsid w:val="00520717"/>
    <w:rsid w:val="00521D9B"/>
    <w:rsid w:val="0052208E"/>
    <w:rsid w:val="005220E2"/>
    <w:rsid w:val="0052386A"/>
    <w:rsid w:val="00524D2E"/>
    <w:rsid w:val="00525FA5"/>
    <w:rsid w:val="00526411"/>
    <w:rsid w:val="005279D0"/>
    <w:rsid w:val="0053068F"/>
    <w:rsid w:val="00532230"/>
    <w:rsid w:val="00532497"/>
    <w:rsid w:val="00532AF7"/>
    <w:rsid w:val="00532BF2"/>
    <w:rsid w:val="00532C97"/>
    <w:rsid w:val="0053338A"/>
    <w:rsid w:val="00533652"/>
    <w:rsid w:val="0053371F"/>
    <w:rsid w:val="00533EE2"/>
    <w:rsid w:val="00534C36"/>
    <w:rsid w:val="00534FF9"/>
    <w:rsid w:val="005360DD"/>
    <w:rsid w:val="00536CB2"/>
    <w:rsid w:val="0054013E"/>
    <w:rsid w:val="005403A8"/>
    <w:rsid w:val="00540744"/>
    <w:rsid w:val="00540936"/>
    <w:rsid w:val="00540EE3"/>
    <w:rsid w:val="00541B1A"/>
    <w:rsid w:val="0054266C"/>
    <w:rsid w:val="00542A22"/>
    <w:rsid w:val="00542F8B"/>
    <w:rsid w:val="005433E1"/>
    <w:rsid w:val="00543FBF"/>
    <w:rsid w:val="00545649"/>
    <w:rsid w:val="00545A77"/>
    <w:rsid w:val="005462CA"/>
    <w:rsid w:val="00546B8F"/>
    <w:rsid w:val="005474F3"/>
    <w:rsid w:val="00550491"/>
    <w:rsid w:val="00550C51"/>
    <w:rsid w:val="00551AC9"/>
    <w:rsid w:val="00551B8E"/>
    <w:rsid w:val="00551C52"/>
    <w:rsid w:val="0055206C"/>
    <w:rsid w:val="00553D48"/>
    <w:rsid w:val="00554EA3"/>
    <w:rsid w:val="00555A91"/>
    <w:rsid w:val="005615F8"/>
    <w:rsid w:val="00561D71"/>
    <w:rsid w:val="00562058"/>
    <w:rsid w:val="005640C2"/>
    <w:rsid w:val="0056433E"/>
    <w:rsid w:val="00565579"/>
    <w:rsid w:val="005657F5"/>
    <w:rsid w:val="0056719C"/>
    <w:rsid w:val="00567E3E"/>
    <w:rsid w:val="00570468"/>
    <w:rsid w:val="005715EF"/>
    <w:rsid w:val="0057385E"/>
    <w:rsid w:val="00573DA7"/>
    <w:rsid w:val="00574294"/>
    <w:rsid w:val="00574D9B"/>
    <w:rsid w:val="005759D0"/>
    <w:rsid w:val="00575A3D"/>
    <w:rsid w:val="0057606B"/>
    <w:rsid w:val="0057653C"/>
    <w:rsid w:val="005778E6"/>
    <w:rsid w:val="00580292"/>
    <w:rsid w:val="00581A33"/>
    <w:rsid w:val="00581B96"/>
    <w:rsid w:val="00582380"/>
    <w:rsid w:val="005830C1"/>
    <w:rsid w:val="00583280"/>
    <w:rsid w:val="0058393F"/>
    <w:rsid w:val="005853F3"/>
    <w:rsid w:val="005909B4"/>
    <w:rsid w:val="00591346"/>
    <w:rsid w:val="00591D44"/>
    <w:rsid w:val="005930EE"/>
    <w:rsid w:val="005931D0"/>
    <w:rsid w:val="00593D9B"/>
    <w:rsid w:val="005944D2"/>
    <w:rsid w:val="0059600E"/>
    <w:rsid w:val="005A1E07"/>
    <w:rsid w:val="005A77FD"/>
    <w:rsid w:val="005B234D"/>
    <w:rsid w:val="005B25F0"/>
    <w:rsid w:val="005B30BC"/>
    <w:rsid w:val="005B3800"/>
    <w:rsid w:val="005B432E"/>
    <w:rsid w:val="005B4653"/>
    <w:rsid w:val="005B5603"/>
    <w:rsid w:val="005B5855"/>
    <w:rsid w:val="005B5B8E"/>
    <w:rsid w:val="005B6C1A"/>
    <w:rsid w:val="005B6F29"/>
    <w:rsid w:val="005B7717"/>
    <w:rsid w:val="005B7AD3"/>
    <w:rsid w:val="005C108E"/>
    <w:rsid w:val="005C1828"/>
    <w:rsid w:val="005C1D56"/>
    <w:rsid w:val="005C27F2"/>
    <w:rsid w:val="005C4179"/>
    <w:rsid w:val="005C477F"/>
    <w:rsid w:val="005C5915"/>
    <w:rsid w:val="005C611C"/>
    <w:rsid w:val="005C61F3"/>
    <w:rsid w:val="005C6712"/>
    <w:rsid w:val="005C7428"/>
    <w:rsid w:val="005C7A47"/>
    <w:rsid w:val="005C7B58"/>
    <w:rsid w:val="005D02C2"/>
    <w:rsid w:val="005D03C0"/>
    <w:rsid w:val="005D2074"/>
    <w:rsid w:val="005D2295"/>
    <w:rsid w:val="005D2457"/>
    <w:rsid w:val="005D2CDB"/>
    <w:rsid w:val="005D542B"/>
    <w:rsid w:val="005D6C2F"/>
    <w:rsid w:val="005D7980"/>
    <w:rsid w:val="005E10F7"/>
    <w:rsid w:val="005E26C9"/>
    <w:rsid w:val="005E46DC"/>
    <w:rsid w:val="005E4C70"/>
    <w:rsid w:val="005E62B4"/>
    <w:rsid w:val="005E68AB"/>
    <w:rsid w:val="005E69B3"/>
    <w:rsid w:val="005E7A3F"/>
    <w:rsid w:val="005E7DC0"/>
    <w:rsid w:val="005F193A"/>
    <w:rsid w:val="005F4DA6"/>
    <w:rsid w:val="005F6D89"/>
    <w:rsid w:val="005F72B0"/>
    <w:rsid w:val="006001F8"/>
    <w:rsid w:val="006020CC"/>
    <w:rsid w:val="006021C8"/>
    <w:rsid w:val="00602416"/>
    <w:rsid w:val="0060252E"/>
    <w:rsid w:val="00602DA5"/>
    <w:rsid w:val="00602F86"/>
    <w:rsid w:val="00603007"/>
    <w:rsid w:val="00603236"/>
    <w:rsid w:val="00603B9B"/>
    <w:rsid w:val="00603F1D"/>
    <w:rsid w:val="0060427E"/>
    <w:rsid w:val="00604666"/>
    <w:rsid w:val="00604F57"/>
    <w:rsid w:val="00605091"/>
    <w:rsid w:val="006105D6"/>
    <w:rsid w:val="0061141C"/>
    <w:rsid w:val="0061278F"/>
    <w:rsid w:val="00612D03"/>
    <w:rsid w:val="006132FC"/>
    <w:rsid w:val="00614757"/>
    <w:rsid w:val="00615F59"/>
    <w:rsid w:val="0061666D"/>
    <w:rsid w:val="0061798E"/>
    <w:rsid w:val="00617EE0"/>
    <w:rsid w:val="00621785"/>
    <w:rsid w:val="0062183A"/>
    <w:rsid w:val="006224C3"/>
    <w:rsid w:val="006227B8"/>
    <w:rsid w:val="00622EEC"/>
    <w:rsid w:val="0062349F"/>
    <w:rsid w:val="00624933"/>
    <w:rsid w:val="00625E19"/>
    <w:rsid w:val="00627849"/>
    <w:rsid w:val="00627D71"/>
    <w:rsid w:val="00631100"/>
    <w:rsid w:val="006311E2"/>
    <w:rsid w:val="0063156D"/>
    <w:rsid w:val="00631C80"/>
    <w:rsid w:val="00631E03"/>
    <w:rsid w:val="00632A8B"/>
    <w:rsid w:val="00632AFA"/>
    <w:rsid w:val="00632BFA"/>
    <w:rsid w:val="00634493"/>
    <w:rsid w:val="0063478C"/>
    <w:rsid w:val="00634B7C"/>
    <w:rsid w:val="00635437"/>
    <w:rsid w:val="00637875"/>
    <w:rsid w:val="00637FC2"/>
    <w:rsid w:val="006407EE"/>
    <w:rsid w:val="00641C49"/>
    <w:rsid w:val="00641E37"/>
    <w:rsid w:val="0064215D"/>
    <w:rsid w:val="00643AD7"/>
    <w:rsid w:val="00644CAC"/>
    <w:rsid w:val="0064582D"/>
    <w:rsid w:val="006465A2"/>
    <w:rsid w:val="006465CC"/>
    <w:rsid w:val="006473D2"/>
    <w:rsid w:val="00650EE1"/>
    <w:rsid w:val="00651898"/>
    <w:rsid w:val="00651CEC"/>
    <w:rsid w:val="0065306B"/>
    <w:rsid w:val="006533BE"/>
    <w:rsid w:val="006538E5"/>
    <w:rsid w:val="00653B56"/>
    <w:rsid w:val="00654354"/>
    <w:rsid w:val="00654B5B"/>
    <w:rsid w:val="00654F36"/>
    <w:rsid w:val="00656643"/>
    <w:rsid w:val="006578A6"/>
    <w:rsid w:val="00660466"/>
    <w:rsid w:val="00660C28"/>
    <w:rsid w:val="00660D25"/>
    <w:rsid w:val="0066108E"/>
    <w:rsid w:val="0066164C"/>
    <w:rsid w:val="0066187B"/>
    <w:rsid w:val="006626D9"/>
    <w:rsid w:val="00663CDD"/>
    <w:rsid w:val="0066585B"/>
    <w:rsid w:val="00665E65"/>
    <w:rsid w:val="00665F0B"/>
    <w:rsid w:val="00671048"/>
    <w:rsid w:val="00671522"/>
    <w:rsid w:val="00673EB3"/>
    <w:rsid w:val="006747E8"/>
    <w:rsid w:val="00674890"/>
    <w:rsid w:val="0067638E"/>
    <w:rsid w:val="00676674"/>
    <w:rsid w:val="00677B3A"/>
    <w:rsid w:val="00677E5C"/>
    <w:rsid w:val="006802D4"/>
    <w:rsid w:val="00682843"/>
    <w:rsid w:val="00682959"/>
    <w:rsid w:val="00682F95"/>
    <w:rsid w:val="0068324E"/>
    <w:rsid w:val="00684B05"/>
    <w:rsid w:val="00685014"/>
    <w:rsid w:val="00685E52"/>
    <w:rsid w:val="00687B88"/>
    <w:rsid w:val="00687EE7"/>
    <w:rsid w:val="00690714"/>
    <w:rsid w:val="00691421"/>
    <w:rsid w:val="006916AE"/>
    <w:rsid w:val="00691FC4"/>
    <w:rsid w:val="00692782"/>
    <w:rsid w:val="006927DE"/>
    <w:rsid w:val="00692CA0"/>
    <w:rsid w:val="006937B0"/>
    <w:rsid w:val="00693CD0"/>
    <w:rsid w:val="0069410E"/>
    <w:rsid w:val="00694B30"/>
    <w:rsid w:val="006956C1"/>
    <w:rsid w:val="00695C01"/>
    <w:rsid w:val="0069650F"/>
    <w:rsid w:val="00696885"/>
    <w:rsid w:val="00696B63"/>
    <w:rsid w:val="006A0FE0"/>
    <w:rsid w:val="006A19FC"/>
    <w:rsid w:val="006A2834"/>
    <w:rsid w:val="006A29FC"/>
    <w:rsid w:val="006A30BC"/>
    <w:rsid w:val="006A36C0"/>
    <w:rsid w:val="006A494C"/>
    <w:rsid w:val="006A4ACA"/>
    <w:rsid w:val="006A5010"/>
    <w:rsid w:val="006A5376"/>
    <w:rsid w:val="006A54B0"/>
    <w:rsid w:val="006A5765"/>
    <w:rsid w:val="006A5D45"/>
    <w:rsid w:val="006A7BA4"/>
    <w:rsid w:val="006A7EAC"/>
    <w:rsid w:val="006B0254"/>
    <w:rsid w:val="006B1272"/>
    <w:rsid w:val="006B73A7"/>
    <w:rsid w:val="006B7A6B"/>
    <w:rsid w:val="006B7F48"/>
    <w:rsid w:val="006C1320"/>
    <w:rsid w:val="006C13F5"/>
    <w:rsid w:val="006C22F2"/>
    <w:rsid w:val="006C2698"/>
    <w:rsid w:val="006C3017"/>
    <w:rsid w:val="006C3478"/>
    <w:rsid w:val="006C34FC"/>
    <w:rsid w:val="006C3E84"/>
    <w:rsid w:val="006C4D52"/>
    <w:rsid w:val="006C5589"/>
    <w:rsid w:val="006C5CAF"/>
    <w:rsid w:val="006C5E3D"/>
    <w:rsid w:val="006C5FE8"/>
    <w:rsid w:val="006C7A78"/>
    <w:rsid w:val="006D12C9"/>
    <w:rsid w:val="006D14B6"/>
    <w:rsid w:val="006D1EE7"/>
    <w:rsid w:val="006D2124"/>
    <w:rsid w:val="006D26E6"/>
    <w:rsid w:val="006D555D"/>
    <w:rsid w:val="006D5CFA"/>
    <w:rsid w:val="006D6325"/>
    <w:rsid w:val="006E0693"/>
    <w:rsid w:val="006E134C"/>
    <w:rsid w:val="006E16C4"/>
    <w:rsid w:val="006E1DC2"/>
    <w:rsid w:val="006E2024"/>
    <w:rsid w:val="006E2E21"/>
    <w:rsid w:val="006E4E66"/>
    <w:rsid w:val="006E52F2"/>
    <w:rsid w:val="006E5383"/>
    <w:rsid w:val="006E5B86"/>
    <w:rsid w:val="006E64A6"/>
    <w:rsid w:val="006F0F2C"/>
    <w:rsid w:val="006F2E73"/>
    <w:rsid w:val="006F2EF4"/>
    <w:rsid w:val="006F3C11"/>
    <w:rsid w:val="006F41A0"/>
    <w:rsid w:val="006F6E00"/>
    <w:rsid w:val="00700B49"/>
    <w:rsid w:val="00700E26"/>
    <w:rsid w:val="00701DEC"/>
    <w:rsid w:val="00702112"/>
    <w:rsid w:val="00702D59"/>
    <w:rsid w:val="007037AA"/>
    <w:rsid w:val="007040AE"/>
    <w:rsid w:val="00704CFE"/>
    <w:rsid w:val="0070500D"/>
    <w:rsid w:val="00706A36"/>
    <w:rsid w:val="00707355"/>
    <w:rsid w:val="00707664"/>
    <w:rsid w:val="00707CBD"/>
    <w:rsid w:val="00710A31"/>
    <w:rsid w:val="00710C30"/>
    <w:rsid w:val="00710FAA"/>
    <w:rsid w:val="00711AD7"/>
    <w:rsid w:val="00713104"/>
    <w:rsid w:val="0071364F"/>
    <w:rsid w:val="00713B56"/>
    <w:rsid w:val="00713DA0"/>
    <w:rsid w:val="007152A3"/>
    <w:rsid w:val="00715659"/>
    <w:rsid w:val="007160F7"/>
    <w:rsid w:val="0071675D"/>
    <w:rsid w:val="00717F40"/>
    <w:rsid w:val="0072002E"/>
    <w:rsid w:val="007206FD"/>
    <w:rsid w:val="00720973"/>
    <w:rsid w:val="00720A21"/>
    <w:rsid w:val="007221DB"/>
    <w:rsid w:val="00723EA1"/>
    <w:rsid w:val="00724F7E"/>
    <w:rsid w:val="007254CD"/>
    <w:rsid w:val="00725F82"/>
    <w:rsid w:val="0072618F"/>
    <w:rsid w:val="0072648C"/>
    <w:rsid w:val="00726A67"/>
    <w:rsid w:val="00726F58"/>
    <w:rsid w:val="007273CA"/>
    <w:rsid w:val="00727C78"/>
    <w:rsid w:val="00730BC8"/>
    <w:rsid w:val="00730D67"/>
    <w:rsid w:val="00731DF5"/>
    <w:rsid w:val="00732089"/>
    <w:rsid w:val="00732496"/>
    <w:rsid w:val="007324E2"/>
    <w:rsid w:val="00732CB6"/>
    <w:rsid w:val="0073310D"/>
    <w:rsid w:val="0073499C"/>
    <w:rsid w:val="00734F0B"/>
    <w:rsid w:val="00735117"/>
    <w:rsid w:val="00735829"/>
    <w:rsid w:val="00736637"/>
    <w:rsid w:val="00737BE9"/>
    <w:rsid w:val="007409BD"/>
    <w:rsid w:val="00740B77"/>
    <w:rsid w:val="00740DEA"/>
    <w:rsid w:val="00740F11"/>
    <w:rsid w:val="00741587"/>
    <w:rsid w:val="00741832"/>
    <w:rsid w:val="00741BED"/>
    <w:rsid w:val="0074248A"/>
    <w:rsid w:val="00742E2A"/>
    <w:rsid w:val="00743050"/>
    <w:rsid w:val="007430C6"/>
    <w:rsid w:val="00743486"/>
    <w:rsid w:val="00743F5A"/>
    <w:rsid w:val="00744468"/>
    <w:rsid w:val="007445C2"/>
    <w:rsid w:val="00744727"/>
    <w:rsid w:val="00745BC8"/>
    <w:rsid w:val="00745C8D"/>
    <w:rsid w:val="007467B9"/>
    <w:rsid w:val="00746FF2"/>
    <w:rsid w:val="007470AD"/>
    <w:rsid w:val="007472C5"/>
    <w:rsid w:val="00751469"/>
    <w:rsid w:val="00751932"/>
    <w:rsid w:val="0075195E"/>
    <w:rsid w:val="007524BB"/>
    <w:rsid w:val="007526EA"/>
    <w:rsid w:val="0075274F"/>
    <w:rsid w:val="00752BFB"/>
    <w:rsid w:val="007545B7"/>
    <w:rsid w:val="00754F63"/>
    <w:rsid w:val="00755D75"/>
    <w:rsid w:val="00756C85"/>
    <w:rsid w:val="0075777B"/>
    <w:rsid w:val="007616AA"/>
    <w:rsid w:val="0076479E"/>
    <w:rsid w:val="00764C08"/>
    <w:rsid w:val="007659D4"/>
    <w:rsid w:val="007663C8"/>
    <w:rsid w:val="00766659"/>
    <w:rsid w:val="00767054"/>
    <w:rsid w:val="0076775E"/>
    <w:rsid w:val="00770943"/>
    <w:rsid w:val="00771638"/>
    <w:rsid w:val="00771861"/>
    <w:rsid w:val="00771D79"/>
    <w:rsid w:val="00772646"/>
    <w:rsid w:val="00773DB2"/>
    <w:rsid w:val="00773ED4"/>
    <w:rsid w:val="007763B7"/>
    <w:rsid w:val="00776509"/>
    <w:rsid w:val="00776E4E"/>
    <w:rsid w:val="00777943"/>
    <w:rsid w:val="0078189A"/>
    <w:rsid w:val="007819E4"/>
    <w:rsid w:val="00781BC1"/>
    <w:rsid w:val="007827BC"/>
    <w:rsid w:val="00783978"/>
    <w:rsid w:val="00784E0F"/>
    <w:rsid w:val="00785CD0"/>
    <w:rsid w:val="00785DD2"/>
    <w:rsid w:val="0078668F"/>
    <w:rsid w:val="007869FD"/>
    <w:rsid w:val="00787617"/>
    <w:rsid w:val="00791183"/>
    <w:rsid w:val="00792090"/>
    <w:rsid w:val="0079209F"/>
    <w:rsid w:val="007932B9"/>
    <w:rsid w:val="00793BDA"/>
    <w:rsid w:val="0079641B"/>
    <w:rsid w:val="00797C4D"/>
    <w:rsid w:val="007A0E93"/>
    <w:rsid w:val="007A3C68"/>
    <w:rsid w:val="007A4B4E"/>
    <w:rsid w:val="007A4E8C"/>
    <w:rsid w:val="007A5657"/>
    <w:rsid w:val="007A59BD"/>
    <w:rsid w:val="007A67B9"/>
    <w:rsid w:val="007A7FB9"/>
    <w:rsid w:val="007B19CE"/>
    <w:rsid w:val="007B1D22"/>
    <w:rsid w:val="007B1E4E"/>
    <w:rsid w:val="007B207D"/>
    <w:rsid w:val="007B2348"/>
    <w:rsid w:val="007B373E"/>
    <w:rsid w:val="007B465E"/>
    <w:rsid w:val="007B6803"/>
    <w:rsid w:val="007B7358"/>
    <w:rsid w:val="007B7C7A"/>
    <w:rsid w:val="007C17CF"/>
    <w:rsid w:val="007C183F"/>
    <w:rsid w:val="007C2901"/>
    <w:rsid w:val="007C2C90"/>
    <w:rsid w:val="007C3C0C"/>
    <w:rsid w:val="007C44BA"/>
    <w:rsid w:val="007C476F"/>
    <w:rsid w:val="007C518A"/>
    <w:rsid w:val="007C6C56"/>
    <w:rsid w:val="007C7860"/>
    <w:rsid w:val="007C7E8C"/>
    <w:rsid w:val="007D0780"/>
    <w:rsid w:val="007D0999"/>
    <w:rsid w:val="007D0C7D"/>
    <w:rsid w:val="007D222C"/>
    <w:rsid w:val="007D2388"/>
    <w:rsid w:val="007D28F3"/>
    <w:rsid w:val="007D3345"/>
    <w:rsid w:val="007D3DED"/>
    <w:rsid w:val="007D4B90"/>
    <w:rsid w:val="007D5877"/>
    <w:rsid w:val="007D680A"/>
    <w:rsid w:val="007D6E86"/>
    <w:rsid w:val="007E17C4"/>
    <w:rsid w:val="007E1A27"/>
    <w:rsid w:val="007E1DD5"/>
    <w:rsid w:val="007E20D9"/>
    <w:rsid w:val="007E30CE"/>
    <w:rsid w:val="007E51CD"/>
    <w:rsid w:val="007E5AF2"/>
    <w:rsid w:val="007E5C05"/>
    <w:rsid w:val="007E5FEF"/>
    <w:rsid w:val="007E6C03"/>
    <w:rsid w:val="007E6CD8"/>
    <w:rsid w:val="007E73EE"/>
    <w:rsid w:val="007E790C"/>
    <w:rsid w:val="007F01B9"/>
    <w:rsid w:val="007F0501"/>
    <w:rsid w:val="007F0CB6"/>
    <w:rsid w:val="007F1B0A"/>
    <w:rsid w:val="007F1F7E"/>
    <w:rsid w:val="007F223B"/>
    <w:rsid w:val="007F3D8B"/>
    <w:rsid w:val="007F519E"/>
    <w:rsid w:val="008021EC"/>
    <w:rsid w:val="00804012"/>
    <w:rsid w:val="00804934"/>
    <w:rsid w:val="00805AEC"/>
    <w:rsid w:val="00806A5F"/>
    <w:rsid w:val="00807403"/>
    <w:rsid w:val="00810EEC"/>
    <w:rsid w:val="008116EF"/>
    <w:rsid w:val="00811D81"/>
    <w:rsid w:val="00811DA5"/>
    <w:rsid w:val="00812269"/>
    <w:rsid w:val="00813C1F"/>
    <w:rsid w:val="008144E9"/>
    <w:rsid w:val="0081462B"/>
    <w:rsid w:val="008173C9"/>
    <w:rsid w:val="00820C79"/>
    <w:rsid w:val="00821995"/>
    <w:rsid w:val="008242D6"/>
    <w:rsid w:val="00825B0B"/>
    <w:rsid w:val="0082623E"/>
    <w:rsid w:val="00826A96"/>
    <w:rsid w:val="00827323"/>
    <w:rsid w:val="008303E7"/>
    <w:rsid w:val="008307FF"/>
    <w:rsid w:val="00830854"/>
    <w:rsid w:val="00830F1A"/>
    <w:rsid w:val="00831BEA"/>
    <w:rsid w:val="008329AB"/>
    <w:rsid w:val="0083346A"/>
    <w:rsid w:val="00833D45"/>
    <w:rsid w:val="008340AE"/>
    <w:rsid w:val="00834494"/>
    <w:rsid w:val="008356C2"/>
    <w:rsid w:val="008358C3"/>
    <w:rsid w:val="00836B14"/>
    <w:rsid w:val="00836D9D"/>
    <w:rsid w:val="008408E4"/>
    <w:rsid w:val="00841E0D"/>
    <w:rsid w:val="00842366"/>
    <w:rsid w:val="00842CD8"/>
    <w:rsid w:val="00844C15"/>
    <w:rsid w:val="00846521"/>
    <w:rsid w:val="008465F3"/>
    <w:rsid w:val="00847D15"/>
    <w:rsid w:val="00850DA3"/>
    <w:rsid w:val="0085105F"/>
    <w:rsid w:val="0085166E"/>
    <w:rsid w:val="0085177F"/>
    <w:rsid w:val="008517A4"/>
    <w:rsid w:val="00851902"/>
    <w:rsid w:val="00851F19"/>
    <w:rsid w:val="00852317"/>
    <w:rsid w:val="00852982"/>
    <w:rsid w:val="00854AA2"/>
    <w:rsid w:val="00854B3B"/>
    <w:rsid w:val="008550C7"/>
    <w:rsid w:val="008551F6"/>
    <w:rsid w:val="0085556D"/>
    <w:rsid w:val="008558F8"/>
    <w:rsid w:val="008561A9"/>
    <w:rsid w:val="008578A8"/>
    <w:rsid w:val="008604D4"/>
    <w:rsid w:val="00860CDD"/>
    <w:rsid w:val="00862B3A"/>
    <w:rsid w:val="00862F1F"/>
    <w:rsid w:val="00863725"/>
    <w:rsid w:val="00866864"/>
    <w:rsid w:val="0087036E"/>
    <w:rsid w:val="008710B0"/>
    <w:rsid w:val="00871436"/>
    <w:rsid w:val="00871F78"/>
    <w:rsid w:val="00872013"/>
    <w:rsid w:val="0087274C"/>
    <w:rsid w:val="00872C31"/>
    <w:rsid w:val="00872D1C"/>
    <w:rsid w:val="00874AE7"/>
    <w:rsid w:val="00874E32"/>
    <w:rsid w:val="0087538F"/>
    <w:rsid w:val="00875C9B"/>
    <w:rsid w:val="008763F0"/>
    <w:rsid w:val="00876BDB"/>
    <w:rsid w:val="00877AC8"/>
    <w:rsid w:val="00881AD0"/>
    <w:rsid w:val="00881C02"/>
    <w:rsid w:val="00881C18"/>
    <w:rsid w:val="00881C2F"/>
    <w:rsid w:val="00881E14"/>
    <w:rsid w:val="008857AB"/>
    <w:rsid w:val="0088597C"/>
    <w:rsid w:val="008873C2"/>
    <w:rsid w:val="008901D9"/>
    <w:rsid w:val="008918A4"/>
    <w:rsid w:val="00892372"/>
    <w:rsid w:val="008947DA"/>
    <w:rsid w:val="00894944"/>
    <w:rsid w:val="00895060"/>
    <w:rsid w:val="00895363"/>
    <w:rsid w:val="00895732"/>
    <w:rsid w:val="0089581B"/>
    <w:rsid w:val="0089599B"/>
    <w:rsid w:val="008A16CC"/>
    <w:rsid w:val="008A2A49"/>
    <w:rsid w:val="008A3B26"/>
    <w:rsid w:val="008A50B2"/>
    <w:rsid w:val="008A54D7"/>
    <w:rsid w:val="008A5C89"/>
    <w:rsid w:val="008A5FFC"/>
    <w:rsid w:val="008A6286"/>
    <w:rsid w:val="008B18B3"/>
    <w:rsid w:val="008B193A"/>
    <w:rsid w:val="008B2880"/>
    <w:rsid w:val="008B610D"/>
    <w:rsid w:val="008B6F37"/>
    <w:rsid w:val="008B7B6D"/>
    <w:rsid w:val="008B7D8A"/>
    <w:rsid w:val="008B7DA3"/>
    <w:rsid w:val="008C19CD"/>
    <w:rsid w:val="008C47EE"/>
    <w:rsid w:val="008C51E0"/>
    <w:rsid w:val="008C55FE"/>
    <w:rsid w:val="008C5FF3"/>
    <w:rsid w:val="008C6C96"/>
    <w:rsid w:val="008C719C"/>
    <w:rsid w:val="008D0D39"/>
    <w:rsid w:val="008D1A3D"/>
    <w:rsid w:val="008D2986"/>
    <w:rsid w:val="008D53E6"/>
    <w:rsid w:val="008D54BD"/>
    <w:rsid w:val="008D55D5"/>
    <w:rsid w:val="008D58B9"/>
    <w:rsid w:val="008D58DB"/>
    <w:rsid w:val="008D65B8"/>
    <w:rsid w:val="008D7874"/>
    <w:rsid w:val="008D79F1"/>
    <w:rsid w:val="008E1547"/>
    <w:rsid w:val="008E2217"/>
    <w:rsid w:val="008E3048"/>
    <w:rsid w:val="008E5E91"/>
    <w:rsid w:val="008E61F5"/>
    <w:rsid w:val="008F0791"/>
    <w:rsid w:val="008F0C57"/>
    <w:rsid w:val="008F0ED6"/>
    <w:rsid w:val="008F1048"/>
    <w:rsid w:val="008F1CA3"/>
    <w:rsid w:val="008F2507"/>
    <w:rsid w:val="00900340"/>
    <w:rsid w:val="009004C3"/>
    <w:rsid w:val="009015A4"/>
    <w:rsid w:val="00902858"/>
    <w:rsid w:val="009040DC"/>
    <w:rsid w:val="00904FBC"/>
    <w:rsid w:val="009058A6"/>
    <w:rsid w:val="009063DC"/>
    <w:rsid w:val="009069D5"/>
    <w:rsid w:val="00907470"/>
    <w:rsid w:val="00907A56"/>
    <w:rsid w:val="0091073D"/>
    <w:rsid w:val="009121FF"/>
    <w:rsid w:val="009132C9"/>
    <w:rsid w:val="0091365A"/>
    <w:rsid w:val="009139FD"/>
    <w:rsid w:val="00914721"/>
    <w:rsid w:val="00914D31"/>
    <w:rsid w:val="00914EA1"/>
    <w:rsid w:val="009155EA"/>
    <w:rsid w:val="00917951"/>
    <w:rsid w:val="00917DF4"/>
    <w:rsid w:val="00920487"/>
    <w:rsid w:val="009222E4"/>
    <w:rsid w:val="009228E1"/>
    <w:rsid w:val="00923363"/>
    <w:rsid w:val="00923863"/>
    <w:rsid w:val="00926491"/>
    <w:rsid w:val="00926DFC"/>
    <w:rsid w:val="009319FC"/>
    <w:rsid w:val="0093219C"/>
    <w:rsid w:val="0093236D"/>
    <w:rsid w:val="00933423"/>
    <w:rsid w:val="0093389F"/>
    <w:rsid w:val="00933C7F"/>
    <w:rsid w:val="00933EF4"/>
    <w:rsid w:val="00934363"/>
    <w:rsid w:val="009351FF"/>
    <w:rsid w:val="00935602"/>
    <w:rsid w:val="00935E92"/>
    <w:rsid w:val="00936EDB"/>
    <w:rsid w:val="00937013"/>
    <w:rsid w:val="009378A4"/>
    <w:rsid w:val="00941AB6"/>
    <w:rsid w:val="00943B4D"/>
    <w:rsid w:val="00944185"/>
    <w:rsid w:val="009443E8"/>
    <w:rsid w:val="00944E1A"/>
    <w:rsid w:val="009456F8"/>
    <w:rsid w:val="00945921"/>
    <w:rsid w:val="00946103"/>
    <w:rsid w:val="00946316"/>
    <w:rsid w:val="0094646E"/>
    <w:rsid w:val="00946D92"/>
    <w:rsid w:val="00951088"/>
    <w:rsid w:val="00951253"/>
    <w:rsid w:val="00952FAC"/>
    <w:rsid w:val="009532CC"/>
    <w:rsid w:val="0095339E"/>
    <w:rsid w:val="00954398"/>
    <w:rsid w:val="009569EE"/>
    <w:rsid w:val="00957608"/>
    <w:rsid w:val="00957F7D"/>
    <w:rsid w:val="00960382"/>
    <w:rsid w:val="009609F0"/>
    <w:rsid w:val="009618CE"/>
    <w:rsid w:val="00962396"/>
    <w:rsid w:val="0096252A"/>
    <w:rsid w:val="00962E39"/>
    <w:rsid w:val="009638CD"/>
    <w:rsid w:val="00964030"/>
    <w:rsid w:val="009644F2"/>
    <w:rsid w:val="009679FB"/>
    <w:rsid w:val="00970070"/>
    <w:rsid w:val="0097077C"/>
    <w:rsid w:val="00970A98"/>
    <w:rsid w:val="00972096"/>
    <w:rsid w:val="009723AD"/>
    <w:rsid w:val="009731AB"/>
    <w:rsid w:val="0097322F"/>
    <w:rsid w:val="00973EAF"/>
    <w:rsid w:val="009741FC"/>
    <w:rsid w:val="00975D25"/>
    <w:rsid w:val="00975F82"/>
    <w:rsid w:val="00976044"/>
    <w:rsid w:val="00976543"/>
    <w:rsid w:val="00976A37"/>
    <w:rsid w:val="00980AC4"/>
    <w:rsid w:val="00983A26"/>
    <w:rsid w:val="009843B2"/>
    <w:rsid w:val="00984966"/>
    <w:rsid w:val="009849FF"/>
    <w:rsid w:val="00985526"/>
    <w:rsid w:val="00985FAB"/>
    <w:rsid w:val="0098605B"/>
    <w:rsid w:val="00986B8D"/>
    <w:rsid w:val="00986F4A"/>
    <w:rsid w:val="00986F6C"/>
    <w:rsid w:val="00987CA1"/>
    <w:rsid w:val="0099036B"/>
    <w:rsid w:val="00990654"/>
    <w:rsid w:val="00990D98"/>
    <w:rsid w:val="00995459"/>
    <w:rsid w:val="00996F20"/>
    <w:rsid w:val="00997204"/>
    <w:rsid w:val="009A0DD1"/>
    <w:rsid w:val="009A1A74"/>
    <w:rsid w:val="009A2428"/>
    <w:rsid w:val="009A2833"/>
    <w:rsid w:val="009A38CC"/>
    <w:rsid w:val="009A4D5E"/>
    <w:rsid w:val="009A4D9A"/>
    <w:rsid w:val="009A52C6"/>
    <w:rsid w:val="009A534C"/>
    <w:rsid w:val="009A5E17"/>
    <w:rsid w:val="009A6732"/>
    <w:rsid w:val="009A729E"/>
    <w:rsid w:val="009B0954"/>
    <w:rsid w:val="009B0DAB"/>
    <w:rsid w:val="009B11A3"/>
    <w:rsid w:val="009B31E1"/>
    <w:rsid w:val="009B3DB0"/>
    <w:rsid w:val="009B5817"/>
    <w:rsid w:val="009B6363"/>
    <w:rsid w:val="009B64D4"/>
    <w:rsid w:val="009B670D"/>
    <w:rsid w:val="009B6E29"/>
    <w:rsid w:val="009B7377"/>
    <w:rsid w:val="009B73CC"/>
    <w:rsid w:val="009B7617"/>
    <w:rsid w:val="009B7A11"/>
    <w:rsid w:val="009C000F"/>
    <w:rsid w:val="009C0BF7"/>
    <w:rsid w:val="009C198F"/>
    <w:rsid w:val="009C2D6C"/>
    <w:rsid w:val="009C3538"/>
    <w:rsid w:val="009C4B54"/>
    <w:rsid w:val="009C520A"/>
    <w:rsid w:val="009C686A"/>
    <w:rsid w:val="009C6AED"/>
    <w:rsid w:val="009D0999"/>
    <w:rsid w:val="009D1B4A"/>
    <w:rsid w:val="009D3EEA"/>
    <w:rsid w:val="009D453C"/>
    <w:rsid w:val="009D460B"/>
    <w:rsid w:val="009D4BEC"/>
    <w:rsid w:val="009D5297"/>
    <w:rsid w:val="009D6AAA"/>
    <w:rsid w:val="009D7026"/>
    <w:rsid w:val="009E0198"/>
    <w:rsid w:val="009E0FB7"/>
    <w:rsid w:val="009E3AE7"/>
    <w:rsid w:val="009E3B81"/>
    <w:rsid w:val="009E5B26"/>
    <w:rsid w:val="009E6FFA"/>
    <w:rsid w:val="009E781A"/>
    <w:rsid w:val="009E7931"/>
    <w:rsid w:val="009E7C35"/>
    <w:rsid w:val="009F1113"/>
    <w:rsid w:val="009F1C70"/>
    <w:rsid w:val="009F29E5"/>
    <w:rsid w:val="009F35E0"/>
    <w:rsid w:val="009F4E3C"/>
    <w:rsid w:val="009F64CC"/>
    <w:rsid w:val="00A01251"/>
    <w:rsid w:val="00A01488"/>
    <w:rsid w:val="00A016D2"/>
    <w:rsid w:val="00A01963"/>
    <w:rsid w:val="00A04832"/>
    <w:rsid w:val="00A069A0"/>
    <w:rsid w:val="00A06C49"/>
    <w:rsid w:val="00A10640"/>
    <w:rsid w:val="00A110C0"/>
    <w:rsid w:val="00A11D70"/>
    <w:rsid w:val="00A12735"/>
    <w:rsid w:val="00A13163"/>
    <w:rsid w:val="00A14A76"/>
    <w:rsid w:val="00A1541C"/>
    <w:rsid w:val="00A155DF"/>
    <w:rsid w:val="00A15673"/>
    <w:rsid w:val="00A15F54"/>
    <w:rsid w:val="00A16910"/>
    <w:rsid w:val="00A16ADC"/>
    <w:rsid w:val="00A17BAB"/>
    <w:rsid w:val="00A20586"/>
    <w:rsid w:val="00A21561"/>
    <w:rsid w:val="00A221EC"/>
    <w:rsid w:val="00A23135"/>
    <w:rsid w:val="00A23217"/>
    <w:rsid w:val="00A232C2"/>
    <w:rsid w:val="00A237E2"/>
    <w:rsid w:val="00A2411D"/>
    <w:rsid w:val="00A25371"/>
    <w:rsid w:val="00A25A03"/>
    <w:rsid w:val="00A25C68"/>
    <w:rsid w:val="00A26500"/>
    <w:rsid w:val="00A266B5"/>
    <w:rsid w:val="00A3038C"/>
    <w:rsid w:val="00A3092E"/>
    <w:rsid w:val="00A315ED"/>
    <w:rsid w:val="00A319F4"/>
    <w:rsid w:val="00A31A64"/>
    <w:rsid w:val="00A31C13"/>
    <w:rsid w:val="00A31C39"/>
    <w:rsid w:val="00A327F2"/>
    <w:rsid w:val="00A34B50"/>
    <w:rsid w:val="00A35FE6"/>
    <w:rsid w:val="00A36EDC"/>
    <w:rsid w:val="00A377C7"/>
    <w:rsid w:val="00A378C9"/>
    <w:rsid w:val="00A403C6"/>
    <w:rsid w:val="00A415C9"/>
    <w:rsid w:val="00A42F41"/>
    <w:rsid w:val="00A43330"/>
    <w:rsid w:val="00A43CC6"/>
    <w:rsid w:val="00A448F7"/>
    <w:rsid w:val="00A44C44"/>
    <w:rsid w:val="00A45333"/>
    <w:rsid w:val="00A45BC4"/>
    <w:rsid w:val="00A45ECF"/>
    <w:rsid w:val="00A47894"/>
    <w:rsid w:val="00A5088A"/>
    <w:rsid w:val="00A50C1F"/>
    <w:rsid w:val="00A519EB"/>
    <w:rsid w:val="00A51DAE"/>
    <w:rsid w:val="00A53648"/>
    <w:rsid w:val="00A539D6"/>
    <w:rsid w:val="00A54F2E"/>
    <w:rsid w:val="00A54FE8"/>
    <w:rsid w:val="00A550C1"/>
    <w:rsid w:val="00A55869"/>
    <w:rsid w:val="00A56A2B"/>
    <w:rsid w:val="00A56A70"/>
    <w:rsid w:val="00A5704C"/>
    <w:rsid w:val="00A57803"/>
    <w:rsid w:val="00A60D6F"/>
    <w:rsid w:val="00A60F81"/>
    <w:rsid w:val="00A62F31"/>
    <w:rsid w:val="00A6323F"/>
    <w:rsid w:val="00A63733"/>
    <w:rsid w:val="00A6383D"/>
    <w:rsid w:val="00A6457A"/>
    <w:rsid w:val="00A658F1"/>
    <w:rsid w:val="00A65A5E"/>
    <w:rsid w:val="00A66081"/>
    <w:rsid w:val="00A664B6"/>
    <w:rsid w:val="00A6657D"/>
    <w:rsid w:val="00A66DEE"/>
    <w:rsid w:val="00A70A39"/>
    <w:rsid w:val="00A71CEC"/>
    <w:rsid w:val="00A73735"/>
    <w:rsid w:val="00A75432"/>
    <w:rsid w:val="00A756CE"/>
    <w:rsid w:val="00A76888"/>
    <w:rsid w:val="00A77F53"/>
    <w:rsid w:val="00A804BC"/>
    <w:rsid w:val="00A80EBD"/>
    <w:rsid w:val="00A80F52"/>
    <w:rsid w:val="00A818D8"/>
    <w:rsid w:val="00A819AE"/>
    <w:rsid w:val="00A81E0D"/>
    <w:rsid w:val="00A83275"/>
    <w:rsid w:val="00A837AA"/>
    <w:rsid w:val="00A8445C"/>
    <w:rsid w:val="00A8462B"/>
    <w:rsid w:val="00A84D5B"/>
    <w:rsid w:val="00A850A1"/>
    <w:rsid w:val="00A8593E"/>
    <w:rsid w:val="00A85C09"/>
    <w:rsid w:val="00A9087A"/>
    <w:rsid w:val="00A90CBE"/>
    <w:rsid w:val="00A91426"/>
    <w:rsid w:val="00A93F0F"/>
    <w:rsid w:val="00A94771"/>
    <w:rsid w:val="00A97EEC"/>
    <w:rsid w:val="00AA0880"/>
    <w:rsid w:val="00AA1F46"/>
    <w:rsid w:val="00AA2063"/>
    <w:rsid w:val="00AA2393"/>
    <w:rsid w:val="00AA2A4B"/>
    <w:rsid w:val="00AA35EF"/>
    <w:rsid w:val="00AA3681"/>
    <w:rsid w:val="00AA4424"/>
    <w:rsid w:val="00AA4B52"/>
    <w:rsid w:val="00AA558E"/>
    <w:rsid w:val="00AA5CE3"/>
    <w:rsid w:val="00AA6241"/>
    <w:rsid w:val="00AA6756"/>
    <w:rsid w:val="00AA75CF"/>
    <w:rsid w:val="00AA769C"/>
    <w:rsid w:val="00AB1573"/>
    <w:rsid w:val="00AB2562"/>
    <w:rsid w:val="00AB288C"/>
    <w:rsid w:val="00AB2DBA"/>
    <w:rsid w:val="00AB4E19"/>
    <w:rsid w:val="00AB55DF"/>
    <w:rsid w:val="00AB660C"/>
    <w:rsid w:val="00AC0DA7"/>
    <w:rsid w:val="00AC0F86"/>
    <w:rsid w:val="00AC12F5"/>
    <w:rsid w:val="00AC1783"/>
    <w:rsid w:val="00AC3849"/>
    <w:rsid w:val="00AC4B8F"/>
    <w:rsid w:val="00AC4E14"/>
    <w:rsid w:val="00AC54A9"/>
    <w:rsid w:val="00AC5BA4"/>
    <w:rsid w:val="00AC5D3D"/>
    <w:rsid w:val="00AC6912"/>
    <w:rsid w:val="00AC7A98"/>
    <w:rsid w:val="00AD45A6"/>
    <w:rsid w:val="00AD4A5E"/>
    <w:rsid w:val="00AD57A6"/>
    <w:rsid w:val="00AD5952"/>
    <w:rsid w:val="00AD597D"/>
    <w:rsid w:val="00AD5E31"/>
    <w:rsid w:val="00AD71EA"/>
    <w:rsid w:val="00AD79DE"/>
    <w:rsid w:val="00AE0496"/>
    <w:rsid w:val="00AE0A63"/>
    <w:rsid w:val="00AE0B5F"/>
    <w:rsid w:val="00AE0E0B"/>
    <w:rsid w:val="00AE344C"/>
    <w:rsid w:val="00AE3771"/>
    <w:rsid w:val="00AE3F97"/>
    <w:rsid w:val="00AE414C"/>
    <w:rsid w:val="00AE4180"/>
    <w:rsid w:val="00AE4CCB"/>
    <w:rsid w:val="00AE5110"/>
    <w:rsid w:val="00AE5668"/>
    <w:rsid w:val="00AE5B7E"/>
    <w:rsid w:val="00AE5DA6"/>
    <w:rsid w:val="00AE73F4"/>
    <w:rsid w:val="00AE7743"/>
    <w:rsid w:val="00AE7D45"/>
    <w:rsid w:val="00AF007A"/>
    <w:rsid w:val="00AF0219"/>
    <w:rsid w:val="00AF0546"/>
    <w:rsid w:val="00AF092B"/>
    <w:rsid w:val="00AF195B"/>
    <w:rsid w:val="00AF1FD9"/>
    <w:rsid w:val="00AF243E"/>
    <w:rsid w:val="00AF29C5"/>
    <w:rsid w:val="00AF2EB9"/>
    <w:rsid w:val="00AF3C04"/>
    <w:rsid w:val="00AF3DCA"/>
    <w:rsid w:val="00AF45B7"/>
    <w:rsid w:val="00AF47E7"/>
    <w:rsid w:val="00AF7A0E"/>
    <w:rsid w:val="00AF7B9C"/>
    <w:rsid w:val="00B00593"/>
    <w:rsid w:val="00B0072E"/>
    <w:rsid w:val="00B010AE"/>
    <w:rsid w:val="00B01258"/>
    <w:rsid w:val="00B01347"/>
    <w:rsid w:val="00B01DDE"/>
    <w:rsid w:val="00B02165"/>
    <w:rsid w:val="00B02705"/>
    <w:rsid w:val="00B02A0C"/>
    <w:rsid w:val="00B043AF"/>
    <w:rsid w:val="00B04F02"/>
    <w:rsid w:val="00B05F75"/>
    <w:rsid w:val="00B0622B"/>
    <w:rsid w:val="00B06863"/>
    <w:rsid w:val="00B06B88"/>
    <w:rsid w:val="00B07F88"/>
    <w:rsid w:val="00B113C8"/>
    <w:rsid w:val="00B1196E"/>
    <w:rsid w:val="00B1233C"/>
    <w:rsid w:val="00B12803"/>
    <w:rsid w:val="00B12DCB"/>
    <w:rsid w:val="00B13213"/>
    <w:rsid w:val="00B138E0"/>
    <w:rsid w:val="00B1502A"/>
    <w:rsid w:val="00B1508F"/>
    <w:rsid w:val="00B15634"/>
    <w:rsid w:val="00B20E4D"/>
    <w:rsid w:val="00B21D8C"/>
    <w:rsid w:val="00B229A9"/>
    <w:rsid w:val="00B23279"/>
    <w:rsid w:val="00B234E4"/>
    <w:rsid w:val="00B2396F"/>
    <w:rsid w:val="00B23AC9"/>
    <w:rsid w:val="00B24466"/>
    <w:rsid w:val="00B2766D"/>
    <w:rsid w:val="00B30031"/>
    <w:rsid w:val="00B301A3"/>
    <w:rsid w:val="00B3058C"/>
    <w:rsid w:val="00B31689"/>
    <w:rsid w:val="00B33D78"/>
    <w:rsid w:val="00B34862"/>
    <w:rsid w:val="00B35E3A"/>
    <w:rsid w:val="00B37D96"/>
    <w:rsid w:val="00B40446"/>
    <w:rsid w:val="00B40939"/>
    <w:rsid w:val="00B40E5F"/>
    <w:rsid w:val="00B41B8B"/>
    <w:rsid w:val="00B41F92"/>
    <w:rsid w:val="00B42938"/>
    <w:rsid w:val="00B42F40"/>
    <w:rsid w:val="00B43892"/>
    <w:rsid w:val="00B44BF4"/>
    <w:rsid w:val="00B46990"/>
    <w:rsid w:val="00B46E9B"/>
    <w:rsid w:val="00B47727"/>
    <w:rsid w:val="00B51BF1"/>
    <w:rsid w:val="00B523DD"/>
    <w:rsid w:val="00B52DA3"/>
    <w:rsid w:val="00B53137"/>
    <w:rsid w:val="00B53B17"/>
    <w:rsid w:val="00B53C41"/>
    <w:rsid w:val="00B556E5"/>
    <w:rsid w:val="00B56BBA"/>
    <w:rsid w:val="00B57323"/>
    <w:rsid w:val="00B57E52"/>
    <w:rsid w:val="00B61AB2"/>
    <w:rsid w:val="00B61B9E"/>
    <w:rsid w:val="00B62238"/>
    <w:rsid w:val="00B62E72"/>
    <w:rsid w:val="00B64A8F"/>
    <w:rsid w:val="00B651D8"/>
    <w:rsid w:val="00B65D11"/>
    <w:rsid w:val="00B65F6D"/>
    <w:rsid w:val="00B70781"/>
    <w:rsid w:val="00B71ADC"/>
    <w:rsid w:val="00B729FE"/>
    <w:rsid w:val="00B72F7A"/>
    <w:rsid w:val="00B74F99"/>
    <w:rsid w:val="00B76EB0"/>
    <w:rsid w:val="00B8256D"/>
    <w:rsid w:val="00B82D24"/>
    <w:rsid w:val="00B82F76"/>
    <w:rsid w:val="00B83708"/>
    <w:rsid w:val="00B84DEA"/>
    <w:rsid w:val="00B852B0"/>
    <w:rsid w:val="00B85330"/>
    <w:rsid w:val="00B857F7"/>
    <w:rsid w:val="00B91173"/>
    <w:rsid w:val="00B914ED"/>
    <w:rsid w:val="00B92313"/>
    <w:rsid w:val="00B937B7"/>
    <w:rsid w:val="00B93A3E"/>
    <w:rsid w:val="00B93D9B"/>
    <w:rsid w:val="00B9643C"/>
    <w:rsid w:val="00B9777C"/>
    <w:rsid w:val="00B97CD1"/>
    <w:rsid w:val="00BA1525"/>
    <w:rsid w:val="00BA1FBC"/>
    <w:rsid w:val="00BA2679"/>
    <w:rsid w:val="00BA2BF9"/>
    <w:rsid w:val="00BA3471"/>
    <w:rsid w:val="00BA3631"/>
    <w:rsid w:val="00BA36BC"/>
    <w:rsid w:val="00BA6E26"/>
    <w:rsid w:val="00BA7274"/>
    <w:rsid w:val="00BA72D8"/>
    <w:rsid w:val="00BB2CCD"/>
    <w:rsid w:val="00BB305C"/>
    <w:rsid w:val="00BB30FF"/>
    <w:rsid w:val="00BB4CEC"/>
    <w:rsid w:val="00BB564D"/>
    <w:rsid w:val="00BB5C60"/>
    <w:rsid w:val="00BB5FB6"/>
    <w:rsid w:val="00BB62C3"/>
    <w:rsid w:val="00BB6E88"/>
    <w:rsid w:val="00BB79E2"/>
    <w:rsid w:val="00BC0007"/>
    <w:rsid w:val="00BC07F2"/>
    <w:rsid w:val="00BC2E34"/>
    <w:rsid w:val="00BC37F3"/>
    <w:rsid w:val="00BC3A1F"/>
    <w:rsid w:val="00BC3C36"/>
    <w:rsid w:val="00BC3D73"/>
    <w:rsid w:val="00BC4119"/>
    <w:rsid w:val="00BC4E85"/>
    <w:rsid w:val="00BC6F89"/>
    <w:rsid w:val="00BC6FE4"/>
    <w:rsid w:val="00BC73E2"/>
    <w:rsid w:val="00BD0699"/>
    <w:rsid w:val="00BD1311"/>
    <w:rsid w:val="00BD14AA"/>
    <w:rsid w:val="00BD16CA"/>
    <w:rsid w:val="00BD2758"/>
    <w:rsid w:val="00BD3E6D"/>
    <w:rsid w:val="00BD3EB6"/>
    <w:rsid w:val="00BD41E0"/>
    <w:rsid w:val="00BD6A5F"/>
    <w:rsid w:val="00BD79EB"/>
    <w:rsid w:val="00BD7F4D"/>
    <w:rsid w:val="00BE160E"/>
    <w:rsid w:val="00BE1CDC"/>
    <w:rsid w:val="00BE203F"/>
    <w:rsid w:val="00BE214C"/>
    <w:rsid w:val="00BE300C"/>
    <w:rsid w:val="00BE35A0"/>
    <w:rsid w:val="00BE6FC4"/>
    <w:rsid w:val="00BE7AED"/>
    <w:rsid w:val="00BE7AEF"/>
    <w:rsid w:val="00BE7CE9"/>
    <w:rsid w:val="00BE7DDA"/>
    <w:rsid w:val="00BF02C2"/>
    <w:rsid w:val="00BF05BE"/>
    <w:rsid w:val="00BF06CE"/>
    <w:rsid w:val="00BF1576"/>
    <w:rsid w:val="00BF1705"/>
    <w:rsid w:val="00BF1E90"/>
    <w:rsid w:val="00BF2226"/>
    <w:rsid w:val="00BF36C6"/>
    <w:rsid w:val="00BF432D"/>
    <w:rsid w:val="00BF59B9"/>
    <w:rsid w:val="00BF5C92"/>
    <w:rsid w:val="00BF5E57"/>
    <w:rsid w:val="00BF633B"/>
    <w:rsid w:val="00BF69E2"/>
    <w:rsid w:val="00BF6B4E"/>
    <w:rsid w:val="00BF7AFA"/>
    <w:rsid w:val="00C00918"/>
    <w:rsid w:val="00C01047"/>
    <w:rsid w:val="00C02670"/>
    <w:rsid w:val="00C0364C"/>
    <w:rsid w:val="00C0441E"/>
    <w:rsid w:val="00C05CF6"/>
    <w:rsid w:val="00C05E91"/>
    <w:rsid w:val="00C065CA"/>
    <w:rsid w:val="00C06BCB"/>
    <w:rsid w:val="00C07295"/>
    <w:rsid w:val="00C10E64"/>
    <w:rsid w:val="00C11ABD"/>
    <w:rsid w:val="00C13F0C"/>
    <w:rsid w:val="00C14577"/>
    <w:rsid w:val="00C161B3"/>
    <w:rsid w:val="00C16207"/>
    <w:rsid w:val="00C20401"/>
    <w:rsid w:val="00C21275"/>
    <w:rsid w:val="00C223E0"/>
    <w:rsid w:val="00C22693"/>
    <w:rsid w:val="00C2293E"/>
    <w:rsid w:val="00C2459F"/>
    <w:rsid w:val="00C249E3"/>
    <w:rsid w:val="00C24B38"/>
    <w:rsid w:val="00C26340"/>
    <w:rsid w:val="00C26354"/>
    <w:rsid w:val="00C26C8E"/>
    <w:rsid w:val="00C27C6B"/>
    <w:rsid w:val="00C27CD7"/>
    <w:rsid w:val="00C30172"/>
    <w:rsid w:val="00C32BCD"/>
    <w:rsid w:val="00C34D11"/>
    <w:rsid w:val="00C35626"/>
    <w:rsid w:val="00C3567F"/>
    <w:rsid w:val="00C35C9F"/>
    <w:rsid w:val="00C35FA7"/>
    <w:rsid w:val="00C362F8"/>
    <w:rsid w:val="00C36339"/>
    <w:rsid w:val="00C36CA0"/>
    <w:rsid w:val="00C41187"/>
    <w:rsid w:val="00C41481"/>
    <w:rsid w:val="00C4252E"/>
    <w:rsid w:val="00C42BB7"/>
    <w:rsid w:val="00C434A6"/>
    <w:rsid w:val="00C44950"/>
    <w:rsid w:val="00C44BF0"/>
    <w:rsid w:val="00C44DE9"/>
    <w:rsid w:val="00C4502E"/>
    <w:rsid w:val="00C4630E"/>
    <w:rsid w:val="00C4691B"/>
    <w:rsid w:val="00C4727E"/>
    <w:rsid w:val="00C47E68"/>
    <w:rsid w:val="00C50780"/>
    <w:rsid w:val="00C51C2C"/>
    <w:rsid w:val="00C51DCD"/>
    <w:rsid w:val="00C52593"/>
    <w:rsid w:val="00C54241"/>
    <w:rsid w:val="00C542A3"/>
    <w:rsid w:val="00C54902"/>
    <w:rsid w:val="00C56157"/>
    <w:rsid w:val="00C56C52"/>
    <w:rsid w:val="00C57C3A"/>
    <w:rsid w:val="00C600F2"/>
    <w:rsid w:val="00C604E2"/>
    <w:rsid w:val="00C60E93"/>
    <w:rsid w:val="00C621B1"/>
    <w:rsid w:val="00C62258"/>
    <w:rsid w:val="00C6264D"/>
    <w:rsid w:val="00C62B00"/>
    <w:rsid w:val="00C63863"/>
    <w:rsid w:val="00C63879"/>
    <w:rsid w:val="00C6573A"/>
    <w:rsid w:val="00C65862"/>
    <w:rsid w:val="00C6675C"/>
    <w:rsid w:val="00C6731A"/>
    <w:rsid w:val="00C67838"/>
    <w:rsid w:val="00C67DF4"/>
    <w:rsid w:val="00C7047D"/>
    <w:rsid w:val="00C709D7"/>
    <w:rsid w:val="00C7108E"/>
    <w:rsid w:val="00C72EC4"/>
    <w:rsid w:val="00C72F9A"/>
    <w:rsid w:val="00C73D41"/>
    <w:rsid w:val="00C7468E"/>
    <w:rsid w:val="00C7586B"/>
    <w:rsid w:val="00C75CE6"/>
    <w:rsid w:val="00C77B0F"/>
    <w:rsid w:val="00C810C6"/>
    <w:rsid w:val="00C8193B"/>
    <w:rsid w:val="00C81D3D"/>
    <w:rsid w:val="00C81E4A"/>
    <w:rsid w:val="00C821AD"/>
    <w:rsid w:val="00C8285D"/>
    <w:rsid w:val="00C82AC2"/>
    <w:rsid w:val="00C83A0E"/>
    <w:rsid w:val="00C84192"/>
    <w:rsid w:val="00C842AA"/>
    <w:rsid w:val="00C84616"/>
    <w:rsid w:val="00C84F62"/>
    <w:rsid w:val="00C8519F"/>
    <w:rsid w:val="00C8537C"/>
    <w:rsid w:val="00C8633E"/>
    <w:rsid w:val="00C8771F"/>
    <w:rsid w:val="00C9067E"/>
    <w:rsid w:val="00C9074C"/>
    <w:rsid w:val="00C91B8E"/>
    <w:rsid w:val="00C9228D"/>
    <w:rsid w:val="00C93B74"/>
    <w:rsid w:val="00C946C6"/>
    <w:rsid w:val="00C954B2"/>
    <w:rsid w:val="00C96691"/>
    <w:rsid w:val="00C96BB3"/>
    <w:rsid w:val="00C97360"/>
    <w:rsid w:val="00C97481"/>
    <w:rsid w:val="00CA1A24"/>
    <w:rsid w:val="00CA3706"/>
    <w:rsid w:val="00CA4409"/>
    <w:rsid w:val="00CA517D"/>
    <w:rsid w:val="00CA6821"/>
    <w:rsid w:val="00CA6ABF"/>
    <w:rsid w:val="00CA7052"/>
    <w:rsid w:val="00CA7456"/>
    <w:rsid w:val="00CB01D5"/>
    <w:rsid w:val="00CB1A36"/>
    <w:rsid w:val="00CB1C71"/>
    <w:rsid w:val="00CB347F"/>
    <w:rsid w:val="00CB3982"/>
    <w:rsid w:val="00CB46DB"/>
    <w:rsid w:val="00CB73C2"/>
    <w:rsid w:val="00CB7E30"/>
    <w:rsid w:val="00CC0314"/>
    <w:rsid w:val="00CC0E03"/>
    <w:rsid w:val="00CC0F12"/>
    <w:rsid w:val="00CC2001"/>
    <w:rsid w:val="00CC4853"/>
    <w:rsid w:val="00CC4B72"/>
    <w:rsid w:val="00CC4D89"/>
    <w:rsid w:val="00CC7C87"/>
    <w:rsid w:val="00CD17D7"/>
    <w:rsid w:val="00CD3FBD"/>
    <w:rsid w:val="00CD42D5"/>
    <w:rsid w:val="00CD5354"/>
    <w:rsid w:val="00CD7D72"/>
    <w:rsid w:val="00CD7DED"/>
    <w:rsid w:val="00CE0C01"/>
    <w:rsid w:val="00CE13B9"/>
    <w:rsid w:val="00CE1F0E"/>
    <w:rsid w:val="00CE2BB0"/>
    <w:rsid w:val="00CE2E7B"/>
    <w:rsid w:val="00CE475C"/>
    <w:rsid w:val="00CE55C1"/>
    <w:rsid w:val="00CE620C"/>
    <w:rsid w:val="00CE68AB"/>
    <w:rsid w:val="00CE72BD"/>
    <w:rsid w:val="00CE731E"/>
    <w:rsid w:val="00CF0F44"/>
    <w:rsid w:val="00CF1E09"/>
    <w:rsid w:val="00CF3980"/>
    <w:rsid w:val="00CF4341"/>
    <w:rsid w:val="00CF683B"/>
    <w:rsid w:val="00CF6C1F"/>
    <w:rsid w:val="00CF6C72"/>
    <w:rsid w:val="00CF7561"/>
    <w:rsid w:val="00CF7B0F"/>
    <w:rsid w:val="00CF7FA6"/>
    <w:rsid w:val="00D014B2"/>
    <w:rsid w:val="00D026F2"/>
    <w:rsid w:val="00D0514F"/>
    <w:rsid w:val="00D05F09"/>
    <w:rsid w:val="00D07A13"/>
    <w:rsid w:val="00D11769"/>
    <w:rsid w:val="00D12BF0"/>
    <w:rsid w:val="00D154A4"/>
    <w:rsid w:val="00D15985"/>
    <w:rsid w:val="00D15BF7"/>
    <w:rsid w:val="00D17949"/>
    <w:rsid w:val="00D202B2"/>
    <w:rsid w:val="00D20DA0"/>
    <w:rsid w:val="00D20F4D"/>
    <w:rsid w:val="00D237FF"/>
    <w:rsid w:val="00D2541F"/>
    <w:rsid w:val="00D260AA"/>
    <w:rsid w:val="00D26280"/>
    <w:rsid w:val="00D3013F"/>
    <w:rsid w:val="00D31F2C"/>
    <w:rsid w:val="00D33529"/>
    <w:rsid w:val="00D33C19"/>
    <w:rsid w:val="00D35078"/>
    <w:rsid w:val="00D35491"/>
    <w:rsid w:val="00D36D3B"/>
    <w:rsid w:val="00D370B6"/>
    <w:rsid w:val="00D37DB0"/>
    <w:rsid w:val="00D37EC3"/>
    <w:rsid w:val="00D40D39"/>
    <w:rsid w:val="00D414C0"/>
    <w:rsid w:val="00D41DD4"/>
    <w:rsid w:val="00D442FF"/>
    <w:rsid w:val="00D44977"/>
    <w:rsid w:val="00D4536E"/>
    <w:rsid w:val="00D467A9"/>
    <w:rsid w:val="00D47E32"/>
    <w:rsid w:val="00D511D1"/>
    <w:rsid w:val="00D53B7A"/>
    <w:rsid w:val="00D54833"/>
    <w:rsid w:val="00D55E5E"/>
    <w:rsid w:val="00D564EB"/>
    <w:rsid w:val="00D56660"/>
    <w:rsid w:val="00D576EE"/>
    <w:rsid w:val="00D57D7B"/>
    <w:rsid w:val="00D60D8D"/>
    <w:rsid w:val="00D616AE"/>
    <w:rsid w:val="00D61806"/>
    <w:rsid w:val="00D61FCF"/>
    <w:rsid w:val="00D63E42"/>
    <w:rsid w:val="00D64499"/>
    <w:rsid w:val="00D7060D"/>
    <w:rsid w:val="00D71BF2"/>
    <w:rsid w:val="00D71E52"/>
    <w:rsid w:val="00D7244B"/>
    <w:rsid w:val="00D74179"/>
    <w:rsid w:val="00D74F13"/>
    <w:rsid w:val="00D75BA4"/>
    <w:rsid w:val="00D81209"/>
    <w:rsid w:val="00D816BF"/>
    <w:rsid w:val="00D820C8"/>
    <w:rsid w:val="00D83102"/>
    <w:rsid w:val="00D842BE"/>
    <w:rsid w:val="00D8443D"/>
    <w:rsid w:val="00D84E55"/>
    <w:rsid w:val="00D85066"/>
    <w:rsid w:val="00D8551E"/>
    <w:rsid w:val="00D85858"/>
    <w:rsid w:val="00D8675C"/>
    <w:rsid w:val="00D86ACB"/>
    <w:rsid w:val="00D87663"/>
    <w:rsid w:val="00D902EC"/>
    <w:rsid w:val="00D90593"/>
    <w:rsid w:val="00D912AE"/>
    <w:rsid w:val="00D915B4"/>
    <w:rsid w:val="00D922EB"/>
    <w:rsid w:val="00D927AB"/>
    <w:rsid w:val="00D92DC0"/>
    <w:rsid w:val="00D94365"/>
    <w:rsid w:val="00D94EE0"/>
    <w:rsid w:val="00D954D9"/>
    <w:rsid w:val="00D9689E"/>
    <w:rsid w:val="00D97A20"/>
    <w:rsid w:val="00DA0394"/>
    <w:rsid w:val="00DA16A0"/>
    <w:rsid w:val="00DA16D5"/>
    <w:rsid w:val="00DA3900"/>
    <w:rsid w:val="00DA4DDD"/>
    <w:rsid w:val="00DA73A8"/>
    <w:rsid w:val="00DB11F2"/>
    <w:rsid w:val="00DB3F27"/>
    <w:rsid w:val="00DB3FDE"/>
    <w:rsid w:val="00DB432A"/>
    <w:rsid w:val="00DB4A0B"/>
    <w:rsid w:val="00DB4BB1"/>
    <w:rsid w:val="00DB5D54"/>
    <w:rsid w:val="00DB6319"/>
    <w:rsid w:val="00DB6C70"/>
    <w:rsid w:val="00DB729C"/>
    <w:rsid w:val="00DC07A9"/>
    <w:rsid w:val="00DC0D2C"/>
    <w:rsid w:val="00DC1471"/>
    <w:rsid w:val="00DC1837"/>
    <w:rsid w:val="00DC1E89"/>
    <w:rsid w:val="00DC36BC"/>
    <w:rsid w:val="00DC3C68"/>
    <w:rsid w:val="00DC414F"/>
    <w:rsid w:val="00DC5568"/>
    <w:rsid w:val="00DC5685"/>
    <w:rsid w:val="00DC6345"/>
    <w:rsid w:val="00DC6980"/>
    <w:rsid w:val="00DD0662"/>
    <w:rsid w:val="00DD0755"/>
    <w:rsid w:val="00DD0AF4"/>
    <w:rsid w:val="00DD167C"/>
    <w:rsid w:val="00DD213F"/>
    <w:rsid w:val="00DD26F0"/>
    <w:rsid w:val="00DD2B2A"/>
    <w:rsid w:val="00DD361A"/>
    <w:rsid w:val="00DD4700"/>
    <w:rsid w:val="00DD5F55"/>
    <w:rsid w:val="00DD79FE"/>
    <w:rsid w:val="00DE055C"/>
    <w:rsid w:val="00DE06CE"/>
    <w:rsid w:val="00DE13DA"/>
    <w:rsid w:val="00DE146D"/>
    <w:rsid w:val="00DE173A"/>
    <w:rsid w:val="00DE1885"/>
    <w:rsid w:val="00DE36EF"/>
    <w:rsid w:val="00DE38DE"/>
    <w:rsid w:val="00DE5986"/>
    <w:rsid w:val="00DE6B8C"/>
    <w:rsid w:val="00DF025C"/>
    <w:rsid w:val="00DF160F"/>
    <w:rsid w:val="00DF1F0F"/>
    <w:rsid w:val="00DF2C18"/>
    <w:rsid w:val="00DF3732"/>
    <w:rsid w:val="00DF57FD"/>
    <w:rsid w:val="00DF60E0"/>
    <w:rsid w:val="00DF714C"/>
    <w:rsid w:val="00DF79E1"/>
    <w:rsid w:val="00E0024E"/>
    <w:rsid w:val="00E00E3C"/>
    <w:rsid w:val="00E01558"/>
    <w:rsid w:val="00E01C7D"/>
    <w:rsid w:val="00E03601"/>
    <w:rsid w:val="00E04A4E"/>
    <w:rsid w:val="00E07DCA"/>
    <w:rsid w:val="00E11C64"/>
    <w:rsid w:val="00E125B4"/>
    <w:rsid w:val="00E13C55"/>
    <w:rsid w:val="00E13CD7"/>
    <w:rsid w:val="00E13F54"/>
    <w:rsid w:val="00E1415F"/>
    <w:rsid w:val="00E1519C"/>
    <w:rsid w:val="00E15CCB"/>
    <w:rsid w:val="00E16435"/>
    <w:rsid w:val="00E17763"/>
    <w:rsid w:val="00E1777F"/>
    <w:rsid w:val="00E177DC"/>
    <w:rsid w:val="00E203C1"/>
    <w:rsid w:val="00E206E4"/>
    <w:rsid w:val="00E23AF7"/>
    <w:rsid w:val="00E23B10"/>
    <w:rsid w:val="00E23E77"/>
    <w:rsid w:val="00E24286"/>
    <w:rsid w:val="00E24E69"/>
    <w:rsid w:val="00E254C8"/>
    <w:rsid w:val="00E25B73"/>
    <w:rsid w:val="00E304A6"/>
    <w:rsid w:val="00E30DAF"/>
    <w:rsid w:val="00E32369"/>
    <w:rsid w:val="00E32A12"/>
    <w:rsid w:val="00E35603"/>
    <w:rsid w:val="00E36100"/>
    <w:rsid w:val="00E36758"/>
    <w:rsid w:val="00E36986"/>
    <w:rsid w:val="00E411EC"/>
    <w:rsid w:val="00E413E0"/>
    <w:rsid w:val="00E44EA5"/>
    <w:rsid w:val="00E45255"/>
    <w:rsid w:val="00E45863"/>
    <w:rsid w:val="00E463C3"/>
    <w:rsid w:val="00E506CE"/>
    <w:rsid w:val="00E50F9C"/>
    <w:rsid w:val="00E51426"/>
    <w:rsid w:val="00E515C3"/>
    <w:rsid w:val="00E535BD"/>
    <w:rsid w:val="00E55D43"/>
    <w:rsid w:val="00E56324"/>
    <w:rsid w:val="00E56EFE"/>
    <w:rsid w:val="00E57A85"/>
    <w:rsid w:val="00E60830"/>
    <w:rsid w:val="00E626DB"/>
    <w:rsid w:val="00E70792"/>
    <w:rsid w:val="00E7139E"/>
    <w:rsid w:val="00E71450"/>
    <w:rsid w:val="00E714A0"/>
    <w:rsid w:val="00E7269A"/>
    <w:rsid w:val="00E74514"/>
    <w:rsid w:val="00E74FD6"/>
    <w:rsid w:val="00E74FF1"/>
    <w:rsid w:val="00E759F4"/>
    <w:rsid w:val="00E75E58"/>
    <w:rsid w:val="00E76F88"/>
    <w:rsid w:val="00E7742A"/>
    <w:rsid w:val="00E77935"/>
    <w:rsid w:val="00E8158D"/>
    <w:rsid w:val="00E81EDE"/>
    <w:rsid w:val="00E824BE"/>
    <w:rsid w:val="00E83350"/>
    <w:rsid w:val="00E835FE"/>
    <w:rsid w:val="00E838D3"/>
    <w:rsid w:val="00E83ADF"/>
    <w:rsid w:val="00E85319"/>
    <w:rsid w:val="00E86AF6"/>
    <w:rsid w:val="00E9185B"/>
    <w:rsid w:val="00E9235D"/>
    <w:rsid w:val="00E924CA"/>
    <w:rsid w:val="00E92EED"/>
    <w:rsid w:val="00E93D39"/>
    <w:rsid w:val="00E93DB0"/>
    <w:rsid w:val="00E95773"/>
    <w:rsid w:val="00E95AC8"/>
    <w:rsid w:val="00E95BFD"/>
    <w:rsid w:val="00E95E4F"/>
    <w:rsid w:val="00E96825"/>
    <w:rsid w:val="00E973ED"/>
    <w:rsid w:val="00E9744C"/>
    <w:rsid w:val="00E97D2E"/>
    <w:rsid w:val="00EA029F"/>
    <w:rsid w:val="00EA03E3"/>
    <w:rsid w:val="00EA0CBC"/>
    <w:rsid w:val="00EA2AAD"/>
    <w:rsid w:val="00EA2BB5"/>
    <w:rsid w:val="00EA34D7"/>
    <w:rsid w:val="00EA3736"/>
    <w:rsid w:val="00EA436C"/>
    <w:rsid w:val="00EB0550"/>
    <w:rsid w:val="00EB23C5"/>
    <w:rsid w:val="00EB2532"/>
    <w:rsid w:val="00EB2659"/>
    <w:rsid w:val="00EB3478"/>
    <w:rsid w:val="00EB43C4"/>
    <w:rsid w:val="00EB4CD5"/>
    <w:rsid w:val="00EB6FA1"/>
    <w:rsid w:val="00EB76AD"/>
    <w:rsid w:val="00EB7DF4"/>
    <w:rsid w:val="00EB7F30"/>
    <w:rsid w:val="00EC063C"/>
    <w:rsid w:val="00EC0C7D"/>
    <w:rsid w:val="00EC10D0"/>
    <w:rsid w:val="00EC14FD"/>
    <w:rsid w:val="00EC15F3"/>
    <w:rsid w:val="00EC1C85"/>
    <w:rsid w:val="00EC24B0"/>
    <w:rsid w:val="00EC269D"/>
    <w:rsid w:val="00EC297F"/>
    <w:rsid w:val="00EC2CE5"/>
    <w:rsid w:val="00EC321E"/>
    <w:rsid w:val="00EC3BD4"/>
    <w:rsid w:val="00EC46B2"/>
    <w:rsid w:val="00EC48DB"/>
    <w:rsid w:val="00EC4F51"/>
    <w:rsid w:val="00EC4F83"/>
    <w:rsid w:val="00EC5669"/>
    <w:rsid w:val="00EC6EE5"/>
    <w:rsid w:val="00ED05E6"/>
    <w:rsid w:val="00ED1D57"/>
    <w:rsid w:val="00ED20CE"/>
    <w:rsid w:val="00ED23DF"/>
    <w:rsid w:val="00ED2B0B"/>
    <w:rsid w:val="00ED2F9A"/>
    <w:rsid w:val="00ED3046"/>
    <w:rsid w:val="00ED495B"/>
    <w:rsid w:val="00ED4B14"/>
    <w:rsid w:val="00ED53B6"/>
    <w:rsid w:val="00ED60D4"/>
    <w:rsid w:val="00ED65D2"/>
    <w:rsid w:val="00ED6CDF"/>
    <w:rsid w:val="00ED6FD6"/>
    <w:rsid w:val="00ED7862"/>
    <w:rsid w:val="00ED790E"/>
    <w:rsid w:val="00EE02A9"/>
    <w:rsid w:val="00EE02C5"/>
    <w:rsid w:val="00EE0481"/>
    <w:rsid w:val="00EE0EF8"/>
    <w:rsid w:val="00EE10B3"/>
    <w:rsid w:val="00EE1F58"/>
    <w:rsid w:val="00EE2191"/>
    <w:rsid w:val="00EE237B"/>
    <w:rsid w:val="00EE2B74"/>
    <w:rsid w:val="00EE5946"/>
    <w:rsid w:val="00EE5B86"/>
    <w:rsid w:val="00EE6831"/>
    <w:rsid w:val="00EE68E7"/>
    <w:rsid w:val="00EE7D52"/>
    <w:rsid w:val="00EF3B26"/>
    <w:rsid w:val="00EF4D1A"/>
    <w:rsid w:val="00EF51D3"/>
    <w:rsid w:val="00EF77B2"/>
    <w:rsid w:val="00EF7ECE"/>
    <w:rsid w:val="00F00368"/>
    <w:rsid w:val="00F004E5"/>
    <w:rsid w:val="00F0067D"/>
    <w:rsid w:val="00F00D62"/>
    <w:rsid w:val="00F01F73"/>
    <w:rsid w:val="00F026FA"/>
    <w:rsid w:val="00F029F4"/>
    <w:rsid w:val="00F02C55"/>
    <w:rsid w:val="00F0330D"/>
    <w:rsid w:val="00F033D9"/>
    <w:rsid w:val="00F047EE"/>
    <w:rsid w:val="00F04852"/>
    <w:rsid w:val="00F06335"/>
    <w:rsid w:val="00F06666"/>
    <w:rsid w:val="00F1015D"/>
    <w:rsid w:val="00F10383"/>
    <w:rsid w:val="00F10C58"/>
    <w:rsid w:val="00F11C97"/>
    <w:rsid w:val="00F1367B"/>
    <w:rsid w:val="00F13AFA"/>
    <w:rsid w:val="00F1418C"/>
    <w:rsid w:val="00F14566"/>
    <w:rsid w:val="00F14C47"/>
    <w:rsid w:val="00F15786"/>
    <w:rsid w:val="00F15AE9"/>
    <w:rsid w:val="00F16FF5"/>
    <w:rsid w:val="00F17E26"/>
    <w:rsid w:val="00F21454"/>
    <w:rsid w:val="00F22090"/>
    <w:rsid w:val="00F247FA"/>
    <w:rsid w:val="00F24F3B"/>
    <w:rsid w:val="00F259D0"/>
    <w:rsid w:val="00F2645D"/>
    <w:rsid w:val="00F264E0"/>
    <w:rsid w:val="00F30E52"/>
    <w:rsid w:val="00F30FC0"/>
    <w:rsid w:val="00F32832"/>
    <w:rsid w:val="00F33BA5"/>
    <w:rsid w:val="00F34E91"/>
    <w:rsid w:val="00F379B7"/>
    <w:rsid w:val="00F4186D"/>
    <w:rsid w:val="00F41DC9"/>
    <w:rsid w:val="00F42FA9"/>
    <w:rsid w:val="00F442C5"/>
    <w:rsid w:val="00F4496C"/>
    <w:rsid w:val="00F45CCC"/>
    <w:rsid w:val="00F46CD1"/>
    <w:rsid w:val="00F509A9"/>
    <w:rsid w:val="00F51D3F"/>
    <w:rsid w:val="00F529B8"/>
    <w:rsid w:val="00F55A39"/>
    <w:rsid w:val="00F55E8B"/>
    <w:rsid w:val="00F56531"/>
    <w:rsid w:val="00F608FA"/>
    <w:rsid w:val="00F60B7E"/>
    <w:rsid w:val="00F61B50"/>
    <w:rsid w:val="00F61DDF"/>
    <w:rsid w:val="00F62D69"/>
    <w:rsid w:val="00F63444"/>
    <w:rsid w:val="00F645A0"/>
    <w:rsid w:val="00F6520D"/>
    <w:rsid w:val="00F65256"/>
    <w:rsid w:val="00F669E8"/>
    <w:rsid w:val="00F66F63"/>
    <w:rsid w:val="00F6766A"/>
    <w:rsid w:val="00F67E5D"/>
    <w:rsid w:val="00F712E3"/>
    <w:rsid w:val="00F7140F"/>
    <w:rsid w:val="00F71B89"/>
    <w:rsid w:val="00F73270"/>
    <w:rsid w:val="00F7428D"/>
    <w:rsid w:val="00F74E64"/>
    <w:rsid w:val="00F74FBE"/>
    <w:rsid w:val="00F7531E"/>
    <w:rsid w:val="00F75F7A"/>
    <w:rsid w:val="00F80A70"/>
    <w:rsid w:val="00F81CD8"/>
    <w:rsid w:val="00F823ED"/>
    <w:rsid w:val="00F8328C"/>
    <w:rsid w:val="00F83830"/>
    <w:rsid w:val="00F83970"/>
    <w:rsid w:val="00F83D84"/>
    <w:rsid w:val="00F84C25"/>
    <w:rsid w:val="00F854FC"/>
    <w:rsid w:val="00F8584F"/>
    <w:rsid w:val="00F85A6F"/>
    <w:rsid w:val="00F85F3C"/>
    <w:rsid w:val="00F87244"/>
    <w:rsid w:val="00F877BD"/>
    <w:rsid w:val="00F90AA5"/>
    <w:rsid w:val="00F92E93"/>
    <w:rsid w:val="00F93389"/>
    <w:rsid w:val="00F93F4B"/>
    <w:rsid w:val="00F94C19"/>
    <w:rsid w:val="00F95794"/>
    <w:rsid w:val="00F96521"/>
    <w:rsid w:val="00F974FD"/>
    <w:rsid w:val="00F97E83"/>
    <w:rsid w:val="00FA05CE"/>
    <w:rsid w:val="00FA08F6"/>
    <w:rsid w:val="00FA0D31"/>
    <w:rsid w:val="00FA0FC9"/>
    <w:rsid w:val="00FA1052"/>
    <w:rsid w:val="00FA3B00"/>
    <w:rsid w:val="00FA4135"/>
    <w:rsid w:val="00FA4AEA"/>
    <w:rsid w:val="00FA62E1"/>
    <w:rsid w:val="00FA6D83"/>
    <w:rsid w:val="00FA7422"/>
    <w:rsid w:val="00FA7743"/>
    <w:rsid w:val="00FB07A3"/>
    <w:rsid w:val="00FB091E"/>
    <w:rsid w:val="00FB0EE5"/>
    <w:rsid w:val="00FB153A"/>
    <w:rsid w:val="00FB2A00"/>
    <w:rsid w:val="00FB43C0"/>
    <w:rsid w:val="00FB4EA1"/>
    <w:rsid w:val="00FB53B8"/>
    <w:rsid w:val="00FB5698"/>
    <w:rsid w:val="00FB57D2"/>
    <w:rsid w:val="00FB66AB"/>
    <w:rsid w:val="00FB6900"/>
    <w:rsid w:val="00FB69A0"/>
    <w:rsid w:val="00FB6AEE"/>
    <w:rsid w:val="00FB729D"/>
    <w:rsid w:val="00FC14CB"/>
    <w:rsid w:val="00FC28C0"/>
    <w:rsid w:val="00FC2977"/>
    <w:rsid w:val="00FC2CB1"/>
    <w:rsid w:val="00FC33F2"/>
    <w:rsid w:val="00FC3633"/>
    <w:rsid w:val="00FC403B"/>
    <w:rsid w:val="00FC66D5"/>
    <w:rsid w:val="00FC77C0"/>
    <w:rsid w:val="00FC7A88"/>
    <w:rsid w:val="00FD0457"/>
    <w:rsid w:val="00FD145E"/>
    <w:rsid w:val="00FD172F"/>
    <w:rsid w:val="00FD1BA7"/>
    <w:rsid w:val="00FD1F2F"/>
    <w:rsid w:val="00FD2BAB"/>
    <w:rsid w:val="00FD407F"/>
    <w:rsid w:val="00FD40E9"/>
    <w:rsid w:val="00FD56F8"/>
    <w:rsid w:val="00FD66AF"/>
    <w:rsid w:val="00FD6F20"/>
    <w:rsid w:val="00FD7ACF"/>
    <w:rsid w:val="00FD7E45"/>
    <w:rsid w:val="00FE2527"/>
    <w:rsid w:val="00FE25A6"/>
    <w:rsid w:val="00FE298C"/>
    <w:rsid w:val="00FE30C8"/>
    <w:rsid w:val="00FE464D"/>
    <w:rsid w:val="00FE4953"/>
    <w:rsid w:val="00FE4F68"/>
    <w:rsid w:val="00FE55B6"/>
    <w:rsid w:val="00FE56ED"/>
    <w:rsid w:val="00FE58BC"/>
    <w:rsid w:val="00FE610D"/>
    <w:rsid w:val="00FE65CD"/>
    <w:rsid w:val="00FE6F94"/>
    <w:rsid w:val="00FE764A"/>
    <w:rsid w:val="00FE7890"/>
    <w:rsid w:val="00FF02EA"/>
    <w:rsid w:val="00FF0E35"/>
    <w:rsid w:val="00FF14F8"/>
    <w:rsid w:val="00FF1576"/>
    <w:rsid w:val="00FF189F"/>
    <w:rsid w:val="00FF234E"/>
    <w:rsid w:val="00FF2DBE"/>
    <w:rsid w:val="00FF49C7"/>
    <w:rsid w:val="00FF5D96"/>
    <w:rsid w:val="00FF785F"/>
    <w:rsid w:val="00FF7B3B"/>
    <w:rsid w:val="010F4632"/>
    <w:rsid w:val="011A5EF5"/>
    <w:rsid w:val="014E7787"/>
    <w:rsid w:val="019D0C8A"/>
    <w:rsid w:val="02062DA7"/>
    <w:rsid w:val="024B120B"/>
    <w:rsid w:val="027824D2"/>
    <w:rsid w:val="02A3285B"/>
    <w:rsid w:val="02CF7A3A"/>
    <w:rsid w:val="030218A7"/>
    <w:rsid w:val="03286ED1"/>
    <w:rsid w:val="03432397"/>
    <w:rsid w:val="038574E4"/>
    <w:rsid w:val="039F674D"/>
    <w:rsid w:val="041F054D"/>
    <w:rsid w:val="044524FD"/>
    <w:rsid w:val="048D2F69"/>
    <w:rsid w:val="049D06B4"/>
    <w:rsid w:val="04CB5FDF"/>
    <w:rsid w:val="05163BB6"/>
    <w:rsid w:val="051E77CF"/>
    <w:rsid w:val="05203077"/>
    <w:rsid w:val="05A30D0A"/>
    <w:rsid w:val="05FE2099"/>
    <w:rsid w:val="06554157"/>
    <w:rsid w:val="067508A9"/>
    <w:rsid w:val="06D111FD"/>
    <w:rsid w:val="06FB6C75"/>
    <w:rsid w:val="07273BEE"/>
    <w:rsid w:val="074C3DA8"/>
    <w:rsid w:val="078255F2"/>
    <w:rsid w:val="079133AE"/>
    <w:rsid w:val="07D17DB0"/>
    <w:rsid w:val="083D1384"/>
    <w:rsid w:val="08680916"/>
    <w:rsid w:val="08C24094"/>
    <w:rsid w:val="08D518AC"/>
    <w:rsid w:val="08E375DA"/>
    <w:rsid w:val="09006F08"/>
    <w:rsid w:val="091328EF"/>
    <w:rsid w:val="091D629C"/>
    <w:rsid w:val="091D7C13"/>
    <w:rsid w:val="096702B9"/>
    <w:rsid w:val="09870B88"/>
    <w:rsid w:val="098826F0"/>
    <w:rsid w:val="09AB22A2"/>
    <w:rsid w:val="09C94AB7"/>
    <w:rsid w:val="09F070F7"/>
    <w:rsid w:val="0A01237E"/>
    <w:rsid w:val="0A4F76B2"/>
    <w:rsid w:val="0A9313D9"/>
    <w:rsid w:val="0AF72042"/>
    <w:rsid w:val="0B0816D0"/>
    <w:rsid w:val="0B085689"/>
    <w:rsid w:val="0B4D73F7"/>
    <w:rsid w:val="0BB76F90"/>
    <w:rsid w:val="0BCA1053"/>
    <w:rsid w:val="0BDF05C2"/>
    <w:rsid w:val="0BEA58E4"/>
    <w:rsid w:val="0BFA53FB"/>
    <w:rsid w:val="0C664E29"/>
    <w:rsid w:val="0C945AA6"/>
    <w:rsid w:val="0CF52D62"/>
    <w:rsid w:val="0CF732C9"/>
    <w:rsid w:val="0D682962"/>
    <w:rsid w:val="0D8605C5"/>
    <w:rsid w:val="0DB7190D"/>
    <w:rsid w:val="0DC04739"/>
    <w:rsid w:val="0E61447E"/>
    <w:rsid w:val="0F065E65"/>
    <w:rsid w:val="0F5A65D5"/>
    <w:rsid w:val="0FFD1811"/>
    <w:rsid w:val="100B4F77"/>
    <w:rsid w:val="107240FA"/>
    <w:rsid w:val="10AB3168"/>
    <w:rsid w:val="110309CD"/>
    <w:rsid w:val="11290C5D"/>
    <w:rsid w:val="112B7BC0"/>
    <w:rsid w:val="11410336"/>
    <w:rsid w:val="11B92EF1"/>
    <w:rsid w:val="11CD248F"/>
    <w:rsid w:val="12054BB9"/>
    <w:rsid w:val="124D4697"/>
    <w:rsid w:val="129225EF"/>
    <w:rsid w:val="12925B58"/>
    <w:rsid w:val="12A8795F"/>
    <w:rsid w:val="12E25A74"/>
    <w:rsid w:val="12EC1F42"/>
    <w:rsid w:val="13024B0D"/>
    <w:rsid w:val="13954387"/>
    <w:rsid w:val="13957F83"/>
    <w:rsid w:val="13B00541"/>
    <w:rsid w:val="13C17930"/>
    <w:rsid w:val="13CA4FBE"/>
    <w:rsid w:val="13E034A5"/>
    <w:rsid w:val="14692378"/>
    <w:rsid w:val="14834586"/>
    <w:rsid w:val="14F472BF"/>
    <w:rsid w:val="15015554"/>
    <w:rsid w:val="15FE40E3"/>
    <w:rsid w:val="169B4A5C"/>
    <w:rsid w:val="17366064"/>
    <w:rsid w:val="174F0CF1"/>
    <w:rsid w:val="178A1D33"/>
    <w:rsid w:val="183171BE"/>
    <w:rsid w:val="18766D79"/>
    <w:rsid w:val="189B4150"/>
    <w:rsid w:val="18B83CF9"/>
    <w:rsid w:val="192E1E38"/>
    <w:rsid w:val="194A1770"/>
    <w:rsid w:val="19873749"/>
    <w:rsid w:val="19E505A5"/>
    <w:rsid w:val="19F605F2"/>
    <w:rsid w:val="1A034E17"/>
    <w:rsid w:val="1A0C3C44"/>
    <w:rsid w:val="1A52260B"/>
    <w:rsid w:val="1A8C5DB8"/>
    <w:rsid w:val="1AF003A5"/>
    <w:rsid w:val="1B0A4D19"/>
    <w:rsid w:val="1B2769A5"/>
    <w:rsid w:val="1B7C4B14"/>
    <w:rsid w:val="1B7E974C"/>
    <w:rsid w:val="1BCC0FFC"/>
    <w:rsid w:val="1BDE7872"/>
    <w:rsid w:val="1BF47E2A"/>
    <w:rsid w:val="1D1C5FD1"/>
    <w:rsid w:val="1D6A0FAC"/>
    <w:rsid w:val="1DA65258"/>
    <w:rsid w:val="1DDF7300"/>
    <w:rsid w:val="1DE06110"/>
    <w:rsid w:val="1E2C52E3"/>
    <w:rsid w:val="1E8D7B0F"/>
    <w:rsid w:val="1EC17B2A"/>
    <w:rsid w:val="1ED72914"/>
    <w:rsid w:val="1F06438B"/>
    <w:rsid w:val="1F3A7FBC"/>
    <w:rsid w:val="1F5844BB"/>
    <w:rsid w:val="1F7C289F"/>
    <w:rsid w:val="1FE96E9D"/>
    <w:rsid w:val="1FFF2783"/>
    <w:rsid w:val="1FFFD837"/>
    <w:rsid w:val="203B0343"/>
    <w:rsid w:val="208B29C1"/>
    <w:rsid w:val="20FA75BC"/>
    <w:rsid w:val="21761689"/>
    <w:rsid w:val="219577FA"/>
    <w:rsid w:val="22E16643"/>
    <w:rsid w:val="23CF6A9F"/>
    <w:rsid w:val="23E363A4"/>
    <w:rsid w:val="24521E21"/>
    <w:rsid w:val="249B42BD"/>
    <w:rsid w:val="25853DE3"/>
    <w:rsid w:val="261C3100"/>
    <w:rsid w:val="262B5B92"/>
    <w:rsid w:val="26824DD3"/>
    <w:rsid w:val="27105115"/>
    <w:rsid w:val="274C0DA9"/>
    <w:rsid w:val="27557CC7"/>
    <w:rsid w:val="278B1F81"/>
    <w:rsid w:val="278F4242"/>
    <w:rsid w:val="27C513D4"/>
    <w:rsid w:val="27E07AD1"/>
    <w:rsid w:val="27EFDB6E"/>
    <w:rsid w:val="282A14C2"/>
    <w:rsid w:val="28731BFA"/>
    <w:rsid w:val="28B83391"/>
    <w:rsid w:val="28C35B86"/>
    <w:rsid w:val="29EC6874"/>
    <w:rsid w:val="29F83D7F"/>
    <w:rsid w:val="2A2E652C"/>
    <w:rsid w:val="2A3F341C"/>
    <w:rsid w:val="2A8C4493"/>
    <w:rsid w:val="2AA97CD9"/>
    <w:rsid w:val="2AB033FD"/>
    <w:rsid w:val="2ACF7DDB"/>
    <w:rsid w:val="2AFC26A5"/>
    <w:rsid w:val="2AFC2E65"/>
    <w:rsid w:val="2B3E0799"/>
    <w:rsid w:val="2B6D6F61"/>
    <w:rsid w:val="2B966C99"/>
    <w:rsid w:val="2BDFEBFC"/>
    <w:rsid w:val="2BEAE845"/>
    <w:rsid w:val="2BF90622"/>
    <w:rsid w:val="2C4A5F6D"/>
    <w:rsid w:val="2C4C53A8"/>
    <w:rsid w:val="2C855EC0"/>
    <w:rsid w:val="2C89344C"/>
    <w:rsid w:val="2C9C6FD1"/>
    <w:rsid w:val="2CD90022"/>
    <w:rsid w:val="2CDB4661"/>
    <w:rsid w:val="2D9C4821"/>
    <w:rsid w:val="2DF61A6F"/>
    <w:rsid w:val="2E3E0684"/>
    <w:rsid w:val="2E431884"/>
    <w:rsid w:val="2E9A2328"/>
    <w:rsid w:val="2EA51338"/>
    <w:rsid w:val="2EB84A13"/>
    <w:rsid w:val="2ED555D3"/>
    <w:rsid w:val="2F326743"/>
    <w:rsid w:val="2F5520B3"/>
    <w:rsid w:val="2FBE2790"/>
    <w:rsid w:val="2FCA4F61"/>
    <w:rsid w:val="2FDC350C"/>
    <w:rsid w:val="2FFD5044"/>
    <w:rsid w:val="302F5020"/>
    <w:rsid w:val="30F46739"/>
    <w:rsid w:val="31257D08"/>
    <w:rsid w:val="31532D34"/>
    <w:rsid w:val="31570192"/>
    <w:rsid w:val="31796C3F"/>
    <w:rsid w:val="31892FC0"/>
    <w:rsid w:val="31910C2B"/>
    <w:rsid w:val="319E35DE"/>
    <w:rsid w:val="31B770FA"/>
    <w:rsid w:val="31C441A2"/>
    <w:rsid w:val="31D43E75"/>
    <w:rsid w:val="31E23B74"/>
    <w:rsid w:val="31EA18EB"/>
    <w:rsid w:val="324052F5"/>
    <w:rsid w:val="333874B4"/>
    <w:rsid w:val="333B4AD7"/>
    <w:rsid w:val="34025B99"/>
    <w:rsid w:val="3444355D"/>
    <w:rsid w:val="34D0040D"/>
    <w:rsid w:val="3505058C"/>
    <w:rsid w:val="35087C06"/>
    <w:rsid w:val="354C01C6"/>
    <w:rsid w:val="35BD2BA5"/>
    <w:rsid w:val="360024DD"/>
    <w:rsid w:val="367E7A1B"/>
    <w:rsid w:val="36A8374B"/>
    <w:rsid w:val="36C73FA8"/>
    <w:rsid w:val="36D417F8"/>
    <w:rsid w:val="36EA1762"/>
    <w:rsid w:val="3710145C"/>
    <w:rsid w:val="373971F1"/>
    <w:rsid w:val="379E632E"/>
    <w:rsid w:val="37DDE836"/>
    <w:rsid w:val="37F75ABC"/>
    <w:rsid w:val="38033706"/>
    <w:rsid w:val="381C797E"/>
    <w:rsid w:val="382F5D85"/>
    <w:rsid w:val="38337B1F"/>
    <w:rsid w:val="38547D67"/>
    <w:rsid w:val="386212C5"/>
    <w:rsid w:val="38CB55B2"/>
    <w:rsid w:val="39070FD0"/>
    <w:rsid w:val="395A2211"/>
    <w:rsid w:val="399B0B2B"/>
    <w:rsid w:val="39FE0580"/>
    <w:rsid w:val="3AB70D8D"/>
    <w:rsid w:val="3AD80972"/>
    <w:rsid w:val="3B453CA8"/>
    <w:rsid w:val="3B7F84EE"/>
    <w:rsid w:val="3B945A4F"/>
    <w:rsid w:val="3BCF01DC"/>
    <w:rsid w:val="3BEDDD7D"/>
    <w:rsid w:val="3C054C00"/>
    <w:rsid w:val="3C0C0299"/>
    <w:rsid w:val="3C131A3E"/>
    <w:rsid w:val="3C164BFC"/>
    <w:rsid w:val="3C4E187E"/>
    <w:rsid w:val="3C5B5AE3"/>
    <w:rsid w:val="3C893498"/>
    <w:rsid w:val="3CAA0C2A"/>
    <w:rsid w:val="3CB04C67"/>
    <w:rsid w:val="3CBE5B70"/>
    <w:rsid w:val="3CBFE63A"/>
    <w:rsid w:val="3CC5641C"/>
    <w:rsid w:val="3CF36ED7"/>
    <w:rsid w:val="3E7A7424"/>
    <w:rsid w:val="3E8B8DDB"/>
    <w:rsid w:val="3EDC080D"/>
    <w:rsid w:val="3F0640DC"/>
    <w:rsid w:val="3F39EE70"/>
    <w:rsid w:val="3F7766F8"/>
    <w:rsid w:val="3F7B46F4"/>
    <w:rsid w:val="3F7E1A18"/>
    <w:rsid w:val="3FA76EB1"/>
    <w:rsid w:val="3FBECF14"/>
    <w:rsid w:val="3FDDAD9D"/>
    <w:rsid w:val="3FDFBB89"/>
    <w:rsid w:val="3FE9453D"/>
    <w:rsid w:val="3FF27A2D"/>
    <w:rsid w:val="400B3158"/>
    <w:rsid w:val="401660ED"/>
    <w:rsid w:val="40DD68A1"/>
    <w:rsid w:val="411E5F4E"/>
    <w:rsid w:val="41270465"/>
    <w:rsid w:val="418C02C8"/>
    <w:rsid w:val="41CA6B0D"/>
    <w:rsid w:val="42B31885"/>
    <w:rsid w:val="42E142C5"/>
    <w:rsid w:val="43434165"/>
    <w:rsid w:val="43773C93"/>
    <w:rsid w:val="43A31900"/>
    <w:rsid w:val="44342449"/>
    <w:rsid w:val="44A9419E"/>
    <w:rsid w:val="453B2E15"/>
    <w:rsid w:val="45C06792"/>
    <w:rsid w:val="46056292"/>
    <w:rsid w:val="460743C1"/>
    <w:rsid w:val="46CA2C95"/>
    <w:rsid w:val="46F875AC"/>
    <w:rsid w:val="4704504F"/>
    <w:rsid w:val="470E02B0"/>
    <w:rsid w:val="474D04B8"/>
    <w:rsid w:val="4780267D"/>
    <w:rsid w:val="47C82AB6"/>
    <w:rsid w:val="47FB3835"/>
    <w:rsid w:val="488D7201"/>
    <w:rsid w:val="48EDB8D2"/>
    <w:rsid w:val="48FA6149"/>
    <w:rsid w:val="490E6BF2"/>
    <w:rsid w:val="491422AA"/>
    <w:rsid w:val="49403DC0"/>
    <w:rsid w:val="499D406A"/>
    <w:rsid w:val="49C43614"/>
    <w:rsid w:val="49F356B9"/>
    <w:rsid w:val="49F5754A"/>
    <w:rsid w:val="4AF41D21"/>
    <w:rsid w:val="4B034287"/>
    <w:rsid w:val="4B1B26BD"/>
    <w:rsid w:val="4B461E9A"/>
    <w:rsid w:val="4C0118B3"/>
    <w:rsid w:val="4C2548C9"/>
    <w:rsid w:val="4C2D2C06"/>
    <w:rsid w:val="4C2E37FB"/>
    <w:rsid w:val="4C5018AD"/>
    <w:rsid w:val="4C5B18DA"/>
    <w:rsid w:val="4CB3173E"/>
    <w:rsid w:val="4CB919EE"/>
    <w:rsid w:val="4D022B80"/>
    <w:rsid w:val="4D1811DB"/>
    <w:rsid w:val="4D2515D1"/>
    <w:rsid w:val="4D257EE3"/>
    <w:rsid w:val="4DA457ED"/>
    <w:rsid w:val="4DD252B5"/>
    <w:rsid w:val="4E395334"/>
    <w:rsid w:val="4E59017D"/>
    <w:rsid w:val="4E715D92"/>
    <w:rsid w:val="4EBF9323"/>
    <w:rsid w:val="4F4D194D"/>
    <w:rsid w:val="4F4E3061"/>
    <w:rsid w:val="4FA91587"/>
    <w:rsid w:val="4FD9157D"/>
    <w:rsid w:val="4FDA66A3"/>
    <w:rsid w:val="50223379"/>
    <w:rsid w:val="50260D6D"/>
    <w:rsid w:val="5061701A"/>
    <w:rsid w:val="50F7764E"/>
    <w:rsid w:val="51A91ECA"/>
    <w:rsid w:val="51BB2504"/>
    <w:rsid w:val="51BD01F7"/>
    <w:rsid w:val="51F11680"/>
    <w:rsid w:val="530E5635"/>
    <w:rsid w:val="53202487"/>
    <w:rsid w:val="53627F15"/>
    <w:rsid w:val="538E7ED0"/>
    <w:rsid w:val="53B36A4F"/>
    <w:rsid w:val="53DBD11F"/>
    <w:rsid w:val="53ED65D0"/>
    <w:rsid w:val="541952C8"/>
    <w:rsid w:val="5423474F"/>
    <w:rsid w:val="545574A0"/>
    <w:rsid w:val="546F2C6E"/>
    <w:rsid w:val="54815C87"/>
    <w:rsid w:val="549F2A3D"/>
    <w:rsid w:val="54CE2EB6"/>
    <w:rsid w:val="552E6A45"/>
    <w:rsid w:val="5531145B"/>
    <w:rsid w:val="554E19BA"/>
    <w:rsid w:val="55501513"/>
    <w:rsid w:val="55A6484F"/>
    <w:rsid w:val="55D44D2A"/>
    <w:rsid w:val="55DC32DD"/>
    <w:rsid w:val="55EC35D4"/>
    <w:rsid w:val="562532E3"/>
    <w:rsid w:val="56FE7F16"/>
    <w:rsid w:val="570D55B0"/>
    <w:rsid w:val="572528F9"/>
    <w:rsid w:val="575952A4"/>
    <w:rsid w:val="576C677A"/>
    <w:rsid w:val="57C92EBB"/>
    <w:rsid w:val="57DD6CBA"/>
    <w:rsid w:val="5824056B"/>
    <w:rsid w:val="585C71EC"/>
    <w:rsid w:val="58641614"/>
    <w:rsid w:val="58937D46"/>
    <w:rsid w:val="58E321C6"/>
    <w:rsid w:val="590F58F1"/>
    <w:rsid w:val="5912492F"/>
    <w:rsid w:val="594F2B73"/>
    <w:rsid w:val="597D27E9"/>
    <w:rsid w:val="599675FA"/>
    <w:rsid w:val="5A5B0515"/>
    <w:rsid w:val="5AA75BB6"/>
    <w:rsid w:val="5AEB8A65"/>
    <w:rsid w:val="5B3250D7"/>
    <w:rsid w:val="5B667B87"/>
    <w:rsid w:val="5B895B04"/>
    <w:rsid w:val="5BD1147B"/>
    <w:rsid w:val="5BF6FC58"/>
    <w:rsid w:val="5C0A4147"/>
    <w:rsid w:val="5C595D12"/>
    <w:rsid w:val="5C5F68AD"/>
    <w:rsid w:val="5CC0776B"/>
    <w:rsid w:val="5CED67E6"/>
    <w:rsid w:val="5D665E64"/>
    <w:rsid w:val="5D831B9C"/>
    <w:rsid w:val="5DF33D34"/>
    <w:rsid w:val="5E03770C"/>
    <w:rsid w:val="5E1E62F4"/>
    <w:rsid w:val="5E343D6A"/>
    <w:rsid w:val="5E670C65"/>
    <w:rsid w:val="5E684414"/>
    <w:rsid w:val="5E994B4E"/>
    <w:rsid w:val="5EA41B4D"/>
    <w:rsid w:val="5ED1073F"/>
    <w:rsid w:val="5EFF941E"/>
    <w:rsid w:val="5F1576F7"/>
    <w:rsid w:val="5F555916"/>
    <w:rsid w:val="5F6140B9"/>
    <w:rsid w:val="5F7FE359"/>
    <w:rsid w:val="5FA016B7"/>
    <w:rsid w:val="5FAB13D2"/>
    <w:rsid w:val="5FD67D35"/>
    <w:rsid w:val="5FDCEEBB"/>
    <w:rsid w:val="5FF44301"/>
    <w:rsid w:val="5FFBDA93"/>
    <w:rsid w:val="600F1D58"/>
    <w:rsid w:val="60160933"/>
    <w:rsid w:val="60237BF2"/>
    <w:rsid w:val="60782708"/>
    <w:rsid w:val="60CA6779"/>
    <w:rsid w:val="60FC4644"/>
    <w:rsid w:val="6151303D"/>
    <w:rsid w:val="615F3874"/>
    <w:rsid w:val="618047EF"/>
    <w:rsid w:val="618F3FE9"/>
    <w:rsid w:val="61964296"/>
    <w:rsid w:val="61BB1755"/>
    <w:rsid w:val="620D6F2B"/>
    <w:rsid w:val="62626B2F"/>
    <w:rsid w:val="62B372FA"/>
    <w:rsid w:val="62C059D6"/>
    <w:rsid w:val="62DE48F7"/>
    <w:rsid w:val="632E2B36"/>
    <w:rsid w:val="632F3665"/>
    <w:rsid w:val="63651226"/>
    <w:rsid w:val="63B90AEE"/>
    <w:rsid w:val="64047BEF"/>
    <w:rsid w:val="642E5B37"/>
    <w:rsid w:val="64634A61"/>
    <w:rsid w:val="64A901F2"/>
    <w:rsid w:val="64D05FDA"/>
    <w:rsid w:val="64DC1DD7"/>
    <w:rsid w:val="65881FCC"/>
    <w:rsid w:val="65CF39B2"/>
    <w:rsid w:val="65E240AB"/>
    <w:rsid w:val="660506AE"/>
    <w:rsid w:val="66175E30"/>
    <w:rsid w:val="66BF2619"/>
    <w:rsid w:val="66CF3697"/>
    <w:rsid w:val="66D37D3F"/>
    <w:rsid w:val="66E169F5"/>
    <w:rsid w:val="67813937"/>
    <w:rsid w:val="678D25FC"/>
    <w:rsid w:val="679717F3"/>
    <w:rsid w:val="680E23EA"/>
    <w:rsid w:val="68421C97"/>
    <w:rsid w:val="684261FE"/>
    <w:rsid w:val="68860BD6"/>
    <w:rsid w:val="6894352D"/>
    <w:rsid w:val="68BE670A"/>
    <w:rsid w:val="68F22857"/>
    <w:rsid w:val="69010A29"/>
    <w:rsid w:val="693F559B"/>
    <w:rsid w:val="698533BB"/>
    <w:rsid w:val="699D6EBC"/>
    <w:rsid w:val="69BF25A7"/>
    <w:rsid w:val="69EC37D4"/>
    <w:rsid w:val="69F50578"/>
    <w:rsid w:val="6A107439"/>
    <w:rsid w:val="6AD50830"/>
    <w:rsid w:val="6AFF30F8"/>
    <w:rsid w:val="6BC21080"/>
    <w:rsid w:val="6BF7E0A1"/>
    <w:rsid w:val="6BFA3EFD"/>
    <w:rsid w:val="6BFFE5A7"/>
    <w:rsid w:val="6C0A54C0"/>
    <w:rsid w:val="6C7517D5"/>
    <w:rsid w:val="6C7FD171"/>
    <w:rsid w:val="6C7FD99F"/>
    <w:rsid w:val="6CA8034F"/>
    <w:rsid w:val="6D180489"/>
    <w:rsid w:val="6D546954"/>
    <w:rsid w:val="6D9B2892"/>
    <w:rsid w:val="6DC0425A"/>
    <w:rsid w:val="6DC653D0"/>
    <w:rsid w:val="6DEE1CBB"/>
    <w:rsid w:val="6DF003E7"/>
    <w:rsid w:val="6E452DFA"/>
    <w:rsid w:val="6E62549C"/>
    <w:rsid w:val="6EB81E4D"/>
    <w:rsid w:val="6EBB269A"/>
    <w:rsid w:val="6EBD1446"/>
    <w:rsid w:val="6F7BCBDC"/>
    <w:rsid w:val="6F8F4F9D"/>
    <w:rsid w:val="6F983DC8"/>
    <w:rsid w:val="6FBF4302"/>
    <w:rsid w:val="6FC4CB26"/>
    <w:rsid w:val="6FE65F90"/>
    <w:rsid w:val="6FF7674D"/>
    <w:rsid w:val="7027119D"/>
    <w:rsid w:val="70A810A2"/>
    <w:rsid w:val="70C14877"/>
    <w:rsid w:val="712310E3"/>
    <w:rsid w:val="71271DF2"/>
    <w:rsid w:val="71770BD0"/>
    <w:rsid w:val="717FC157"/>
    <w:rsid w:val="719E4226"/>
    <w:rsid w:val="71CF1DC7"/>
    <w:rsid w:val="71CF59F3"/>
    <w:rsid w:val="71DF1E42"/>
    <w:rsid w:val="72DF0B24"/>
    <w:rsid w:val="733A72D5"/>
    <w:rsid w:val="73B65A37"/>
    <w:rsid w:val="73FE0A23"/>
    <w:rsid w:val="74862288"/>
    <w:rsid w:val="74EF734F"/>
    <w:rsid w:val="74FC676B"/>
    <w:rsid w:val="752E2C69"/>
    <w:rsid w:val="7542E984"/>
    <w:rsid w:val="759BDBB1"/>
    <w:rsid w:val="75DFDB47"/>
    <w:rsid w:val="75FF0EAF"/>
    <w:rsid w:val="75FF717B"/>
    <w:rsid w:val="76397AFE"/>
    <w:rsid w:val="76526FEC"/>
    <w:rsid w:val="76592168"/>
    <w:rsid w:val="76D38D4F"/>
    <w:rsid w:val="76DD4D00"/>
    <w:rsid w:val="76EED612"/>
    <w:rsid w:val="76FEB1F0"/>
    <w:rsid w:val="7728683B"/>
    <w:rsid w:val="77753D8F"/>
    <w:rsid w:val="778C7E3D"/>
    <w:rsid w:val="7792494C"/>
    <w:rsid w:val="77968F4A"/>
    <w:rsid w:val="779FC6DB"/>
    <w:rsid w:val="77BFB7F9"/>
    <w:rsid w:val="77CF1D1D"/>
    <w:rsid w:val="77D83E59"/>
    <w:rsid w:val="77E071C9"/>
    <w:rsid w:val="77FB73BC"/>
    <w:rsid w:val="77FDF7C7"/>
    <w:rsid w:val="781C021C"/>
    <w:rsid w:val="784C6D24"/>
    <w:rsid w:val="78511348"/>
    <w:rsid w:val="78597FC3"/>
    <w:rsid w:val="785C244D"/>
    <w:rsid w:val="786602FA"/>
    <w:rsid w:val="788616D8"/>
    <w:rsid w:val="794C5560"/>
    <w:rsid w:val="799873D3"/>
    <w:rsid w:val="79E8ABE8"/>
    <w:rsid w:val="79FB1B0E"/>
    <w:rsid w:val="79FF3C35"/>
    <w:rsid w:val="7A351A96"/>
    <w:rsid w:val="7A676B88"/>
    <w:rsid w:val="7A779A3E"/>
    <w:rsid w:val="7A8F43AA"/>
    <w:rsid w:val="7AC03543"/>
    <w:rsid w:val="7AC83418"/>
    <w:rsid w:val="7B3404F7"/>
    <w:rsid w:val="7B5D5E92"/>
    <w:rsid w:val="7B774107"/>
    <w:rsid w:val="7B7F78CD"/>
    <w:rsid w:val="7BBAF214"/>
    <w:rsid w:val="7BBF57BE"/>
    <w:rsid w:val="7BDB239D"/>
    <w:rsid w:val="7BDB3ECD"/>
    <w:rsid w:val="7BDC361F"/>
    <w:rsid w:val="7BE01ED9"/>
    <w:rsid w:val="7BFF29F2"/>
    <w:rsid w:val="7C2428D0"/>
    <w:rsid w:val="7C3F3F6D"/>
    <w:rsid w:val="7C4067F6"/>
    <w:rsid w:val="7C57F994"/>
    <w:rsid w:val="7C6158D2"/>
    <w:rsid w:val="7C700A8B"/>
    <w:rsid w:val="7C956BA3"/>
    <w:rsid w:val="7CB20A76"/>
    <w:rsid w:val="7CB77BE8"/>
    <w:rsid w:val="7CC559C5"/>
    <w:rsid w:val="7CE85E18"/>
    <w:rsid w:val="7CF572D6"/>
    <w:rsid w:val="7D271E9F"/>
    <w:rsid w:val="7D8D1E57"/>
    <w:rsid w:val="7D963C8F"/>
    <w:rsid w:val="7DEFF831"/>
    <w:rsid w:val="7DF620B0"/>
    <w:rsid w:val="7DF71658"/>
    <w:rsid w:val="7DFBF4A3"/>
    <w:rsid w:val="7DFBF668"/>
    <w:rsid w:val="7DFF17F3"/>
    <w:rsid w:val="7E161E57"/>
    <w:rsid w:val="7E221091"/>
    <w:rsid w:val="7E4BFF2F"/>
    <w:rsid w:val="7E897490"/>
    <w:rsid w:val="7EC70F4C"/>
    <w:rsid w:val="7EF46A93"/>
    <w:rsid w:val="7EFB172B"/>
    <w:rsid w:val="7F264BB1"/>
    <w:rsid w:val="7F373AF4"/>
    <w:rsid w:val="7F63115A"/>
    <w:rsid w:val="7F6B78C6"/>
    <w:rsid w:val="7F718EF5"/>
    <w:rsid w:val="7F957235"/>
    <w:rsid w:val="7F9B5B8C"/>
    <w:rsid w:val="7F9B9FA2"/>
    <w:rsid w:val="7FA70875"/>
    <w:rsid w:val="7FBA6B96"/>
    <w:rsid w:val="7FED946C"/>
    <w:rsid w:val="7FFE8960"/>
    <w:rsid w:val="7FFF63F9"/>
    <w:rsid w:val="87FB4DC8"/>
    <w:rsid w:val="88DBB4AC"/>
    <w:rsid w:val="962FFD1D"/>
    <w:rsid w:val="9C93DFB0"/>
    <w:rsid w:val="9EFE9F9F"/>
    <w:rsid w:val="A7D6CAF1"/>
    <w:rsid w:val="A9EFC667"/>
    <w:rsid w:val="A9FE9785"/>
    <w:rsid w:val="AADB36F7"/>
    <w:rsid w:val="ABFF4199"/>
    <w:rsid w:val="ABFF89C4"/>
    <w:rsid w:val="ADB58517"/>
    <w:rsid w:val="AF5CAAF4"/>
    <w:rsid w:val="AF6BBF1F"/>
    <w:rsid w:val="B6DB9CAB"/>
    <w:rsid w:val="B6DD232A"/>
    <w:rsid w:val="B75E0C0E"/>
    <w:rsid w:val="B77F7E96"/>
    <w:rsid w:val="B77FA9EF"/>
    <w:rsid w:val="B9BE1569"/>
    <w:rsid w:val="BA57DCEA"/>
    <w:rsid w:val="BB3F6D21"/>
    <w:rsid w:val="BBFB6D31"/>
    <w:rsid w:val="BD579A04"/>
    <w:rsid w:val="BDE54A86"/>
    <w:rsid w:val="BE1F6A86"/>
    <w:rsid w:val="BEFEAA1E"/>
    <w:rsid w:val="BFBF388D"/>
    <w:rsid w:val="BFEF140E"/>
    <w:rsid w:val="BFF29E31"/>
    <w:rsid w:val="BFF7CCF4"/>
    <w:rsid w:val="BFFBA5BB"/>
    <w:rsid w:val="BFFD7EC0"/>
    <w:rsid w:val="C27D9262"/>
    <w:rsid w:val="C5F9F3C0"/>
    <w:rsid w:val="C677F0CE"/>
    <w:rsid w:val="CA5FD4F7"/>
    <w:rsid w:val="CB777CEC"/>
    <w:rsid w:val="D6AFC3FF"/>
    <w:rsid w:val="D6EC2371"/>
    <w:rsid w:val="D7AD84E3"/>
    <w:rsid w:val="D7BF04CA"/>
    <w:rsid w:val="D7FF36AA"/>
    <w:rsid w:val="D7FFBDFA"/>
    <w:rsid w:val="D9B9BFF9"/>
    <w:rsid w:val="DAEF6265"/>
    <w:rsid w:val="DAEFC72E"/>
    <w:rsid w:val="DB37D2D5"/>
    <w:rsid w:val="DD87EDAF"/>
    <w:rsid w:val="DDBEF8B7"/>
    <w:rsid w:val="DDCA16EF"/>
    <w:rsid w:val="DDFC5062"/>
    <w:rsid w:val="DE7BA8CF"/>
    <w:rsid w:val="DE7F9762"/>
    <w:rsid w:val="DEFD6E00"/>
    <w:rsid w:val="DF3F6FFF"/>
    <w:rsid w:val="DF7CECBE"/>
    <w:rsid w:val="DFB2B3F4"/>
    <w:rsid w:val="DFB7AE14"/>
    <w:rsid w:val="DFBF11C8"/>
    <w:rsid w:val="DFBF6A2C"/>
    <w:rsid w:val="DFCEBD92"/>
    <w:rsid w:val="DFDF3555"/>
    <w:rsid w:val="DFF78112"/>
    <w:rsid w:val="DFFAD0D3"/>
    <w:rsid w:val="DFFFDF38"/>
    <w:rsid w:val="E2EF6B16"/>
    <w:rsid w:val="E6EF62BB"/>
    <w:rsid w:val="E7BD7563"/>
    <w:rsid w:val="E7D41AAA"/>
    <w:rsid w:val="E7DB1A74"/>
    <w:rsid w:val="E9FFC84B"/>
    <w:rsid w:val="EBBEC69B"/>
    <w:rsid w:val="EBFD2415"/>
    <w:rsid w:val="ECCCBCF5"/>
    <w:rsid w:val="ECF792E0"/>
    <w:rsid w:val="EDAC0613"/>
    <w:rsid w:val="EE4C0E70"/>
    <w:rsid w:val="EEC74A54"/>
    <w:rsid w:val="EEE7CF13"/>
    <w:rsid w:val="EEEF7F00"/>
    <w:rsid w:val="EEFBE0D1"/>
    <w:rsid w:val="EF3E117E"/>
    <w:rsid w:val="EF7D76D1"/>
    <w:rsid w:val="EFF5354D"/>
    <w:rsid w:val="EFF928C4"/>
    <w:rsid w:val="F1FFC4A2"/>
    <w:rsid w:val="F3F66BA6"/>
    <w:rsid w:val="F5BB65DE"/>
    <w:rsid w:val="F5F94EF5"/>
    <w:rsid w:val="F5FB01D7"/>
    <w:rsid w:val="F67FCFC5"/>
    <w:rsid w:val="F7D7B31F"/>
    <w:rsid w:val="F7E765C2"/>
    <w:rsid w:val="F7EDA84D"/>
    <w:rsid w:val="F7FF606E"/>
    <w:rsid w:val="F8CF8F35"/>
    <w:rsid w:val="F8DF025F"/>
    <w:rsid w:val="F8F76670"/>
    <w:rsid w:val="F8FEEBAE"/>
    <w:rsid w:val="FA77911C"/>
    <w:rsid w:val="FAEFC91A"/>
    <w:rsid w:val="FB79667A"/>
    <w:rsid w:val="FB79C75A"/>
    <w:rsid w:val="FB7F7C4A"/>
    <w:rsid w:val="FBC6F833"/>
    <w:rsid w:val="FBDB6702"/>
    <w:rsid w:val="FBEF4B63"/>
    <w:rsid w:val="FBFB59CD"/>
    <w:rsid w:val="FCFE79C2"/>
    <w:rsid w:val="FD3E9C9E"/>
    <w:rsid w:val="FDB5182E"/>
    <w:rsid w:val="FDEF5CF8"/>
    <w:rsid w:val="FDFF7F77"/>
    <w:rsid w:val="FDFFEA89"/>
    <w:rsid w:val="FEC621E6"/>
    <w:rsid w:val="FECBC986"/>
    <w:rsid w:val="FED500DE"/>
    <w:rsid w:val="FEEB6470"/>
    <w:rsid w:val="FEEF36A5"/>
    <w:rsid w:val="FF1F6B2B"/>
    <w:rsid w:val="FF3E9E3A"/>
    <w:rsid w:val="FF6B515D"/>
    <w:rsid w:val="FF7C9ADB"/>
    <w:rsid w:val="FF7F52B4"/>
    <w:rsid w:val="FF8F9373"/>
    <w:rsid w:val="FF979289"/>
    <w:rsid w:val="FFAB15AC"/>
    <w:rsid w:val="FFCD4D4B"/>
    <w:rsid w:val="FFDBA107"/>
    <w:rsid w:val="FFDBDB65"/>
    <w:rsid w:val="FFDE023D"/>
    <w:rsid w:val="FFF4CF5C"/>
    <w:rsid w:val="FFFD2845"/>
    <w:rsid w:val="FFFD92B6"/>
    <w:rsid w:val="FFFE7CFD"/>
    <w:rsid w:val="FFFE8517"/>
    <w:rsid w:val="FFFFEAB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Times New Roman" w:cs="Times New Roman"/>
      <w:sz w:val="22"/>
      <w:szCs w:val="22"/>
      <w:lang w:val="en-US" w:eastAsia="zh-CN" w:bidi="ar-SA"/>
    </w:rPr>
  </w:style>
  <w:style w:type="paragraph" w:styleId="2">
    <w:name w:val="heading 3"/>
    <w:basedOn w:val="1"/>
    <w:link w:val="46"/>
    <w:qFormat/>
    <w:uiPriority w:val="9"/>
    <w:pPr>
      <w:spacing w:before="100" w:beforeAutospacing="1" w:after="100" w:afterAutospacing="1"/>
      <w:jc w:val="left"/>
      <w:outlineLvl w:val="2"/>
    </w:pPr>
    <w:rPr>
      <w:rFonts w:ascii="宋体" w:hAnsi="宋体" w:eastAsia="宋体" w:cs="宋体"/>
      <w:b/>
      <w:bCs/>
      <w:sz w:val="27"/>
      <w:szCs w:val="27"/>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2"/>
    <w:unhideWhenUsed/>
    <w:qFormat/>
    <w:uiPriority w:val="99"/>
    <w:pPr>
      <w:widowControl w:val="0"/>
      <w:tabs>
        <w:tab w:val="center" w:pos="4153"/>
        <w:tab w:val="right" w:pos="8306"/>
      </w:tabs>
      <w:snapToGrid w:val="0"/>
      <w:spacing w:line="480" w:lineRule="auto"/>
      <w:jc w:val="center"/>
    </w:pPr>
    <w:rPr>
      <w:rFonts w:cstheme="minorBidi"/>
      <w:kern w:val="2"/>
    </w:rPr>
  </w:style>
  <w:style w:type="paragraph" w:styleId="4">
    <w:name w:val="header"/>
    <w:basedOn w:val="1"/>
    <w:link w:val="11"/>
    <w:unhideWhenUsed/>
    <w:qFormat/>
    <w:uiPriority w:val="99"/>
    <w:pPr>
      <w:widowControl w:val="0"/>
      <w:pBdr>
        <w:bottom w:val="single" w:color="auto" w:sz="6" w:space="1"/>
      </w:pBdr>
      <w:tabs>
        <w:tab w:val="center" w:pos="4153"/>
        <w:tab w:val="right" w:pos="8306"/>
      </w:tabs>
      <w:snapToGrid w:val="0"/>
      <w:spacing w:line="480" w:lineRule="auto"/>
      <w:ind w:firstLine="480"/>
      <w:jc w:val="center"/>
    </w:pPr>
    <w:rPr>
      <w:rFonts w:cstheme="minorBidi"/>
      <w:kern w:val="2"/>
    </w:rPr>
  </w:style>
  <w:style w:type="paragraph" w:styleId="5">
    <w:name w:val="Normal (Web)"/>
    <w:basedOn w:val="1"/>
    <w:unhideWhenUsed/>
    <w:qFormat/>
    <w:uiPriority w:val="99"/>
    <w:pPr>
      <w:widowControl w:val="0"/>
      <w:spacing w:beforeAutospacing="1" w:afterAutospacing="1"/>
      <w:ind w:firstLine="883"/>
    </w:pPr>
    <w:rPr>
      <w:rFonts w:eastAsia="宋体"/>
      <w:sz w:val="24"/>
      <w:szCs w:val="24"/>
    </w:rPr>
  </w:style>
  <w:style w:type="character" w:styleId="8">
    <w:name w:val="Strong"/>
    <w:basedOn w:val="7"/>
    <w:qFormat/>
    <w:uiPriority w:val="22"/>
    <w:rPr>
      <w:b/>
      <w:bCs/>
    </w:rPr>
  </w:style>
  <w:style w:type="character" w:styleId="9">
    <w:name w:val="page number"/>
    <w:basedOn w:val="7"/>
    <w:qFormat/>
    <w:uiPriority w:val="0"/>
  </w:style>
  <w:style w:type="character" w:styleId="10">
    <w:name w:val="line number"/>
    <w:basedOn w:val="7"/>
    <w:semiHidden/>
    <w:unhideWhenUsed/>
    <w:qFormat/>
    <w:uiPriority w:val="99"/>
  </w:style>
  <w:style w:type="character" w:customStyle="1" w:styleId="11">
    <w:name w:val="页眉 字符"/>
    <w:basedOn w:val="7"/>
    <w:link w:val="4"/>
    <w:qFormat/>
    <w:uiPriority w:val="99"/>
    <w:rPr>
      <w:rFonts w:ascii="Times New Roman" w:hAnsi="Times New Roman" w:eastAsia="Times New Roman" w:cs="Times New Roman"/>
      <w:sz w:val="22"/>
      <w:szCs w:val="22"/>
    </w:rPr>
  </w:style>
  <w:style w:type="character" w:customStyle="1" w:styleId="12">
    <w:name w:val="页脚 字符"/>
    <w:basedOn w:val="7"/>
    <w:link w:val="3"/>
    <w:qFormat/>
    <w:uiPriority w:val="99"/>
    <w:rPr>
      <w:rFonts w:ascii="Times New Roman" w:hAnsi="Times New Roman" w:eastAsia="Times New Roman" w:cstheme="minorBidi"/>
      <w:kern w:val="2"/>
      <w:sz w:val="22"/>
      <w:szCs w:val="22"/>
    </w:rPr>
  </w:style>
  <w:style w:type="character" w:customStyle="1" w:styleId="13">
    <w:name w:val="katex-mathml"/>
    <w:basedOn w:val="7"/>
    <w:qFormat/>
    <w:uiPriority w:val="0"/>
  </w:style>
  <w:style w:type="character" w:customStyle="1" w:styleId="14">
    <w:name w:val="vlist-s"/>
    <w:basedOn w:val="7"/>
    <w:qFormat/>
    <w:uiPriority w:val="0"/>
  </w:style>
  <w:style w:type="paragraph" w:customStyle="1" w:styleId="15">
    <w:name w:val="01 封面主标题"/>
    <w:basedOn w:val="1"/>
    <w:qFormat/>
    <w:uiPriority w:val="40"/>
    <w:pPr>
      <w:spacing w:after="180" w:line="264" w:lineRule="auto"/>
      <w:jc w:val="left"/>
      <w:outlineLvl w:val="0"/>
    </w:pPr>
    <w:rPr>
      <w:b/>
      <w:bCs/>
      <w:sz w:val="36"/>
      <w:szCs w:val="36"/>
    </w:rPr>
  </w:style>
  <w:style w:type="paragraph" w:customStyle="1" w:styleId="16">
    <w:name w:val="02 封面连接词"/>
    <w:basedOn w:val="1"/>
    <w:qFormat/>
    <w:uiPriority w:val="40"/>
    <w:pPr>
      <w:spacing w:after="80" w:line="264" w:lineRule="auto"/>
      <w:jc w:val="left"/>
    </w:pPr>
    <w:rPr>
      <w:b/>
      <w:bCs/>
      <w:sz w:val="36"/>
      <w:szCs w:val="36"/>
    </w:rPr>
  </w:style>
  <w:style w:type="paragraph" w:customStyle="1" w:styleId="17">
    <w:name w:val="03 封面论文题名"/>
    <w:basedOn w:val="1"/>
    <w:autoRedefine/>
    <w:qFormat/>
    <w:uiPriority w:val="40"/>
    <w:pPr>
      <w:spacing w:after="120" w:line="264" w:lineRule="auto"/>
      <w:outlineLvl w:val="1"/>
    </w:pPr>
    <w:rPr>
      <w:b/>
      <w:bCs/>
      <w:sz w:val="36"/>
      <w:szCs w:val="28"/>
    </w:rPr>
  </w:style>
  <w:style w:type="paragraph" w:customStyle="1" w:styleId="18">
    <w:name w:val="04 封面作者信息"/>
    <w:basedOn w:val="1"/>
    <w:qFormat/>
    <w:uiPriority w:val="40"/>
    <w:pPr>
      <w:spacing w:before="100" w:beforeAutospacing="1" w:after="100" w:afterAutospacing="1" w:line="264" w:lineRule="auto"/>
      <w:jc w:val="left"/>
    </w:pPr>
    <w:rPr>
      <w:color w:val="000000"/>
    </w:rPr>
  </w:style>
  <w:style w:type="paragraph" w:customStyle="1" w:styleId="19">
    <w:name w:val="05 前置说明标题"/>
    <w:basedOn w:val="1"/>
    <w:qFormat/>
    <w:uiPriority w:val="40"/>
    <w:pPr>
      <w:spacing w:before="332" w:after="332" w:line="264" w:lineRule="auto"/>
    </w:pPr>
    <w:rPr>
      <w:b/>
      <w:bCs/>
      <w:sz w:val="24"/>
      <w:szCs w:val="24"/>
    </w:rPr>
  </w:style>
  <w:style w:type="paragraph" w:customStyle="1" w:styleId="20">
    <w:name w:val="06 前置说明条目"/>
    <w:basedOn w:val="1"/>
    <w:qFormat/>
    <w:uiPriority w:val="40"/>
    <w:pPr>
      <w:spacing w:line="264" w:lineRule="auto"/>
    </w:pPr>
    <w:rPr>
      <w:color w:val="000000"/>
      <w:sz w:val="24"/>
      <w:szCs w:val="24"/>
    </w:rPr>
  </w:style>
  <w:style w:type="paragraph" w:customStyle="1" w:styleId="21">
    <w:name w:val="07 目录标题"/>
    <w:basedOn w:val="1"/>
    <w:qFormat/>
    <w:uiPriority w:val="40"/>
    <w:pPr>
      <w:spacing w:before="332" w:after="332" w:line="264" w:lineRule="auto"/>
      <w:outlineLvl w:val="0"/>
    </w:pPr>
    <w:rPr>
      <w:b/>
      <w:bCs/>
      <w:sz w:val="28"/>
      <w:szCs w:val="28"/>
    </w:rPr>
  </w:style>
  <w:style w:type="paragraph" w:customStyle="1" w:styleId="22">
    <w:name w:val="08 目录分组标题"/>
    <w:basedOn w:val="1"/>
    <w:qFormat/>
    <w:uiPriority w:val="40"/>
    <w:pPr>
      <w:spacing w:before="80" w:after="60" w:line="264" w:lineRule="auto"/>
    </w:pPr>
    <w:rPr>
      <w:b/>
      <w:bCs/>
      <w:color w:val="000000"/>
      <w:sz w:val="24"/>
      <w:szCs w:val="24"/>
    </w:rPr>
  </w:style>
  <w:style w:type="paragraph" w:customStyle="1" w:styleId="23">
    <w:name w:val="09 目录方法条目"/>
    <w:basedOn w:val="1"/>
    <w:qFormat/>
    <w:uiPriority w:val="40"/>
    <w:pPr>
      <w:spacing w:after="20" w:line="264" w:lineRule="auto"/>
    </w:pPr>
    <w:rPr>
      <w:sz w:val="20"/>
      <w:szCs w:val="20"/>
    </w:rPr>
  </w:style>
  <w:style w:type="paragraph" w:customStyle="1" w:styleId="24">
    <w:name w:val="10 目录图题条目"/>
    <w:basedOn w:val="1"/>
    <w:qFormat/>
    <w:uiPriority w:val="40"/>
    <w:pPr>
      <w:spacing w:after="20" w:line="264" w:lineRule="auto"/>
    </w:pPr>
    <w:rPr>
      <w:sz w:val="20"/>
      <w:szCs w:val="20"/>
    </w:rPr>
  </w:style>
  <w:style w:type="paragraph" w:customStyle="1" w:styleId="25">
    <w:name w:val="11 目录表题条目"/>
    <w:basedOn w:val="1"/>
    <w:qFormat/>
    <w:uiPriority w:val="40"/>
    <w:pPr>
      <w:spacing w:after="20" w:line="264" w:lineRule="auto"/>
    </w:pPr>
    <w:rPr>
      <w:sz w:val="20"/>
      <w:szCs w:val="20"/>
    </w:rPr>
  </w:style>
  <w:style w:type="paragraph" w:customStyle="1" w:styleId="26">
    <w:name w:val="12 目录参考文献条目"/>
    <w:basedOn w:val="1"/>
    <w:qFormat/>
    <w:uiPriority w:val="40"/>
    <w:pPr>
      <w:spacing w:after="20" w:line="264" w:lineRule="auto"/>
    </w:pPr>
    <w:rPr>
      <w:sz w:val="20"/>
      <w:szCs w:val="20"/>
    </w:rPr>
  </w:style>
  <w:style w:type="paragraph" w:customStyle="1" w:styleId="27">
    <w:name w:val="13 一级标题"/>
    <w:basedOn w:val="1"/>
    <w:qFormat/>
    <w:uiPriority w:val="40"/>
    <w:pPr>
      <w:keepNext/>
      <w:spacing w:before="332" w:after="332" w:line="264" w:lineRule="auto"/>
      <w:outlineLvl w:val="0"/>
    </w:pPr>
    <w:rPr>
      <w:b/>
      <w:bCs/>
      <w:sz w:val="28"/>
      <w:szCs w:val="28"/>
    </w:rPr>
  </w:style>
  <w:style w:type="paragraph" w:customStyle="1" w:styleId="28">
    <w:name w:val="14 二级标题"/>
    <w:basedOn w:val="1"/>
    <w:qFormat/>
    <w:uiPriority w:val="40"/>
    <w:pPr>
      <w:keepNext/>
      <w:spacing w:before="332" w:after="332" w:line="264" w:lineRule="auto"/>
      <w:outlineLvl w:val="1"/>
    </w:pPr>
    <w:rPr>
      <w:b/>
      <w:bCs/>
      <w:sz w:val="28"/>
      <w:szCs w:val="28"/>
    </w:rPr>
  </w:style>
  <w:style w:type="paragraph" w:customStyle="1" w:styleId="29">
    <w:name w:val="15 三级标题"/>
    <w:basedOn w:val="1"/>
    <w:qFormat/>
    <w:uiPriority w:val="40"/>
    <w:pPr>
      <w:keepNext/>
      <w:spacing w:before="332" w:after="332" w:line="264" w:lineRule="auto"/>
      <w:outlineLvl w:val="2"/>
    </w:pPr>
    <w:rPr>
      <w:b/>
      <w:bCs/>
      <w:i/>
      <w:iCs/>
      <w:sz w:val="24"/>
      <w:szCs w:val="24"/>
    </w:rPr>
  </w:style>
  <w:style w:type="paragraph" w:customStyle="1" w:styleId="30">
    <w:name w:val="16 正文"/>
    <w:basedOn w:val="1"/>
    <w:qFormat/>
    <w:uiPriority w:val="40"/>
    <w:pPr>
      <w:spacing w:line="264" w:lineRule="auto"/>
    </w:pPr>
    <w:rPr>
      <w:sz w:val="21"/>
      <w:szCs w:val="21"/>
    </w:rPr>
  </w:style>
  <w:style w:type="paragraph" w:customStyle="1" w:styleId="31">
    <w:name w:val="17 公式"/>
    <w:basedOn w:val="1"/>
    <w:qFormat/>
    <w:uiPriority w:val="40"/>
    <w:pPr>
      <w:spacing w:before="80" w:after="80" w:line="264" w:lineRule="auto"/>
      <w:jc w:val="right"/>
    </w:pPr>
    <w:rPr>
      <w:sz w:val="21"/>
      <w:szCs w:val="21"/>
    </w:rPr>
  </w:style>
  <w:style w:type="paragraph" w:customStyle="1" w:styleId="32">
    <w:name w:val="18 图题"/>
    <w:basedOn w:val="1"/>
    <w:qFormat/>
    <w:uiPriority w:val="40"/>
    <w:pPr>
      <w:spacing w:after="332" w:line="264" w:lineRule="auto"/>
    </w:pPr>
  </w:style>
  <w:style w:type="paragraph" w:customStyle="1" w:styleId="33">
    <w:name w:val="19 表题"/>
    <w:basedOn w:val="1"/>
    <w:qFormat/>
    <w:uiPriority w:val="40"/>
    <w:pPr>
      <w:keepNext/>
      <w:spacing w:before="140" w:after="80" w:line="264" w:lineRule="auto"/>
      <w:jc w:val="left"/>
    </w:pPr>
    <w:rPr>
      <w:b/>
      <w:bCs/>
    </w:rPr>
  </w:style>
  <w:style w:type="paragraph" w:customStyle="1" w:styleId="34">
    <w:name w:val="20 表格分组标题"/>
    <w:basedOn w:val="1"/>
    <w:qFormat/>
    <w:uiPriority w:val="40"/>
    <w:pPr>
      <w:keepNext/>
      <w:spacing w:before="80" w:after="40" w:line="264" w:lineRule="auto"/>
    </w:pPr>
    <w:rPr>
      <w:b/>
      <w:bCs/>
      <w:sz w:val="20"/>
      <w:szCs w:val="20"/>
    </w:rPr>
  </w:style>
  <w:style w:type="paragraph" w:customStyle="1" w:styleId="35">
    <w:name w:val="21 表注"/>
    <w:basedOn w:val="1"/>
    <w:qFormat/>
    <w:uiPriority w:val="40"/>
    <w:pPr>
      <w:spacing w:line="264" w:lineRule="auto"/>
    </w:pPr>
    <w:rPr>
      <w:szCs w:val="19"/>
    </w:rPr>
  </w:style>
  <w:style w:type="paragraph" w:customStyle="1" w:styleId="36">
    <w:name w:val="22 表头"/>
    <w:basedOn w:val="1"/>
    <w:link w:val="48"/>
    <w:qFormat/>
    <w:uiPriority w:val="40"/>
    <w:pPr>
      <w:spacing w:line="210" w:lineRule="auto"/>
      <w:jc w:val="center"/>
      <w:textAlignment w:val="center"/>
    </w:pPr>
    <w:rPr>
      <w:rFonts w:eastAsia="宋体"/>
      <w:b/>
      <w:bCs/>
      <w:color w:val="000000"/>
    </w:rPr>
  </w:style>
  <w:style w:type="paragraph" w:customStyle="1" w:styleId="37">
    <w:name w:val="23 表格正文"/>
    <w:basedOn w:val="1"/>
    <w:qFormat/>
    <w:uiPriority w:val="40"/>
    <w:pPr>
      <w:spacing w:line="210" w:lineRule="auto"/>
      <w:jc w:val="left"/>
      <w:textAlignment w:val="center"/>
    </w:pPr>
    <w:rPr>
      <w:color w:val="000000"/>
      <w:szCs w:val="18"/>
    </w:rPr>
  </w:style>
  <w:style w:type="paragraph" w:customStyle="1" w:styleId="38">
    <w:name w:val="24 参考文献"/>
    <w:basedOn w:val="1"/>
    <w:qFormat/>
    <w:uiPriority w:val="40"/>
    <w:pPr>
      <w:spacing w:after="100" w:line="264" w:lineRule="auto"/>
      <w:ind w:hanging="360"/>
    </w:pPr>
    <w:rPr>
      <w:sz w:val="20"/>
      <w:szCs w:val="20"/>
    </w:rPr>
  </w:style>
  <w:style w:type="paragraph" w:customStyle="1" w:styleId="39">
    <w:name w:val="修订1"/>
    <w:hidden/>
    <w:unhideWhenUsed/>
    <w:uiPriority w:val="99"/>
    <w:rPr>
      <w:rFonts w:ascii="Times New Roman" w:hAnsi="Times New Roman" w:eastAsia="Times New Roman" w:cs="Times New Roman"/>
      <w:sz w:val="22"/>
      <w:szCs w:val="22"/>
      <w:lang w:val="en-US" w:eastAsia="zh-CN" w:bidi="ar-SA"/>
    </w:rPr>
  </w:style>
  <w:style w:type="character" w:customStyle="1" w:styleId="40">
    <w:name w:val="15"/>
    <w:basedOn w:val="7"/>
    <w:uiPriority w:val="0"/>
    <w:rPr>
      <w:rFonts w:hint="default" w:ascii="Times New Roman" w:hAnsi="Times New Roman" w:cs="Times New Roman"/>
    </w:rPr>
  </w:style>
  <w:style w:type="character" w:customStyle="1" w:styleId="41">
    <w:name w:val="10"/>
    <w:basedOn w:val="7"/>
    <w:uiPriority w:val="0"/>
    <w:rPr>
      <w:rFonts w:hint="default" w:ascii="Times New Roman" w:hAnsi="Times New Roman" w:cs="Times New Roman"/>
    </w:rPr>
  </w:style>
  <w:style w:type="paragraph" w:customStyle="1" w:styleId="42">
    <w:name w:val="修订2"/>
    <w:hidden/>
    <w:unhideWhenUsed/>
    <w:uiPriority w:val="99"/>
    <w:rPr>
      <w:rFonts w:ascii="Times New Roman" w:hAnsi="Times New Roman" w:eastAsia="Times New Roman" w:cs="Times New Roman"/>
      <w:sz w:val="22"/>
      <w:szCs w:val="22"/>
      <w:lang w:val="en-US" w:eastAsia="zh-CN" w:bidi="ar-SA"/>
    </w:rPr>
  </w:style>
  <w:style w:type="paragraph" w:customStyle="1" w:styleId="43">
    <w:name w:val="pdq2pg_selectionanchorcontainer"/>
    <w:basedOn w:val="1"/>
    <w:uiPriority w:val="0"/>
    <w:pPr>
      <w:spacing w:before="100" w:beforeAutospacing="1" w:after="100" w:afterAutospacing="1"/>
      <w:jc w:val="left"/>
    </w:pPr>
    <w:rPr>
      <w:rFonts w:ascii="宋体" w:hAnsi="宋体" w:eastAsia="宋体" w:cs="宋体"/>
      <w:sz w:val="24"/>
      <w:szCs w:val="24"/>
    </w:rPr>
  </w:style>
  <w:style w:type="character" w:styleId="44">
    <w:name w:val="Placeholder Text"/>
    <w:basedOn w:val="7"/>
    <w:unhideWhenUsed/>
    <w:uiPriority w:val="99"/>
    <w:rPr>
      <w:color w:val="000000"/>
    </w:rPr>
  </w:style>
  <w:style w:type="paragraph" w:customStyle="1" w:styleId="45">
    <w:name w:val="修订3"/>
    <w:hidden/>
    <w:unhideWhenUsed/>
    <w:uiPriority w:val="99"/>
    <w:rPr>
      <w:rFonts w:ascii="Times New Roman" w:hAnsi="Times New Roman" w:eastAsia="Times New Roman" w:cs="Times New Roman"/>
      <w:sz w:val="22"/>
      <w:szCs w:val="22"/>
      <w:lang w:val="en-US" w:eastAsia="zh-CN" w:bidi="ar-SA"/>
    </w:rPr>
  </w:style>
  <w:style w:type="character" w:customStyle="1" w:styleId="46">
    <w:name w:val="标题 3 字符"/>
    <w:basedOn w:val="7"/>
    <w:link w:val="2"/>
    <w:uiPriority w:val="9"/>
    <w:rPr>
      <w:rFonts w:ascii="宋体" w:hAnsi="宋体" w:eastAsia="宋体" w:cs="宋体"/>
      <w:b/>
      <w:bCs/>
      <w:sz w:val="27"/>
      <w:szCs w:val="27"/>
    </w:rPr>
  </w:style>
  <w:style w:type="character" w:customStyle="1" w:styleId="47">
    <w:name w:val="font01"/>
    <w:basedOn w:val="7"/>
    <w:uiPriority w:val="0"/>
    <w:rPr>
      <w:rFonts w:hint="eastAsia" w:ascii="宋体" w:hAnsi="宋体" w:eastAsia="宋体"/>
      <w:color w:val="000000"/>
      <w:sz w:val="22"/>
      <w:szCs w:val="22"/>
      <w:u w:val="none"/>
    </w:rPr>
  </w:style>
  <w:style w:type="character" w:customStyle="1" w:styleId="48">
    <w:name w:val="22 表头 Char"/>
    <w:link w:val="36"/>
    <w:uiPriority w:val="40"/>
    <w:rPr>
      <w:rFonts w:eastAsia="宋体"/>
      <w:b/>
      <w:bCs/>
      <w:color w:val="000000"/>
    </w:rPr>
  </w:style>
  <w:style w:type="paragraph" w:customStyle="1" w:styleId="49">
    <w:name w:val="修订4"/>
    <w:hidden/>
    <w:unhideWhenUsed/>
    <w:uiPriority w:val="99"/>
    <w:rPr>
      <w:rFonts w:ascii="Times New Roman" w:hAnsi="Times New Roman" w:eastAsia="Times New Roman" w:cs="Times New Roman"/>
      <w:sz w:val="22"/>
      <w:szCs w:val="22"/>
      <w:lang w:val="en-US" w:eastAsia="zh-CN" w:bidi="ar-SA"/>
    </w:rPr>
  </w:style>
  <w:style w:type="paragraph" w:customStyle="1" w:styleId="50">
    <w:name w:val="修订5"/>
    <w:hidden/>
    <w:unhideWhenUsed/>
    <w:uiPriority w:val="99"/>
    <w:rPr>
      <w:rFonts w:ascii="Times New Roman" w:hAnsi="Times New Roman" w:eastAsia="Times New Roman" w:cs="Times New Roman"/>
      <w:sz w:val="22"/>
      <w:szCs w:val="22"/>
      <w:lang w:val="en-US" w:eastAsia="zh-CN" w:bidi="ar-SA"/>
    </w:rPr>
  </w:style>
  <w:style w:type="paragraph" w:styleId="51">
    <w:name w:val="List Paragraph"/>
    <w:basedOn w:val="1"/>
    <w:uiPriority w:val="99"/>
    <w:pPr>
      <w:ind w:firstLine="420" w:firstLineChars="200"/>
    </w:pPr>
  </w:style>
  <w:style w:type="paragraph" w:customStyle="1" w:styleId="52">
    <w:name w:val="修订6"/>
    <w:hidden/>
    <w:semiHidden/>
    <w:uiPriority w:val="99"/>
    <w:rPr>
      <w:rFonts w:ascii="Times New Roman" w:hAnsi="Times New Roman" w:eastAsia="Times New Roman" w:cs="Times New Roman"/>
      <w:sz w:val="22"/>
      <w:szCs w:val="22"/>
      <w:lang w:val="en-US" w:eastAsia="zh-CN" w:bidi="ar-SA"/>
    </w:rPr>
  </w:style>
  <w:style w:type="paragraph" w:customStyle="1" w:styleId="53">
    <w:name w:val="修订7"/>
    <w:hidden/>
    <w:unhideWhenUsed/>
    <w:uiPriority w:val="99"/>
    <w:rPr>
      <w:rFonts w:ascii="Times New Roman" w:hAnsi="Times New Roman" w:eastAsia="Times New Roman" w:cs="Times New Roman"/>
      <w:sz w:val="22"/>
      <w:szCs w:val="22"/>
      <w:lang w:val="en-US" w:eastAsia="zh-CN" w:bidi="ar-SA"/>
    </w:rPr>
  </w:style>
  <w:style w:type="paragraph" w:customStyle="1" w:styleId="54">
    <w:name w:val="修订8"/>
    <w:hidden/>
    <w:unhideWhenUsed/>
    <w:uiPriority w:val="99"/>
    <w:rPr>
      <w:rFonts w:ascii="Times New Roman" w:hAnsi="Times New Roman" w:eastAsia="Times New Roman"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5"/>
    <customShpInfo spid="_x0000_s1034"/>
    <customShpInfo spid="_x0000_s1033"/>
    <customShpInfo spid="_x0000_s1032"/>
    <customShpInfo spid="_x0000_s1031"/>
    <customShpInfo spid="_x0000_s1030"/>
    <customShpInfo spid="_x0000_s1029"/>
    <customShpInfo spid="_x0000_s1028"/>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98CC95-6ECD-B84A-8D0C-730EC823249B}">
  <ds:schemaRefs/>
</ds:datastoreItem>
</file>

<file path=docProps/app.xml><?xml version="1.0" encoding="utf-8"?>
<Properties xmlns="http://schemas.openxmlformats.org/officeDocument/2006/extended-properties" xmlns:vt="http://schemas.openxmlformats.org/officeDocument/2006/docPropsVTypes">
  <Template>Normal.dotm</Template>
  <Pages>56</Pages>
  <Words>13262</Words>
  <Characters>75597</Characters>
  <Lines>629</Lines>
  <Paragraphs>177</Paragraphs>
  <TotalTime>402</TotalTime>
  <ScaleCrop>false</ScaleCrop>
  <LinksUpToDate>false</LinksUpToDate>
  <CharactersWithSpaces>88682</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2026-05-27T16:05:00Z</dcterms:created>
  <dc:creator>FLASH</dc:creator>
  <dc:description>NE.Bib</dc:description>
  <cp:lastModifiedBy>叶俊廷</cp:lastModifiedBy>
  <dcterms:modified xsi:type="dcterms:W3CDTF">2026-07-28T19:47:41Z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4FE2EF04DA3A9E53CC96686A3E5E02A7_43</vt:lpwstr>
  </property>
  <property fmtid="{D5CDD505-2E9C-101B-9397-08002B2CF9AE}" pid="4" name="KSOTemplateDocerSaveRecord">
    <vt:lpwstr>eyJoZGlkIjoiMGI1YzQ1OTYyMjFmZDMyNmUyMDE0Y2RmNGUxZmQyZWUiLCJ1c2VySWQiOiIxNzYzNDAzOTU4In0=</vt:lpwstr>
  </property>
  <property fmtid="{D5CDD505-2E9C-101B-9397-08002B2CF9AE}" pid="5" name="ZOTERO_PREF_1">
    <vt:lpwstr>&lt;data data-version="3" zotero-version="6.0.37"&gt;&lt;session id="xUaLyCsf"/&gt;&lt;style id="http://www.zotero.org/styles/apa" locale="en-GB" hasBibliography="1" bibliographyStyleHasBeenSet="1"/&gt;&lt;prefs&gt;&lt;pref name="fieldType" value="Field"/&gt;&lt;pref name="dontAskDelayCi</vt:lpwstr>
  </property>
  <property fmtid="{D5CDD505-2E9C-101B-9397-08002B2CF9AE}" pid="6" name="ZOTERO_PREF_2">
    <vt:lpwstr>tationUpdates" value="true"/&gt;&lt;/prefs&gt;&lt;/data&gt;</vt:lpwstr>
  </property>
</Properties>
</file>