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8414F" w14:textId="538F5473" w:rsidR="001401C4" w:rsidRPr="001401C4" w:rsidRDefault="001401C4" w:rsidP="001401C4">
      <w:pPr>
        <w:jc w:val="center"/>
        <w:rPr>
          <w:rFonts w:cs="Times New Roman"/>
          <w:b/>
          <w:bCs/>
          <w:color w:val="000000" w:themeColor="text1"/>
          <w:szCs w:val="24"/>
        </w:rPr>
      </w:pPr>
      <w:r w:rsidRPr="001401C4">
        <w:rPr>
          <w:rFonts w:cs="Times New Roman"/>
          <w:b/>
          <w:bCs/>
          <w:color w:val="000000" w:themeColor="text1"/>
          <w:szCs w:val="24"/>
        </w:rPr>
        <w:t>Supplementary Tables S1-S2: Guide for reviewers</w:t>
      </w:r>
    </w:p>
    <w:p w14:paraId="4A801CD0" w14:textId="505B9BE3" w:rsidR="003038F9" w:rsidRPr="001401C4" w:rsidRDefault="000E225E" w:rsidP="0076173C">
      <w:pPr>
        <w:ind w:firstLine="720"/>
        <w:jc w:val="both"/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 xml:space="preserve">This document provides a concise guide to the two multi-sheet supplementary Excel workbooks submitted with the manuscript. Each workbook contains a README worksheet as its first sheet, followed by the </w:t>
      </w:r>
      <w:r w:rsidRPr="001401C4">
        <w:rPr>
          <w:rFonts w:cs="Times New Roman"/>
          <w:color w:val="000000" w:themeColor="text1"/>
          <w:szCs w:val="24"/>
        </w:rPr>
        <w:t>complete machine-readable analysis outputs.</w:t>
      </w:r>
    </w:p>
    <w:p w14:paraId="2FDE46E8" w14:textId="77777777" w:rsidR="003038F9" w:rsidRPr="001401C4" w:rsidRDefault="000E225E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01C4">
        <w:rPr>
          <w:rFonts w:ascii="Times New Roman" w:hAnsi="Times New Roman" w:cs="Times New Roman"/>
          <w:color w:val="000000" w:themeColor="text1"/>
          <w:sz w:val="24"/>
          <w:szCs w:val="24"/>
        </w:rPr>
        <w:t>Supplementary files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57"/>
        <w:gridCol w:w="4190"/>
        <w:gridCol w:w="3361"/>
      </w:tblGrid>
      <w:tr w:rsidR="001401C4" w:rsidRPr="001401C4" w14:paraId="114C87C4" w14:textId="77777777">
        <w:trPr>
          <w:jc w:val="center"/>
        </w:trPr>
        <w:tc>
          <w:tcPr>
            <w:tcW w:w="1984" w:type="dxa"/>
            <w:vAlign w:val="center"/>
          </w:tcPr>
          <w:p w14:paraId="7D5308F8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b/>
                <w:color w:val="000000" w:themeColor="text1"/>
                <w:szCs w:val="24"/>
              </w:rPr>
              <w:t>File</w:t>
            </w:r>
          </w:p>
        </w:tc>
        <w:tc>
          <w:tcPr>
            <w:tcW w:w="4422" w:type="dxa"/>
            <w:vAlign w:val="center"/>
          </w:tcPr>
          <w:p w14:paraId="758C185D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b/>
                <w:color w:val="000000" w:themeColor="text1"/>
                <w:szCs w:val="24"/>
              </w:rPr>
              <w:t>Recommended filename</w:t>
            </w:r>
          </w:p>
        </w:tc>
        <w:tc>
          <w:tcPr>
            <w:tcW w:w="3515" w:type="dxa"/>
            <w:vAlign w:val="center"/>
          </w:tcPr>
          <w:p w14:paraId="1A8F94CF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b/>
                <w:color w:val="000000" w:themeColor="text1"/>
                <w:szCs w:val="24"/>
              </w:rPr>
              <w:t>Primary content</w:t>
            </w:r>
          </w:p>
        </w:tc>
      </w:tr>
      <w:tr w:rsidR="001401C4" w:rsidRPr="001401C4" w14:paraId="7F0C358B" w14:textId="77777777">
        <w:trPr>
          <w:jc w:val="center"/>
        </w:trPr>
        <w:tc>
          <w:tcPr>
            <w:tcW w:w="1984" w:type="dxa"/>
          </w:tcPr>
          <w:p w14:paraId="40013761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Supplementary Table S1</w:t>
            </w:r>
          </w:p>
        </w:tc>
        <w:tc>
          <w:tcPr>
            <w:tcW w:w="4422" w:type="dxa"/>
          </w:tcPr>
          <w:p w14:paraId="09B66187" w14:textId="235442F2" w:rsidR="003038F9" w:rsidRPr="001401C4" w:rsidRDefault="00FB4582">
            <w:pPr>
              <w:rPr>
                <w:rFonts w:cs="Times New Roman"/>
                <w:color w:val="000000" w:themeColor="text1"/>
                <w:szCs w:val="24"/>
              </w:rPr>
            </w:pPr>
            <w:r w:rsidRPr="00FB4582">
              <w:rPr>
                <w:rFonts w:cs="Times New Roman"/>
                <w:color w:val="000000" w:themeColor="text1"/>
                <w:szCs w:val="24"/>
              </w:rPr>
              <w:t>Supplementary Table S1. Participant- and atlas-level structural connectome results</w:t>
            </w:r>
          </w:p>
        </w:tc>
        <w:tc>
          <w:tcPr>
            <w:tcW w:w="3515" w:type="dxa"/>
          </w:tcPr>
          <w:p w14:paraId="34C830FD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Participant-, atlas-, node-, hub-, distr</w:t>
            </w:r>
            <w:r w:rsidRPr="001401C4">
              <w:rPr>
                <w:rFonts w:cs="Times New Roman"/>
                <w:color w:val="000000" w:themeColor="text1"/>
                <w:szCs w:val="24"/>
              </w:rPr>
              <w:t>ibution-, and leave-one-out analysis outputs.</w:t>
            </w:r>
          </w:p>
        </w:tc>
      </w:tr>
      <w:tr w:rsidR="001401C4" w:rsidRPr="001401C4" w14:paraId="15BDD317" w14:textId="77777777">
        <w:trPr>
          <w:jc w:val="center"/>
        </w:trPr>
        <w:tc>
          <w:tcPr>
            <w:tcW w:w="1984" w:type="dxa"/>
          </w:tcPr>
          <w:p w14:paraId="126F1B52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Supplementary Table S2</w:t>
            </w:r>
          </w:p>
        </w:tc>
        <w:tc>
          <w:tcPr>
            <w:tcW w:w="4422" w:type="dxa"/>
          </w:tcPr>
          <w:p w14:paraId="4B77DC26" w14:textId="01A77F34" w:rsidR="003038F9" w:rsidRPr="001401C4" w:rsidRDefault="00FB4582">
            <w:pPr>
              <w:rPr>
                <w:rFonts w:cs="Times New Roman"/>
                <w:color w:val="000000" w:themeColor="text1"/>
                <w:szCs w:val="24"/>
              </w:rPr>
            </w:pPr>
            <w:r w:rsidRPr="00FB4582">
              <w:rPr>
                <w:rFonts w:cs="Times New Roman"/>
                <w:color w:val="000000" w:themeColor="text1"/>
                <w:szCs w:val="24"/>
              </w:rPr>
              <w:t>Supplementary Table S2 Network System and Workflow Sensitivity Analyses</w:t>
            </w:r>
          </w:p>
        </w:tc>
        <w:tc>
          <w:tcPr>
            <w:tcW w:w="3515" w:type="dxa"/>
          </w:tcPr>
          <w:p w14:paraId="504582F5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ROI mapping, network/system analyses, workflow robustness, cross-atlas consistency, hub frequency, and leave-</w:t>
            </w:r>
            <w:r w:rsidRPr="001401C4">
              <w:rPr>
                <w:rFonts w:cs="Times New Roman"/>
                <w:color w:val="000000" w:themeColor="text1"/>
                <w:szCs w:val="24"/>
              </w:rPr>
              <w:t>one-out outputs.</w:t>
            </w:r>
          </w:p>
        </w:tc>
      </w:tr>
    </w:tbl>
    <w:p w14:paraId="2E57C3EB" w14:textId="77777777" w:rsidR="003038F9" w:rsidRPr="001401C4" w:rsidRDefault="000E225E" w:rsidP="0076173C">
      <w:pPr>
        <w:pStyle w:val="Heading1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01C4">
        <w:rPr>
          <w:rFonts w:ascii="Times New Roman" w:hAnsi="Times New Roman" w:cs="Times New Roman"/>
          <w:color w:val="000000" w:themeColor="text1"/>
          <w:sz w:val="24"/>
          <w:szCs w:val="24"/>
        </w:rPr>
        <w:t>Supplementary Table S1. De-identified participant- and atlas-level structural connectome results</w:t>
      </w:r>
    </w:p>
    <w:p w14:paraId="7803C870" w14:textId="77777777" w:rsidR="003038F9" w:rsidRPr="001401C4" w:rsidRDefault="000E225E" w:rsidP="0076173C">
      <w:pPr>
        <w:ind w:firstLine="720"/>
        <w:jc w:val="both"/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This workbook contains de-identified participant-level and group-level structural-connectome outputs across five anatomical parcellations. It</w:t>
      </w:r>
      <w:r w:rsidRPr="001401C4">
        <w:rPr>
          <w:rFonts w:cs="Times New Roman"/>
          <w:color w:val="000000" w:themeColor="text1"/>
          <w:szCs w:val="24"/>
        </w:rPr>
        <w:t xml:space="preserve"> includes participant-level degree summaries, global graph comparisons, degree-distribution modelling, nodewise analyses, hub-related analyses, degree-based hub-disruption outputs, and leave-one-out sensitivity results.</w:t>
      </w:r>
    </w:p>
    <w:p w14:paraId="442D6820" w14:textId="77777777" w:rsidR="003038F9" w:rsidRPr="001401C4" w:rsidRDefault="000E225E" w:rsidP="0076173C">
      <w:pPr>
        <w:pStyle w:val="Heading2"/>
        <w:ind w:firstLine="360"/>
        <w:rPr>
          <w:rFonts w:ascii="Times New Roman" w:hAnsi="Times New Roman" w:cs="Times New Roman"/>
          <w:color w:val="000000" w:themeColor="text1"/>
          <w:szCs w:val="24"/>
        </w:rPr>
      </w:pPr>
      <w:r w:rsidRPr="001401C4">
        <w:rPr>
          <w:rFonts w:ascii="Times New Roman" w:hAnsi="Times New Roman" w:cs="Times New Roman"/>
          <w:color w:val="000000" w:themeColor="text1"/>
          <w:szCs w:val="24"/>
        </w:rPr>
        <w:t>Key interpretation points</w:t>
      </w:r>
    </w:p>
    <w:p w14:paraId="1D005BC9" w14:textId="77777777" w:rsidR="003038F9" w:rsidRPr="001401C4" w:rsidRDefault="000E225E" w:rsidP="0076173C">
      <w:pPr>
        <w:pStyle w:val="ListBullet"/>
        <w:numPr>
          <w:ilvl w:val="0"/>
          <w:numId w:val="10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 xml:space="preserve">The </w:t>
      </w:r>
      <w:r w:rsidRPr="001401C4">
        <w:rPr>
          <w:rFonts w:cs="Times New Roman"/>
          <w:color w:val="000000" w:themeColor="text1"/>
          <w:szCs w:val="24"/>
        </w:rPr>
        <w:t>workbook contains de-identified study-specific participant identifiers only.</w:t>
      </w:r>
    </w:p>
    <w:p w14:paraId="31CDDE6D" w14:textId="77777777" w:rsidR="003038F9" w:rsidRPr="001401C4" w:rsidRDefault="000E225E" w:rsidP="0076173C">
      <w:pPr>
        <w:pStyle w:val="ListBullet"/>
        <w:numPr>
          <w:ilvl w:val="0"/>
          <w:numId w:val="10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Control identifiers use the PatientIDD01xx series; asymptomatic TMD identifiers use the PatientIDD02xx series.</w:t>
      </w:r>
    </w:p>
    <w:p w14:paraId="41DABC1C" w14:textId="77777777" w:rsidR="003038F9" w:rsidRPr="001401C4" w:rsidRDefault="000E225E" w:rsidP="0076173C">
      <w:pPr>
        <w:pStyle w:val="ListBullet"/>
        <w:numPr>
          <w:ilvl w:val="0"/>
          <w:numId w:val="10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Positive Cliff's delta values indicate higher values in controls; ne</w:t>
      </w:r>
      <w:r w:rsidRPr="001401C4">
        <w:rPr>
          <w:rFonts w:cs="Times New Roman"/>
          <w:color w:val="000000" w:themeColor="text1"/>
          <w:szCs w:val="24"/>
        </w:rPr>
        <w:t>gative values indicate higher values in the asymptomatic TMD group.</w:t>
      </w:r>
    </w:p>
    <w:p w14:paraId="7F6F6711" w14:textId="77777777" w:rsidR="003038F9" w:rsidRPr="001401C4" w:rsidRDefault="000E225E" w:rsidP="0076173C">
      <w:pPr>
        <w:pStyle w:val="ListBullet"/>
        <w:numPr>
          <w:ilvl w:val="0"/>
          <w:numId w:val="10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Benjamini-Hochberg q values are reported within the corresponding analysis families.</w:t>
      </w:r>
    </w:p>
    <w:p w14:paraId="6FD202C4" w14:textId="77777777" w:rsidR="003038F9" w:rsidRPr="001401C4" w:rsidRDefault="000E225E" w:rsidP="0076173C">
      <w:pPr>
        <w:pStyle w:val="ListBullet"/>
        <w:numPr>
          <w:ilvl w:val="0"/>
          <w:numId w:val="10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Leave-one-out analyses are sensitivity analyses and do not represent independent replication.</w:t>
      </w:r>
    </w:p>
    <w:p w14:paraId="66C10253" w14:textId="77777777" w:rsidR="003038F9" w:rsidRPr="001401C4" w:rsidRDefault="000E225E" w:rsidP="0076173C">
      <w:pPr>
        <w:pStyle w:val="Heading1"/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01C4">
        <w:rPr>
          <w:rFonts w:ascii="Times New Roman" w:hAnsi="Times New Roman" w:cs="Times New Roman"/>
          <w:color w:val="000000" w:themeColor="text1"/>
          <w:sz w:val="24"/>
          <w:szCs w:val="24"/>
        </w:rPr>
        <w:t>Supplemen</w:t>
      </w:r>
      <w:r w:rsidRPr="001401C4">
        <w:rPr>
          <w:rFonts w:ascii="Times New Roman" w:hAnsi="Times New Roman" w:cs="Times New Roman"/>
          <w:color w:val="000000" w:themeColor="text1"/>
          <w:sz w:val="24"/>
          <w:szCs w:val="24"/>
        </w:rPr>
        <w:t>tary Table S2. Network-, system-, and workflow-sensitivity analyses</w:t>
      </w:r>
    </w:p>
    <w:p w14:paraId="1583245D" w14:textId="77777777" w:rsidR="003038F9" w:rsidRPr="001401C4" w:rsidRDefault="000E225E" w:rsidP="0076173C">
      <w:pPr>
        <w:ind w:firstLine="360"/>
        <w:jc w:val="both"/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This workbook contains the ROI-to-network mapping, end-region and pass-region global comparisons, within-network and anatomical-system analyses, workflow-robustness classifications, cross-</w:t>
      </w:r>
      <w:r w:rsidRPr="001401C4">
        <w:rPr>
          <w:rFonts w:cs="Times New Roman"/>
          <w:color w:val="000000" w:themeColor="text1"/>
          <w:szCs w:val="24"/>
        </w:rPr>
        <w:t>atlas consistency measures, hub-frequency analyses, and leave-one-out sensitivity outputs.</w:t>
      </w:r>
    </w:p>
    <w:p w14:paraId="6316C113" w14:textId="77777777" w:rsidR="003038F9" w:rsidRPr="001401C4" w:rsidRDefault="000E225E" w:rsidP="0076173C">
      <w:pPr>
        <w:pStyle w:val="Heading2"/>
        <w:ind w:firstLine="360"/>
        <w:rPr>
          <w:rFonts w:ascii="Times New Roman" w:hAnsi="Times New Roman" w:cs="Times New Roman"/>
          <w:color w:val="000000" w:themeColor="text1"/>
          <w:szCs w:val="24"/>
        </w:rPr>
      </w:pPr>
      <w:r w:rsidRPr="001401C4">
        <w:rPr>
          <w:rFonts w:ascii="Times New Roman" w:hAnsi="Times New Roman" w:cs="Times New Roman"/>
          <w:color w:val="000000" w:themeColor="text1"/>
          <w:szCs w:val="24"/>
        </w:rPr>
        <w:t>Key interpretation points</w:t>
      </w:r>
    </w:p>
    <w:p w14:paraId="7AF9E611" w14:textId="77777777" w:rsidR="003038F9" w:rsidRPr="001401C4" w:rsidRDefault="000E225E" w:rsidP="0076173C">
      <w:pPr>
        <w:pStyle w:val="ListBullet"/>
        <w:numPr>
          <w:ilvl w:val="0"/>
          <w:numId w:val="11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The end-region workflow is the primary connectivity definition.</w:t>
      </w:r>
    </w:p>
    <w:p w14:paraId="5FFC1728" w14:textId="77777777" w:rsidR="003038F9" w:rsidRPr="001401C4" w:rsidRDefault="000E225E" w:rsidP="0076173C">
      <w:pPr>
        <w:pStyle w:val="ListBullet"/>
        <w:numPr>
          <w:ilvl w:val="0"/>
          <w:numId w:val="11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The pass-region workflow is an analytical sensitivity analysis using the sa</w:t>
      </w:r>
      <w:r w:rsidRPr="001401C4">
        <w:rPr>
          <w:rFonts w:cs="Times New Roman"/>
          <w:color w:val="000000" w:themeColor="text1"/>
          <w:szCs w:val="24"/>
        </w:rPr>
        <w:t>me participants and diffusion data.</w:t>
      </w:r>
    </w:p>
    <w:p w14:paraId="65113278" w14:textId="77777777" w:rsidR="003038F9" w:rsidRPr="001401C4" w:rsidRDefault="000E225E" w:rsidP="0076173C">
      <w:pPr>
        <w:pStyle w:val="ListBullet"/>
        <w:numPr>
          <w:ilvl w:val="0"/>
          <w:numId w:val="11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lastRenderedPageBreak/>
        <w:t>Network and system assignments are predefined analytical groupings and should not be interpreted as direct measurements of functional activity.</w:t>
      </w:r>
    </w:p>
    <w:p w14:paraId="5FCA16BC" w14:textId="77777777" w:rsidR="003038F9" w:rsidRPr="001401C4" w:rsidRDefault="000E225E" w:rsidP="0076173C">
      <w:pPr>
        <w:pStyle w:val="ListBullet"/>
        <w:numPr>
          <w:ilvl w:val="0"/>
          <w:numId w:val="11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The ROI mapping worksheet is a mapping resource; graph-analysis matrix dimen</w:t>
      </w:r>
      <w:r w:rsidRPr="001401C4">
        <w:rPr>
          <w:rFonts w:cs="Times New Roman"/>
          <w:color w:val="000000" w:themeColor="text1"/>
          <w:szCs w:val="24"/>
        </w:rPr>
        <w:t>sions should be interpreted from the corresponding analysis sheets and manuscript Methods.</w:t>
      </w:r>
    </w:p>
    <w:p w14:paraId="66D70EC6" w14:textId="77777777" w:rsidR="003038F9" w:rsidRPr="001401C4" w:rsidRDefault="000E225E" w:rsidP="0076173C">
      <w:pPr>
        <w:pStyle w:val="ListBullet"/>
        <w:numPr>
          <w:ilvl w:val="0"/>
          <w:numId w:val="11"/>
        </w:numPr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color w:val="000000" w:themeColor="text1"/>
          <w:szCs w:val="24"/>
        </w:rPr>
        <w:t>Cross-workflow agreement indicates analytical robustness within the same dataset, not independent replication.</w:t>
      </w:r>
    </w:p>
    <w:p w14:paraId="635EB205" w14:textId="77777777" w:rsidR="003038F9" w:rsidRPr="001401C4" w:rsidRDefault="000E225E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01C4">
        <w:rPr>
          <w:rFonts w:ascii="Times New Roman" w:hAnsi="Times New Roman" w:cs="Times New Roman"/>
          <w:color w:val="000000" w:themeColor="text1"/>
          <w:sz w:val="24"/>
          <w:szCs w:val="24"/>
        </w:rPr>
        <w:t>Common conventions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7245"/>
      </w:tblGrid>
      <w:tr w:rsidR="001401C4" w:rsidRPr="001401C4" w14:paraId="23A03AAC" w14:textId="77777777" w:rsidTr="00FB4582">
        <w:trPr>
          <w:jc w:val="center"/>
        </w:trPr>
        <w:tc>
          <w:tcPr>
            <w:tcW w:w="2263" w:type="dxa"/>
          </w:tcPr>
          <w:p w14:paraId="42E05FD4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b/>
                <w:color w:val="000000" w:themeColor="text1"/>
                <w:szCs w:val="24"/>
              </w:rPr>
              <w:t>Term</w:t>
            </w:r>
          </w:p>
        </w:tc>
        <w:tc>
          <w:tcPr>
            <w:tcW w:w="7245" w:type="dxa"/>
          </w:tcPr>
          <w:p w14:paraId="34C92514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b/>
                <w:color w:val="000000" w:themeColor="text1"/>
                <w:szCs w:val="24"/>
              </w:rPr>
              <w:t>Meaning</w:t>
            </w:r>
          </w:p>
        </w:tc>
      </w:tr>
      <w:tr w:rsidR="001401C4" w:rsidRPr="001401C4" w14:paraId="730C3C5B" w14:textId="77777777" w:rsidTr="00FB4582">
        <w:trPr>
          <w:jc w:val="center"/>
        </w:trPr>
        <w:tc>
          <w:tcPr>
            <w:tcW w:w="2263" w:type="dxa"/>
          </w:tcPr>
          <w:p w14:paraId="54F79A1F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Groups</w:t>
            </w:r>
          </w:p>
        </w:tc>
        <w:tc>
          <w:tcPr>
            <w:tcW w:w="7245" w:type="dxa"/>
          </w:tcPr>
          <w:p w14:paraId="39E07599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Control = heal</w:t>
            </w:r>
            <w:r w:rsidRPr="001401C4">
              <w:rPr>
                <w:rFonts w:cs="Times New Roman"/>
                <w:color w:val="000000" w:themeColor="text1"/>
                <w:szCs w:val="24"/>
              </w:rPr>
              <w:t>thy controls; TMD = participants with asymptomatic MRI-confirmed temporomandibular joint disc displacement.</w:t>
            </w:r>
          </w:p>
        </w:tc>
      </w:tr>
      <w:tr w:rsidR="001401C4" w:rsidRPr="001401C4" w14:paraId="5C0774EF" w14:textId="77777777" w:rsidTr="00FB4582">
        <w:trPr>
          <w:jc w:val="center"/>
        </w:trPr>
        <w:tc>
          <w:tcPr>
            <w:tcW w:w="2263" w:type="dxa"/>
          </w:tcPr>
          <w:p w14:paraId="37745DBB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Edge weight</w:t>
            </w:r>
          </w:p>
        </w:tc>
        <w:tc>
          <w:tcPr>
            <w:tcW w:w="7245" w:type="dxa"/>
          </w:tcPr>
          <w:p w14:paraId="063C8D5A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Number of reconstructed streamlines assigned to each undirected connection.</w:t>
            </w:r>
          </w:p>
        </w:tc>
      </w:tr>
      <w:tr w:rsidR="001401C4" w:rsidRPr="001401C4" w14:paraId="318DD94C" w14:textId="77777777" w:rsidTr="00FB4582">
        <w:trPr>
          <w:jc w:val="center"/>
        </w:trPr>
        <w:tc>
          <w:tcPr>
            <w:tcW w:w="2263" w:type="dxa"/>
          </w:tcPr>
          <w:p w14:paraId="251DDA5B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Primary workflow</w:t>
            </w:r>
          </w:p>
        </w:tc>
        <w:tc>
          <w:tcPr>
            <w:tcW w:w="7245" w:type="dxa"/>
          </w:tcPr>
          <w:p w14:paraId="054E8D42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 xml:space="preserve">end_region: streamline endpoints </w:t>
            </w:r>
            <w:r w:rsidRPr="001401C4">
              <w:rPr>
                <w:rFonts w:cs="Times New Roman"/>
                <w:color w:val="000000" w:themeColor="text1"/>
                <w:szCs w:val="24"/>
              </w:rPr>
              <w:t>assigned to anatomical regions.</w:t>
            </w:r>
          </w:p>
        </w:tc>
      </w:tr>
      <w:tr w:rsidR="001401C4" w:rsidRPr="001401C4" w14:paraId="5D95E5CA" w14:textId="77777777" w:rsidTr="00FB4582">
        <w:trPr>
          <w:jc w:val="center"/>
        </w:trPr>
        <w:tc>
          <w:tcPr>
            <w:tcW w:w="2263" w:type="dxa"/>
          </w:tcPr>
          <w:p w14:paraId="29D5F48E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Sensitivity workflow</w:t>
            </w:r>
          </w:p>
        </w:tc>
        <w:tc>
          <w:tcPr>
            <w:tcW w:w="7245" w:type="dxa"/>
          </w:tcPr>
          <w:p w14:paraId="1013AB0E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pass_region: streamlines traversing anatomical regions, irrespective of endpoint location.</w:t>
            </w:r>
          </w:p>
        </w:tc>
      </w:tr>
      <w:tr w:rsidR="001401C4" w:rsidRPr="001401C4" w14:paraId="33DF35CD" w14:textId="77777777" w:rsidTr="00FB4582">
        <w:trPr>
          <w:jc w:val="center"/>
        </w:trPr>
        <w:tc>
          <w:tcPr>
            <w:tcW w:w="2263" w:type="dxa"/>
          </w:tcPr>
          <w:p w14:paraId="5A9D6EF1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Effect size direction</w:t>
            </w:r>
          </w:p>
        </w:tc>
        <w:tc>
          <w:tcPr>
            <w:tcW w:w="7245" w:type="dxa"/>
          </w:tcPr>
          <w:p w14:paraId="64B5F75A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Positive Cliff's delta indicates Control &gt; TMD; negative Cliff's delta indicates TMD &gt; C</w:t>
            </w:r>
            <w:r w:rsidRPr="001401C4">
              <w:rPr>
                <w:rFonts w:cs="Times New Roman"/>
                <w:color w:val="000000" w:themeColor="text1"/>
                <w:szCs w:val="24"/>
              </w:rPr>
              <w:t>ontrol.</w:t>
            </w:r>
          </w:p>
        </w:tc>
      </w:tr>
      <w:tr w:rsidR="001401C4" w:rsidRPr="001401C4" w14:paraId="3B6E3D6A" w14:textId="77777777" w:rsidTr="00FB4582">
        <w:trPr>
          <w:jc w:val="center"/>
        </w:trPr>
        <w:tc>
          <w:tcPr>
            <w:tcW w:w="2263" w:type="dxa"/>
          </w:tcPr>
          <w:p w14:paraId="151FC7DA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Missing values</w:t>
            </w:r>
          </w:p>
        </w:tc>
        <w:tc>
          <w:tcPr>
            <w:tcW w:w="7245" w:type="dxa"/>
          </w:tcPr>
          <w:p w14:paraId="7F42A985" w14:textId="77777777" w:rsidR="003038F9" w:rsidRPr="001401C4" w:rsidRDefault="000E225E">
            <w:pPr>
              <w:rPr>
                <w:rFonts w:cs="Times New Roman"/>
                <w:color w:val="000000" w:themeColor="text1"/>
                <w:szCs w:val="24"/>
              </w:rPr>
            </w:pPr>
            <w:r w:rsidRPr="001401C4">
              <w:rPr>
                <w:rFonts w:cs="Times New Roman"/>
                <w:color w:val="000000" w:themeColor="text1"/>
                <w:szCs w:val="24"/>
              </w:rPr>
              <w:t>Blank or NA cells indicate that a result was not available, not applicable, or not estimable.</w:t>
            </w:r>
          </w:p>
        </w:tc>
      </w:tr>
    </w:tbl>
    <w:p w14:paraId="0363D9BD" w14:textId="39A5B6DE" w:rsidR="003038F9" w:rsidRPr="001401C4" w:rsidRDefault="003038F9" w:rsidP="0076173C">
      <w:pPr>
        <w:pStyle w:val="ListNumber"/>
        <w:numPr>
          <w:ilvl w:val="0"/>
          <w:numId w:val="0"/>
        </w:numPr>
        <w:ind w:left="360"/>
        <w:rPr>
          <w:rFonts w:cs="Times New Roman"/>
          <w:color w:val="000000" w:themeColor="text1"/>
          <w:szCs w:val="24"/>
        </w:rPr>
      </w:pPr>
    </w:p>
    <w:p w14:paraId="28A4D2AC" w14:textId="77777777" w:rsidR="003038F9" w:rsidRPr="001401C4" w:rsidRDefault="000E225E">
      <w:pPr>
        <w:jc w:val="both"/>
        <w:rPr>
          <w:rFonts w:cs="Times New Roman"/>
          <w:color w:val="000000" w:themeColor="text1"/>
          <w:szCs w:val="24"/>
        </w:rPr>
      </w:pPr>
      <w:r w:rsidRPr="001401C4">
        <w:rPr>
          <w:rFonts w:cs="Times New Roman"/>
          <w:b/>
          <w:color w:val="000000" w:themeColor="text1"/>
          <w:szCs w:val="24"/>
        </w:rPr>
        <w:t xml:space="preserve">Privacy note. </w:t>
      </w:r>
      <w:r w:rsidRPr="001401C4">
        <w:rPr>
          <w:rFonts w:cs="Times New Roman"/>
          <w:color w:val="000000" w:themeColor="text1"/>
          <w:szCs w:val="24"/>
        </w:rPr>
        <w:t>The supplementary workbooks contain de-identified derived data only. The original identifier-to-anonymous-ID correspondence is not in</w:t>
      </w:r>
      <w:r w:rsidRPr="001401C4">
        <w:rPr>
          <w:rFonts w:cs="Times New Roman"/>
          <w:color w:val="000000" w:themeColor="text1"/>
          <w:szCs w:val="24"/>
        </w:rPr>
        <w:t>cluded.</w:t>
      </w:r>
    </w:p>
    <w:sectPr w:rsidR="003038F9" w:rsidRPr="001401C4" w:rsidSect="00034616">
      <w:footerReference w:type="default" r:id="rId8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E51DC" w14:textId="77777777" w:rsidR="000E225E" w:rsidRDefault="000E225E">
      <w:pPr>
        <w:spacing w:after="0" w:line="240" w:lineRule="auto"/>
      </w:pPr>
      <w:r>
        <w:separator/>
      </w:r>
    </w:p>
  </w:endnote>
  <w:endnote w:type="continuationSeparator" w:id="0">
    <w:p w14:paraId="3BFA42BF" w14:textId="77777777" w:rsidR="000E225E" w:rsidRDefault="000E2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E081E" w14:textId="4D951ED4" w:rsidR="003038F9" w:rsidRDefault="003038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BDCD3" w14:textId="77777777" w:rsidR="000E225E" w:rsidRDefault="000E225E">
      <w:pPr>
        <w:spacing w:after="0" w:line="240" w:lineRule="auto"/>
      </w:pPr>
      <w:r>
        <w:separator/>
      </w:r>
    </w:p>
  </w:footnote>
  <w:footnote w:type="continuationSeparator" w:id="0">
    <w:p w14:paraId="5CA02793" w14:textId="77777777" w:rsidR="000E225E" w:rsidRDefault="000E2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BA34F56"/>
    <w:multiLevelType w:val="hybridMultilevel"/>
    <w:tmpl w:val="016C0DA6"/>
    <w:lvl w:ilvl="0" w:tplc="ECE471A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0096642"/>
    <w:multiLevelType w:val="hybridMultilevel"/>
    <w:tmpl w:val="54023462"/>
    <w:lvl w:ilvl="0" w:tplc="EF5A017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37361">
    <w:abstractNumId w:val="8"/>
  </w:num>
  <w:num w:numId="2" w16cid:durableId="1382287063">
    <w:abstractNumId w:val="6"/>
  </w:num>
  <w:num w:numId="3" w16cid:durableId="2055619821">
    <w:abstractNumId w:val="5"/>
  </w:num>
  <w:num w:numId="4" w16cid:durableId="841966735">
    <w:abstractNumId w:val="4"/>
  </w:num>
  <w:num w:numId="5" w16cid:durableId="232666822">
    <w:abstractNumId w:val="7"/>
  </w:num>
  <w:num w:numId="6" w16cid:durableId="1808161002">
    <w:abstractNumId w:val="3"/>
  </w:num>
  <w:num w:numId="7" w16cid:durableId="1438256318">
    <w:abstractNumId w:val="2"/>
  </w:num>
  <w:num w:numId="8" w16cid:durableId="1313217084">
    <w:abstractNumId w:val="1"/>
  </w:num>
  <w:num w:numId="9" w16cid:durableId="1287614751">
    <w:abstractNumId w:val="0"/>
  </w:num>
  <w:num w:numId="10" w16cid:durableId="993489263">
    <w:abstractNumId w:val="10"/>
  </w:num>
  <w:num w:numId="11" w16cid:durableId="16104284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25E"/>
    <w:rsid w:val="001401C4"/>
    <w:rsid w:val="0015074B"/>
    <w:rsid w:val="0029639D"/>
    <w:rsid w:val="003038F9"/>
    <w:rsid w:val="00326F90"/>
    <w:rsid w:val="0076173C"/>
    <w:rsid w:val="00A074DF"/>
    <w:rsid w:val="00AA1D8D"/>
    <w:rsid w:val="00B47730"/>
    <w:rsid w:val="00CB0664"/>
    <w:rsid w:val="00FB45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0E2D16E"/>
  <w14:defaultImageDpi w14:val="300"/>
  <w15:docId w15:val="{25C9666A-C9B4-0E44-ADC7-224A4D02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Supplementary Tables S1-S2: Guide for Reviewers</vt:lpstr>
    </vt:vector>
  </TitlesOfParts>
  <Manager/>
  <Company/>
  <LinksUpToDate>false</LinksUpToDate>
  <CharactersWithSpaces>3567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 S1-S2: Guide for Reviewers</dc:title>
  <dc:subject>Guide to supplementary structural-connectome tables</dc:subject>
  <dc:creator>Vasyl Pekhno and co-authors</dc:creator>
  <cp:keywords>supplementary tables, structural connectome, TMD, reviewer guide</cp:keywords>
  <dc:description>generated by python-docx</dc:description>
  <cp:lastModifiedBy>Vasil Pehnyo</cp:lastModifiedBy>
  <cp:revision>3</cp:revision>
  <dcterms:created xsi:type="dcterms:W3CDTF">2026-07-28T10:47:00Z</dcterms:created>
  <dcterms:modified xsi:type="dcterms:W3CDTF">2026-07-28T10:52:00Z</dcterms:modified>
  <cp:category/>
</cp:coreProperties>
</file>