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9CF06"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rStyle w:val="Strong"/>
          <w:sz w:val="28"/>
          <w:szCs w:val="28"/>
        </w:rPr>
        <w:t>Supplementary Figure S1. Participant-level global graph measures in the end-region workflow.</w:t>
      </w:r>
    </w:p>
    <w:p w14:paraId="6B8808E5"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sz w:val="28"/>
          <w:szCs w:val="28"/>
        </w:rPr>
        <w:t>Participant-level distributions of global structural-connectome measures derived using the primary end-region streamline-assignment definition. Rows correspond to Brainnetome, the custom 25-region brainstem parcellation, Cerebellum-SUIT, FreeSurferDKT Subcortical, and HCP-MMP. Columns show graph density, mean nodal degree, median nodal degree, maximum nodal degree, standard deviation of nodal degree, and the Gini coefficient of nodal degree. Each point represents one participant; blue points indicate controls and orange points indicate participants with asymptomatic TMD. Axis ranges are scaled separately within individual panels to display the observed distributions.</w:t>
      </w:r>
    </w:p>
    <w:p w14:paraId="5CCA32B9"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rStyle w:val="Strong"/>
          <w:sz w:val="28"/>
          <w:szCs w:val="28"/>
        </w:rPr>
        <w:t>Supplementary Figure S2. Participant-level global graph measures in the pass-region workflow.</w:t>
      </w:r>
    </w:p>
    <w:p w14:paraId="5408D506"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sz w:val="28"/>
          <w:szCs w:val="28"/>
        </w:rPr>
        <w:t>Participant-level distributions of global structural-connectome measures derived using the pass-region streamline-assignment definition. Rows correspond to Brainnetome, the custom 25-region brainstem parcellation, Cerebellum-SUIT, FreeSurferDKT Subcortical, and HCP-MMP. Columns show graph density, mean nodal degree, median nodal degree, maximum nodal degree, standard deviation of nodal degree, and the Gini coefficient of nodal degree. Each point represents one participant; blue points indicate controls and orange points indicate participants with asymptomatic TMD. The pass-region workflow was used as an analytical sensitivity analysis rather than as an independent replication.</w:t>
      </w:r>
    </w:p>
    <w:p w14:paraId="71E11DA5"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rStyle w:val="Strong"/>
          <w:sz w:val="28"/>
          <w:szCs w:val="28"/>
        </w:rPr>
        <w:t>Supplementary Figure S3. Concordance of global effect sizes between connectivity workflows.</w:t>
      </w:r>
    </w:p>
    <w:p w14:paraId="643B344E"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sz w:val="28"/>
          <w:szCs w:val="28"/>
        </w:rPr>
        <w:t>Comparison of Cliff’s δ estimates for matched global graph metrics obtained using the primary end-region and sensitivity pass-region workflows. Each point represents one atlas</w:t>
      </w:r>
      <w:r>
        <w:rPr>
          <w:sz w:val="28"/>
          <w:szCs w:val="28"/>
        </w:rPr>
        <w:t>-</w:t>
      </w:r>
      <w:r w:rsidRPr="000716BD">
        <w:rPr>
          <w:sz w:val="28"/>
          <w:szCs w:val="28"/>
        </w:rPr>
        <w:t xml:space="preserve">metric combination. The dashed diagonal line denotes identical effect-size estimates under the two streamline-assignment definitions. Points located in the same directional quadrant indicate agreement in </w:t>
      </w:r>
      <w:r w:rsidRPr="000716BD">
        <w:rPr>
          <w:sz w:val="28"/>
          <w:szCs w:val="28"/>
        </w:rPr>
        <w:lastRenderedPageBreak/>
        <w:t>the direction of the between-group effect. Positive values indicate higher measures in controls.</w:t>
      </w:r>
    </w:p>
    <w:p w14:paraId="4E528DCB"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rStyle w:val="Strong"/>
          <w:sz w:val="28"/>
          <w:szCs w:val="28"/>
        </w:rPr>
        <w:t>Supplementary Figure S4. Cross-atlas consistency of workflow effect-size profiles.</w:t>
      </w:r>
    </w:p>
    <w:p w14:paraId="50168F71"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sz w:val="28"/>
          <w:szCs w:val="28"/>
        </w:rPr>
        <w:t>Directional agreement and Spearman rank correlation between matched end-region and pass-region global effect-size profiles for Brainnetome, the custom 25-region brainstem parcellation, Cerebellum-SUIT, FreeSurferDKT Subcortical, and HCP-MMP. Direction agreement represents the proportion of matched metrics with the same Cliff’s δ sign in both workflows. Spearman’s ρ represents the rank correlation between matched effect-size estimates. Higher positive values indicate greater consistency between streamline-assignment definitions.</w:t>
      </w:r>
    </w:p>
    <w:p w14:paraId="0C89D512"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rStyle w:val="Strong"/>
          <w:sz w:val="28"/>
          <w:szCs w:val="28"/>
        </w:rPr>
        <w:t>Supplementary Figure S5. Leave-one-out direction stability of selected global graph measures.</w:t>
      </w:r>
    </w:p>
    <w:p w14:paraId="1EBFC00D"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sz w:val="28"/>
          <w:szCs w:val="28"/>
        </w:rPr>
        <w:t>Leave-one-out stability of the direction of selected global between-group effects for (A) maximum nodal degree, (B) mean nodal degree, and (C) graph density. Stability is expressed as the proportion of the 17 leave-one-out iterations in which the effect retained the same direction as in the full-cohort analysis. A value of 1.0 indicates that the direction was preserved after exclusion of each participant in turn. The displayed measures were selected from the principal HCP-MMP, FreeSurferDKT Subcortical, and exploratory brainstem findings.</w:t>
      </w:r>
    </w:p>
    <w:p w14:paraId="3D376227" w14:textId="77777777" w:rsidR="00BE5458" w:rsidRPr="000716BD" w:rsidRDefault="00BE5458" w:rsidP="00BE5458">
      <w:pPr>
        <w:pStyle w:val="Heading3"/>
        <w:spacing w:before="0" w:after="0" w:line="360" w:lineRule="auto"/>
        <w:ind w:firstLine="720"/>
        <w:jc w:val="both"/>
        <w:rPr>
          <w:rFonts w:ascii="Times New Roman" w:hAnsi="Times New Roman" w:cs="Times New Roman"/>
          <w:b/>
          <w:bCs/>
        </w:rPr>
      </w:pPr>
      <w:r w:rsidRPr="000716BD">
        <w:rPr>
          <w:rStyle w:val="Strong"/>
          <w:rFonts w:ascii="Times New Roman" w:hAnsi="Times New Roman" w:cs="Times New Roman"/>
        </w:rPr>
        <w:lastRenderedPageBreak/>
        <w:t>Supplementary Figure S6. Participant-level right-thalamic maximum edge weight and sensitivity to individual observations.</w:t>
      </w:r>
    </w:p>
    <w:p w14:paraId="10BD4B30" w14:textId="77777777" w:rsidR="00BE5458" w:rsidRPr="000716BD" w:rsidRDefault="00BE5458" w:rsidP="00BE5458">
      <w:pPr>
        <w:pStyle w:val="Heading3"/>
        <w:spacing w:before="0" w:after="0" w:line="360" w:lineRule="auto"/>
        <w:ind w:firstLine="720"/>
        <w:jc w:val="both"/>
        <w:rPr>
          <w:rFonts w:ascii="Times New Roman" w:hAnsi="Times New Roman" w:cs="Times New Roman"/>
          <w:b/>
          <w:bCs/>
          <w:lang w:val="en-US"/>
        </w:rPr>
      </w:pPr>
      <w:r w:rsidRPr="000716BD">
        <w:rPr>
          <w:rFonts w:ascii="Times New Roman" w:hAnsi="Times New Roman" w:cs="Times New Roman"/>
        </w:rPr>
        <w:t>Participant-level maximum incident edge weight of the right thalamus proper in the primary end-region FreeSurferDKT Subcortical analysis. Each point represents one participant; blue points indicate controls and orange points indicate participants with asymptomatic TMD. Black summary lines show the group median and interquartile range. The full-cohort comparison produced a large positive Cliff’s δ and survived false-discovery-rate correction, indicating higher values in controls. However, the result was not stable under leave-one-out analysis and was therefore treated as sensitivity-dependent rather than confirmatory.</w:t>
      </w:r>
    </w:p>
    <w:p w14:paraId="48FA1BD2"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rStyle w:val="Strong"/>
          <w:sz w:val="28"/>
          <w:szCs w:val="28"/>
        </w:rPr>
        <w:t>Supplementary Figure S7. Nominal effect sizes for targeted edge-level comparisons.</w:t>
      </w:r>
    </w:p>
    <w:p w14:paraId="3E0A27A6"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sz w:val="28"/>
          <w:szCs w:val="28"/>
        </w:rPr>
        <w:t>Cliff’s δ estimates for targeted exploratory ROI-to-ROI connections that reached nominal p &lt; 0.05 in the analysed edge-level comparison sets. Positive values indicate higher streamline-count-derived edge weights in controls, whereas negative values indicate higher values in participants with asymptomatic TMD. Repeated anatomical labels represent separate entries retained from distinct analysis configurations in the source results. None of the displayed edge-level comparisons survived Benjamini</w:t>
      </w:r>
      <w:r>
        <w:rPr>
          <w:sz w:val="28"/>
          <w:szCs w:val="28"/>
        </w:rPr>
        <w:t>-</w:t>
      </w:r>
      <w:r w:rsidRPr="000716BD">
        <w:rPr>
          <w:sz w:val="28"/>
          <w:szCs w:val="28"/>
        </w:rPr>
        <w:t>Hochberg false-discovery-rate correction.</w:t>
      </w:r>
    </w:p>
    <w:p w14:paraId="269FD569"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rStyle w:val="Strong"/>
          <w:sz w:val="28"/>
          <w:szCs w:val="28"/>
        </w:rPr>
        <w:t>Supplementary Figure S8. Participation entropy in Brainnetome and HCP-MMP.</w:t>
      </w:r>
    </w:p>
    <w:p w14:paraId="5CCAE945"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sz w:val="28"/>
          <w:szCs w:val="28"/>
        </w:rPr>
        <w:t>Participant-level Shannon participation entropy for the Brainnetome and HCP-MMP parcellations. Participation entropy quantifies the diversity of each participant’s nodal-degree distribution across predefined networks. Each point represents one participant; blue points indicate controls and orange points indicate participants with asymptomatic TMD. The displayed distributions show no clear between-group separation in either parcellation.</w:t>
      </w:r>
    </w:p>
    <w:p w14:paraId="6F63EAE2"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rStyle w:val="Strong"/>
          <w:sz w:val="28"/>
          <w:szCs w:val="28"/>
        </w:rPr>
        <w:lastRenderedPageBreak/>
        <w:t>Supplementary Figure S9. Within-network median-degree effects across anatomical parcellations.</w:t>
      </w:r>
    </w:p>
    <w:p w14:paraId="6736D2BD"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sz w:val="28"/>
          <w:szCs w:val="28"/>
        </w:rPr>
        <w:t>Heatmap of Cliff’s δ values for within-network median nodal degree in the primary end-region workflow. Rows correspond to HCP-MMP, Brainnetome, FreeSurferDKT Subcortical, and Cerebellum-SUIT. Columns represent the Central Executive/Frontoparietal, Default Mode, Limbic/Reward, Salience/Cingulo-Opercular, Sensorimotor, TMD Pain-Modulatory, and Unassigned networks or systems. Positive values indicate higher median nodal degree in controls, whereas negative values indicate higher values in participants with asymptomatic TMD. Cell colour represents the magnitude and direction of Cliff’s δ.</w:t>
      </w:r>
    </w:p>
    <w:p w14:paraId="3D3F9991"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rStyle w:val="Strong"/>
          <w:sz w:val="28"/>
          <w:szCs w:val="28"/>
        </w:rPr>
        <w:t>Supplementary Figure S10. Degree-distribution modelling across parcellations and connectivity workflows.</w:t>
      </w:r>
    </w:p>
    <w:p w14:paraId="4BF321A6"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sz w:val="28"/>
          <w:szCs w:val="28"/>
        </w:rPr>
        <w:t>Degree-distribution modelling across participant-by-atlas structural-connectome matrices. (A) Complementary cumulative distribution functions of nodal degree for HCP-MMP end-region matrices; individual curves represent participant-level distributions. (B) Counts of the lowest-Akaike-information-criterion model across fitted participant-by-atlas distributions. All 63 eligible end-region fits favoured the Weibull model, whereas 80 of 85 pass-region fits favoured Weibull and five favoured a log-normal model. The denominator of 63 represents end-region distributions meeting the prespecified fitting requirements, rather than all possible participant-by-atlas matrices. (C) Control- and TMD-group medians of the Weibull shape and scale parameters for HCP-MMP end-region distributions. (D) Summary of model-selection results. Between-group differences in the HCP-MMP Weibull parameters did not survive false-discovery-rate correction.</w:t>
      </w:r>
    </w:p>
    <w:p w14:paraId="495EAC34"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rStyle w:val="Strong"/>
          <w:sz w:val="28"/>
          <w:szCs w:val="28"/>
        </w:rPr>
        <w:t>Supplementary Table S1. De-identified participant- and atlas-level structural connectome results.</w:t>
      </w:r>
    </w:p>
    <w:p w14:paraId="50012AFF"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sz w:val="28"/>
          <w:szCs w:val="28"/>
        </w:rPr>
        <w:lastRenderedPageBreak/>
        <w:t>Multi-sheet workbook containing de-identified participant-level and group-level structural-connectome outputs across five anatomical parcellations, including global graph measures, degree-distribution modelling, nodal analyses, hub-related measures, degree-based hub-disruption results, and leave-one-out sensitivity analyses. Positive Cliff’s δ values indicate higher values in controls, whereas negative values indicate higher values in participants with asymptomatic TMD. Reported q values were calculated using the Benjamini</w:t>
      </w:r>
      <w:r>
        <w:rPr>
          <w:sz w:val="28"/>
          <w:szCs w:val="28"/>
        </w:rPr>
        <w:t>-</w:t>
      </w:r>
      <w:r w:rsidRPr="000716BD">
        <w:rPr>
          <w:sz w:val="28"/>
          <w:szCs w:val="28"/>
        </w:rPr>
        <w:t>Hochberg false-discovery-rate procedure within the corresponding analysis families.</w:t>
      </w:r>
    </w:p>
    <w:p w14:paraId="57DB45E3"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rStyle w:val="Strong"/>
          <w:sz w:val="28"/>
          <w:szCs w:val="28"/>
        </w:rPr>
        <w:t>Supplementary Table S2. Network-, system-, and workflow-sensitivity analyses.</w:t>
      </w:r>
    </w:p>
    <w:p w14:paraId="1214F9B9" w14:textId="77777777" w:rsidR="00BE5458" w:rsidRPr="000716BD" w:rsidRDefault="00BE5458" w:rsidP="00BE5458">
      <w:pPr>
        <w:pStyle w:val="NormalWeb"/>
        <w:spacing w:before="0" w:beforeAutospacing="0" w:after="0" w:afterAutospacing="0" w:line="360" w:lineRule="auto"/>
        <w:ind w:firstLine="720"/>
        <w:jc w:val="both"/>
        <w:rPr>
          <w:sz w:val="28"/>
          <w:szCs w:val="28"/>
        </w:rPr>
      </w:pPr>
      <w:r w:rsidRPr="000716BD">
        <w:rPr>
          <w:sz w:val="28"/>
          <w:szCs w:val="28"/>
        </w:rPr>
        <w:t>Multi-sheet workbook containing the ROI-to-network mapping, global graph comparisons for the end-region and pass-region workflows, within-network analyses, cross-workflow robustness classifications, cross-atlas consistency measures, hub-frequency results, and leave-one-out sensitivity analyses. The end-region workflow constituted the primary connectivity definition, whereas the pass-region workflow was used for sensitivity analysis. Positive Cliff’s δ values indicate higher values in controls.</w:t>
      </w:r>
    </w:p>
    <w:p w14:paraId="156C0827" w14:textId="77777777" w:rsidR="00E023F9" w:rsidRDefault="00E023F9"/>
    <w:sectPr w:rsidR="00E023F9" w:rsidSect="00BE5458">
      <w:pgSz w:w="11906" w:h="16838"/>
      <w:pgMar w:top="1440" w:right="1440" w:bottom="1440" w:left="1440" w:header="708" w:footer="708" w:gutter="0"/>
      <w:lnNumType w:countBy="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458"/>
    <w:rsid w:val="000C4033"/>
    <w:rsid w:val="00173ED8"/>
    <w:rsid w:val="002F50B1"/>
    <w:rsid w:val="004B42CB"/>
    <w:rsid w:val="005F2B46"/>
    <w:rsid w:val="006E1731"/>
    <w:rsid w:val="00866D74"/>
    <w:rsid w:val="00882A73"/>
    <w:rsid w:val="00906905"/>
    <w:rsid w:val="0095305D"/>
    <w:rsid w:val="00B10170"/>
    <w:rsid w:val="00B260B7"/>
    <w:rsid w:val="00B85331"/>
    <w:rsid w:val="00BE5458"/>
    <w:rsid w:val="00C71B76"/>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0ACDA"/>
  <w15:chartTrackingRefBased/>
  <w15:docId w15:val="{F7BEC79C-B5C2-426E-8C9F-A510D0178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54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54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54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54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54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54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54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54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54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4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54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54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54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54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54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54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54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5458"/>
    <w:rPr>
      <w:rFonts w:eastAsiaTheme="majorEastAsia" w:cstheme="majorBidi"/>
      <w:color w:val="272727" w:themeColor="text1" w:themeTint="D8"/>
    </w:rPr>
  </w:style>
  <w:style w:type="paragraph" w:styleId="Title">
    <w:name w:val="Title"/>
    <w:basedOn w:val="Normal"/>
    <w:next w:val="Normal"/>
    <w:link w:val="TitleChar"/>
    <w:uiPriority w:val="10"/>
    <w:qFormat/>
    <w:rsid w:val="00BE54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54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54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54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5458"/>
    <w:pPr>
      <w:spacing w:before="160"/>
      <w:jc w:val="center"/>
    </w:pPr>
    <w:rPr>
      <w:i/>
      <w:iCs/>
      <w:color w:val="404040" w:themeColor="text1" w:themeTint="BF"/>
    </w:rPr>
  </w:style>
  <w:style w:type="character" w:customStyle="1" w:styleId="QuoteChar">
    <w:name w:val="Quote Char"/>
    <w:basedOn w:val="DefaultParagraphFont"/>
    <w:link w:val="Quote"/>
    <w:uiPriority w:val="29"/>
    <w:rsid w:val="00BE5458"/>
    <w:rPr>
      <w:i/>
      <w:iCs/>
      <w:color w:val="404040" w:themeColor="text1" w:themeTint="BF"/>
    </w:rPr>
  </w:style>
  <w:style w:type="paragraph" w:styleId="ListParagraph">
    <w:name w:val="List Paragraph"/>
    <w:basedOn w:val="Normal"/>
    <w:uiPriority w:val="34"/>
    <w:qFormat/>
    <w:rsid w:val="00BE5458"/>
    <w:pPr>
      <w:ind w:left="720"/>
      <w:contextualSpacing/>
    </w:pPr>
  </w:style>
  <w:style w:type="character" w:styleId="IntenseEmphasis">
    <w:name w:val="Intense Emphasis"/>
    <w:basedOn w:val="DefaultParagraphFont"/>
    <w:uiPriority w:val="21"/>
    <w:qFormat/>
    <w:rsid w:val="00BE5458"/>
    <w:rPr>
      <w:i/>
      <w:iCs/>
      <w:color w:val="0F4761" w:themeColor="accent1" w:themeShade="BF"/>
    </w:rPr>
  </w:style>
  <w:style w:type="paragraph" w:styleId="IntenseQuote">
    <w:name w:val="Intense Quote"/>
    <w:basedOn w:val="Normal"/>
    <w:next w:val="Normal"/>
    <w:link w:val="IntenseQuoteChar"/>
    <w:uiPriority w:val="30"/>
    <w:qFormat/>
    <w:rsid w:val="00BE54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5458"/>
    <w:rPr>
      <w:i/>
      <w:iCs/>
      <w:color w:val="0F4761" w:themeColor="accent1" w:themeShade="BF"/>
    </w:rPr>
  </w:style>
  <w:style w:type="character" w:styleId="IntenseReference">
    <w:name w:val="Intense Reference"/>
    <w:basedOn w:val="DefaultParagraphFont"/>
    <w:uiPriority w:val="32"/>
    <w:qFormat/>
    <w:rsid w:val="00BE5458"/>
    <w:rPr>
      <w:b/>
      <w:bCs/>
      <w:smallCaps/>
      <w:color w:val="0F4761" w:themeColor="accent1" w:themeShade="BF"/>
      <w:spacing w:val="5"/>
    </w:rPr>
  </w:style>
  <w:style w:type="paragraph" w:styleId="NormalWeb">
    <w:name w:val="Normal (Web)"/>
    <w:basedOn w:val="Normal"/>
    <w:uiPriority w:val="99"/>
    <w:unhideWhenUsed/>
    <w:rsid w:val="00BE545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uiPriority w:val="22"/>
    <w:qFormat/>
    <w:rsid w:val="00BE5458"/>
    <w:rPr>
      <w:b/>
      <w:bCs/>
    </w:rPr>
  </w:style>
  <w:style w:type="character" w:styleId="LineNumber">
    <w:name w:val="line number"/>
    <w:basedOn w:val="DefaultParagraphFont"/>
    <w:uiPriority w:val="99"/>
    <w:semiHidden/>
    <w:unhideWhenUsed/>
    <w:rsid w:val="00BE5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7043</Characters>
  <Application>Microsoft Office Word</Application>
  <DocSecurity>0</DocSecurity>
  <Lines>58</Lines>
  <Paragraphs>16</Paragraphs>
  <ScaleCrop>false</ScaleCrop>
  <Company/>
  <LinksUpToDate>false</LinksUpToDate>
  <CharactersWithSpaces>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2026-09-17T04:47:00Z</dcterms:created>
  <dcterms:modified xsi:type="dcterms:W3CDTF">2026-09-17T04:47:00Z</dcterms:modified>
</cp:coreProperties>
</file>