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Supplementary Appendix</w:t>
      </w:r>
    </w:p>
    <w:p>
      <w:pPr>
        <w:jc w:val="center"/>
      </w:pPr>
      <w:r>
        <w:rPr>
          <w:b/>
        </w:rPr>
        <w:t>Drift-Aware Governance-as-Code for Agentic Cloud Operations:</w:t>
      </w:r>
    </w:p>
    <w:p>
      <w:pPr>
        <w:jc w:val="center"/>
      </w:pPr>
      <w:r>
        <w:t>Formalizing State Certifiability and Testing Dynamic Authority Control in an AWS Testbed</w:t>
      </w:r>
    </w:p>
    <w:p>
      <w:r>
        <w:t>Manuscript ID: b40aebf3-4349-476d-8a2b-cc9a1d9d44de v1.0</w:t>
      </w:r>
    </w:p>
    <w:p>
      <w:pPr>
        <w:pStyle w:val="Heading1"/>
      </w:pPr>
      <w:r>
        <w:t>Appendix A. Computational reproducibility specification</w:t>
      </w:r>
    </w:p>
    <w:p>
      <w:r>
        <w:t>The following specification distinguishes information present in the analytic records from information that must be added from the execution repository before submission. A reviewer should be able to reconstruct the decision path from injected state through observation, Φ calculation, governance state, gate output, tool execution, and outcome adjudication.</w:t>
      </w:r>
    </w:p>
    <w:p>
      <w:pPr>
        <w:pStyle w:val="Caption"/>
      </w:pPr>
      <w:r>
        <w:t>Table A1. Minimum reproducibility record for computational submission.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3240"/>
        <w:gridCol w:w="4176"/>
      </w:tblGrid>
      <w:tr w:rsidR="00106810">
        <w:trPr>
          <w:tblHeader/>
          <w:jc w:val="center"/>
        </w:trPr>
        <w:tc>
          <w:tcPr>
            <w:tcW w:w="1944" w:type="dxa"/>
            <w:shd w:val="clear" w:color="auto" w:fill="D9EA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b/>
                <w:color w:val="000000"/>
                <w:sz w:val="15"/>
              </w:rPr>
              <w:t>Reproducibility element</w:t>
            </w:r>
          </w:p>
        </w:tc>
        <w:tc>
          <w:tcPr>
            <w:tcW w:w="3240" w:type="dxa"/>
            <w:shd w:val="clear" w:color="auto" w:fill="D9EA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b/>
                <w:color w:val="000000"/>
                <w:sz w:val="15"/>
              </w:rPr>
              <w:t>Recorded in analytic data</w:t>
            </w:r>
          </w:p>
        </w:tc>
        <w:tc>
          <w:tcPr>
            <w:tcW w:w="4176" w:type="dxa"/>
            <w:shd w:val="clear" w:color="auto" w:fill="D9EA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b/>
                <w:color w:val="000000"/>
                <w:sz w:val="15"/>
              </w:rPr>
              <w:t>Required supplement</w:t>
            </w:r>
          </w:p>
        </w:tc>
      </w:tr>
      <w:tr w:rsidR="00106810">
        <w:trPr>
          <w:jc w:val="center"/>
        </w:trPr>
        <w:tc>
          <w:tcPr>
            <w:tcW w:w="19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AWS architecture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Sandbox production-like/nonproduction class; six task families; testbed tb-1.0</w:t>
            </w:r>
          </w:p>
        </w:tc>
        <w:tc>
          <w:tcPr>
            <w:tcW w:w="417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Account isolation, region, VPC/subnet layout, service/resource inventory, IAM boundary, network controls</w:t>
            </w:r>
          </w:p>
        </w:tc>
      </w:tr>
      <w:tr w:rsidR="00106810">
        <w:trPr>
          <w:jc w:val="center"/>
        </w:trPr>
        <w:tc>
          <w:tcPr>
            <w:tcW w:w="1944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Agent</w:t>
            </w:r>
          </w:p>
        </w:tc>
        <w:tc>
          <w:tcPr>
            <w:tcW w:w="324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agent-v1/v2; versions 2.4.0/2.4.1</w:t>
            </w:r>
          </w:p>
        </w:tc>
        <w:tc>
          <w:tcPr>
            <w:tcW w:w="4176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Foundation-model provider/name, decoding parameters, system architecture, memory policy</w:t>
            </w:r>
          </w:p>
        </w:tc>
      </w:tr>
      <w:tr w:rsidR="00106810">
        <w:trPr>
          <w:jc w:val="center"/>
        </w:trPr>
        <w:tc>
          <w:tcPr>
            <w:tcW w:w="19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Prompts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Prompt versions p1.0/p1.1</w:t>
            </w:r>
          </w:p>
        </w:tc>
        <w:tc>
          <w:tcPr>
            <w:tcW w:w="417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Exact system/task prompts or cryptographic hashes plus controlled-access location</w:t>
            </w:r>
          </w:p>
        </w:tc>
      </w:tr>
      <w:tr w:rsidR="00106810">
        <w:trPr>
          <w:jc w:val="center"/>
        </w:trPr>
        <w:tc>
          <w:tcPr>
            <w:tcW w:w="1944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Tools</w:t>
            </w:r>
          </w:p>
        </w:tc>
        <w:tc>
          <w:tcPr>
            <w:tcW w:w="324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Tool name, target, requested/assigned authority, execution status</w:t>
            </w:r>
          </w:p>
        </w:tc>
        <w:tc>
          <w:tcPr>
            <w:tcW w:w="4176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JSON schemas, validation logic, allowlist, side-effect semantics, retry rules</w:t>
            </w:r>
          </w:p>
        </w:tc>
      </w:tr>
      <w:tr w:rsidR="00106810">
        <w:trPr>
          <w:jc w:val="center"/>
        </w:trPr>
        <w:tc>
          <w:tcPr>
            <w:tcW w:w="19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Policies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Policy versions 2.0/2.1; gate decisions and explanations</w:t>
            </w:r>
          </w:p>
        </w:tc>
        <w:tc>
          <w:tcPr>
            <w:tcW w:w="417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Policy language and source, compiled bundle hash, threshold configuration</w:t>
            </w:r>
          </w:p>
        </w:tc>
      </w:tr>
      <w:tr w:rsidR="00106810">
        <w:trPr>
          <w:jc w:val="center"/>
        </w:trPr>
        <w:tc>
          <w:tcPr>
            <w:tcW w:w="1944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Drift injections</w:t>
            </w:r>
          </w:p>
        </w:tc>
        <w:tc>
          <w:tcPr>
            <w:tcW w:w="324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Attribute, discrepancy cost, weight, veto, timestamp, verification</w:t>
            </w:r>
          </w:p>
        </w:tc>
        <w:tc>
          <w:tcPr>
            <w:tcW w:w="4176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Executable injectors, declared/observed fixtures, cleanup and verification commands</w:t>
            </w:r>
          </w:p>
        </w:tc>
      </w:tr>
      <w:tr w:rsidR="00106810">
        <w:trPr>
          <w:jc w:val="center"/>
        </w:trPr>
        <w:tc>
          <w:tcPr>
            <w:tcW w:w="19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Randomization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Per-run seed, replication, scenario, partition</w:t>
            </w:r>
          </w:p>
        </w:tc>
        <w:tc>
          <w:tcPr>
            <w:tcW w:w="417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Seed-generation algorithm, blocking procedure, allocation script, partition freeze hash</w:t>
            </w:r>
          </w:p>
        </w:tc>
      </w:tr>
      <w:tr w:rsidR="00106810">
        <w:trPr>
          <w:jc w:val="center"/>
        </w:trPr>
        <w:tc>
          <w:tcPr>
            <w:tcW w:w="1944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Orchestration</w:t>
            </w:r>
          </w:p>
        </w:tc>
        <w:tc>
          <w:tcPr>
            <w:tcW w:w="324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Start/end/status, 20-step and 900-second limits</w:t>
            </w:r>
          </w:p>
        </w:tc>
        <w:tc>
          <w:tcPr>
            <w:tcW w:w="4176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State machine, deterministic/model-driven boundary, concurrency and retry configuration</w:t>
            </w:r>
          </w:p>
        </w:tc>
      </w:tr>
      <w:tr w:rsidR="00106810">
        <w:trPr>
          <w:jc w:val="center"/>
        </w:trPr>
        <w:tc>
          <w:tcPr>
            <w:tcW w:w="19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lastRenderedPageBreak/>
              <w:t>Outcomes</w:t>
            </w:r>
          </w:p>
        </w:tc>
        <w:tc>
          <w:tcPr>
            <w:tcW w:w="3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Violation, recovery, lockout, latency, steps, cost, audit fields</w:t>
            </w:r>
          </w:p>
        </w:tc>
        <w:tc>
          <w:tcPr>
            <w:tcW w:w="417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Executable derivation rules, adjudication protocol, blinded status, unit tests</w:t>
            </w:r>
          </w:p>
        </w:tc>
      </w:tr>
      <w:tr w:rsidR="00106810">
        <w:trPr>
          <w:jc w:val="center"/>
        </w:trPr>
        <w:tc>
          <w:tcPr>
            <w:tcW w:w="1944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Containment</w:t>
            </w:r>
          </w:p>
        </w:tc>
        <w:tc>
          <w:tcPr>
            <w:tcW w:w="324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Sandbox designation and enumerated operator</w:t>
            </w:r>
          </w:p>
        </w:tc>
        <w:tc>
          <w:tcPr>
            <w:tcW w:w="4176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06810" w:rsidRDefault="00000000">
            <w:pPr>
              <w:spacing w:after="0" w:line="252" w:lineRule="auto"/>
              <w:jc w:val="left"/>
            </w:pPr>
            <w:r>
              <w:rPr>
                <w:sz w:val="15"/>
              </w:rPr>
              <w:t>Budget ceiling, kill switch, teardown script, credential rotation and log-retention policy</w:t>
            </w:r>
          </w:p>
        </w:tc>
      </w:tr>
    </w:tbl>
    <w:p>
      <w:r>
        <w:t>Repeated runs used distinct recorded randomization seeds rather than identical paired seeds across governance modes. Consequently, mode comparisons estimate average performance across randomized trajectories; they are not within-seed paired contrasts. Repository artifacts should be assigned a release identifier and cryptographic manifest, with security-sensitive values replaced by documented placeholders rather than omitted without explanation.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000000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000000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000000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000000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000000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000000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000000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0000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0000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000000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000000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000000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000000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000000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000000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000000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000000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000000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000000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000000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000000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000000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000000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000000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000000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000000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000000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000000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0000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0000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000000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000000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000000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000000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000000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000000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000000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000000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000000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000000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000000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000000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