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2E5C80" w14:textId="425E4B6C" w:rsidR="00321C76" w:rsidRDefault="00321C76" w:rsidP="00321C76"/>
    <w:p w14:paraId="429F6787" w14:textId="77777777" w:rsidR="00321C76" w:rsidRDefault="00321C76" w:rsidP="00321C76">
      <w:pPr>
        <w:rPr>
          <w:b/>
        </w:rPr>
      </w:pPr>
      <w:r>
        <w:rPr>
          <w:b/>
          <w:noProof/>
          <w:lang w:val="en-US"/>
        </w:rPr>
        <w:drawing>
          <wp:inline distT="114300" distB="114300" distL="114300" distR="114300" wp14:anchorId="2A1509DA" wp14:editId="0427C52B">
            <wp:extent cx="3841746" cy="5424488"/>
            <wp:effectExtent l="0" t="0" r="0" b="0"/>
            <wp:docPr id="1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1746" cy="54244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8537564" w14:textId="77777777" w:rsidR="00321C76" w:rsidRDefault="00321C76" w:rsidP="00321C76">
      <w:r>
        <w:rPr>
          <w:b/>
        </w:rPr>
        <w:t>Figure S1. Comparison of centrifugation versus vacuum-based protein aggregate removal</w:t>
      </w:r>
      <w:r>
        <w:t xml:space="preserve">. </w:t>
      </w:r>
      <w:r>
        <w:rPr>
          <w:b/>
        </w:rPr>
        <w:t>a</w:t>
      </w:r>
      <w:r>
        <w:t xml:space="preserve">) Side by side comparison of centrifugation or vacuum </w:t>
      </w:r>
      <w:proofErr w:type="gramStart"/>
      <w:r>
        <w:t>manifold based</w:t>
      </w:r>
      <w:proofErr w:type="gramEnd"/>
      <w:r>
        <w:t xml:space="preserve"> removal of protein aggregates. Intact HeLa cells were subjected to 10 different temperatures and lysed with NP-40. Efficiency of protein aggregate removal through a 0.45 µM filter was compared between a vacuum manifold or centrifugation. Aggregate removal was assessed by quantifying the percentage of protein remaining soluble by BCA protein determination (n=2 technical replicates). </w:t>
      </w:r>
      <w:r>
        <w:rPr>
          <w:b/>
        </w:rPr>
        <w:t>b</w:t>
      </w:r>
      <w:r>
        <w:t xml:space="preserve">) HeLa test samples prepared according to S1A subjected to SDS-PAGE and stained with Coomassie Blue to visualize melting profiles. </w:t>
      </w:r>
    </w:p>
    <w:p w14:paraId="34CB64E1" w14:textId="77777777" w:rsidR="00321C76" w:rsidRDefault="00321C76" w:rsidP="00321C76"/>
    <w:p w14:paraId="79E9E6C6" w14:textId="77777777" w:rsidR="00321C76" w:rsidRDefault="00321C76" w:rsidP="00321C76">
      <w:r>
        <w:rPr>
          <w:noProof/>
          <w:lang w:val="en-US"/>
        </w:rPr>
        <w:lastRenderedPageBreak/>
        <w:drawing>
          <wp:inline distT="114300" distB="114300" distL="114300" distR="114300" wp14:anchorId="04C3B55A" wp14:editId="6310F00C">
            <wp:extent cx="5943600" cy="2463800"/>
            <wp:effectExtent l="0" t="0" r="0" b="0"/>
            <wp:docPr id="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3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472E5F" w14:textId="77777777" w:rsidR="00321C76" w:rsidRDefault="00321C76" w:rsidP="00321C76">
      <w:r>
        <w:rPr>
          <w:b/>
        </w:rPr>
        <w:t>Figure S2. SARS-CoV-</w:t>
      </w:r>
      <w:proofErr w:type="gramStart"/>
      <w:r>
        <w:rPr>
          <w:b/>
        </w:rPr>
        <w:t>2 time</w:t>
      </w:r>
      <w:proofErr w:type="gramEnd"/>
      <w:r>
        <w:rPr>
          <w:b/>
        </w:rPr>
        <w:t xml:space="preserve"> dependent effects on proteome thermal stability and abundance.</w:t>
      </w:r>
      <w:r>
        <w:t xml:space="preserve"> </w:t>
      </w:r>
      <w:r>
        <w:rPr>
          <w:b/>
        </w:rPr>
        <w:t>a</w:t>
      </w:r>
      <w:r>
        <w:t>) Volcano plots of all proteins detected in SARS-CoV-2 infected Caco-2 cells. Proteins classified as hits (|z-score| &gt; 1.96 and q-value &lt;0.05; see Methods for details) are indicated in cyan, data from three biological replicates.</w:t>
      </w:r>
    </w:p>
    <w:p w14:paraId="4ECAB07A" w14:textId="77777777" w:rsidR="00321C76" w:rsidRPr="00FB18B7" w:rsidRDefault="00321C76" w:rsidP="00321C76">
      <w:r>
        <w:br w:type="page"/>
      </w:r>
    </w:p>
    <w:p w14:paraId="50E11A7A" w14:textId="77777777" w:rsidR="00321C76" w:rsidRDefault="00321C76" w:rsidP="00321C76">
      <w:pPr>
        <w:rPr>
          <w:b/>
        </w:rPr>
      </w:pPr>
      <w:r>
        <w:rPr>
          <w:b/>
          <w:noProof/>
          <w:lang w:val="en-US"/>
        </w:rPr>
        <w:lastRenderedPageBreak/>
        <w:drawing>
          <wp:inline distT="114300" distB="114300" distL="114300" distR="114300" wp14:anchorId="1BD5D899" wp14:editId="75E3300F">
            <wp:extent cx="4929188" cy="1446130"/>
            <wp:effectExtent l="0" t="0" r="0" b="0"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9188" cy="14461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C19236" w14:textId="77777777" w:rsidR="00321C76" w:rsidRDefault="00321C76" w:rsidP="00321C76">
      <w:pPr>
        <w:rPr>
          <w:b/>
        </w:rPr>
      </w:pPr>
    </w:p>
    <w:p w14:paraId="2B12FDEE" w14:textId="77777777" w:rsidR="00321C76" w:rsidRDefault="00321C76" w:rsidP="00321C76">
      <w:pPr>
        <w:rPr>
          <w:b/>
        </w:rPr>
      </w:pPr>
    </w:p>
    <w:p w14:paraId="12A464E9" w14:textId="77777777" w:rsidR="00321C76" w:rsidRDefault="00321C76" w:rsidP="00321C76">
      <w:r>
        <w:rPr>
          <w:b/>
        </w:rPr>
        <w:t>Figure S3</w:t>
      </w:r>
      <w:r>
        <w:t xml:space="preserve">. </w:t>
      </w:r>
      <w:r>
        <w:rPr>
          <w:b/>
        </w:rPr>
        <w:t>Convergence of SARS-CoV-2-induced changes to the host proteome</w:t>
      </w:r>
      <w:r>
        <w:t xml:space="preserve">. </w:t>
      </w:r>
      <w:r>
        <w:rPr>
          <w:b/>
        </w:rPr>
        <w:t>a</w:t>
      </w:r>
      <w:r>
        <w:t xml:space="preserve">) Venn diagram displaying overlap of proteins with altered thermostability and abundance (this work) and those that interact with SARS-CoV-2 proteins by AP-MS from previous work </w:t>
      </w:r>
      <w:hyperlink r:id="rId7">
        <w:r>
          <w:rPr>
            <w:color w:val="000000"/>
            <w:vertAlign w:val="superscript"/>
          </w:rPr>
          <w:t>3,6</w:t>
        </w:r>
      </w:hyperlink>
      <w:r>
        <w:t xml:space="preserve">. </w:t>
      </w:r>
      <w:r>
        <w:rPr>
          <w:b/>
        </w:rPr>
        <w:t>b</w:t>
      </w:r>
      <w:r>
        <w:t xml:space="preserve">) Venn diagram displaying overlap of proteins with altered thermostability and abundance (this work) and those that interact with SARS-CoV-2 proteins in </w:t>
      </w:r>
      <w:proofErr w:type="spellStart"/>
      <w:r>
        <w:t>BioID</w:t>
      </w:r>
      <w:proofErr w:type="spellEnd"/>
      <w:r>
        <w:t xml:space="preserve"> experiments from previous work </w:t>
      </w:r>
      <w:hyperlink r:id="rId8">
        <w:r>
          <w:rPr>
            <w:color w:val="000000"/>
            <w:vertAlign w:val="superscript"/>
          </w:rPr>
          <w:t>20</w:t>
        </w:r>
      </w:hyperlink>
      <w:r>
        <w:t xml:space="preserve">. </w:t>
      </w:r>
      <w:r>
        <w:rPr>
          <w:b/>
        </w:rPr>
        <w:t>c</w:t>
      </w:r>
      <w:r>
        <w:t xml:space="preserve">) Venn diagram displaying overlap of proteins with thermostability and abundance changes and previously observed changes in phosphorylation states upon SARS-CoV-2 infection </w:t>
      </w:r>
      <w:hyperlink r:id="rId9">
        <w:r>
          <w:rPr>
            <w:color w:val="000000"/>
            <w:vertAlign w:val="superscript"/>
          </w:rPr>
          <w:t>2</w:t>
        </w:r>
      </w:hyperlink>
      <w:r>
        <w:t>.</w:t>
      </w:r>
    </w:p>
    <w:p w14:paraId="47C00321" w14:textId="77777777" w:rsidR="00321C76" w:rsidRDefault="00321C76" w:rsidP="00321C76"/>
    <w:p w14:paraId="2C44E394" w14:textId="77777777" w:rsidR="00321C76" w:rsidRDefault="00321C76" w:rsidP="00321C76">
      <w:r>
        <w:br w:type="page"/>
      </w:r>
    </w:p>
    <w:p w14:paraId="69DB6F64" w14:textId="77777777" w:rsidR="00321C76" w:rsidRDefault="00321C76" w:rsidP="00321C76">
      <w:pPr>
        <w:rPr>
          <w:b/>
        </w:rPr>
      </w:pPr>
      <w:r>
        <w:rPr>
          <w:b/>
          <w:noProof/>
          <w:lang w:val="en-US"/>
        </w:rPr>
        <w:lastRenderedPageBreak/>
        <w:drawing>
          <wp:inline distT="114300" distB="114300" distL="114300" distR="114300" wp14:anchorId="27B79E6B" wp14:editId="4A454929">
            <wp:extent cx="5943600" cy="176530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65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4D4C3C" w14:textId="77777777" w:rsidR="00321C76" w:rsidRDefault="00321C76" w:rsidP="00321C76">
      <w:pPr>
        <w:rPr>
          <w:b/>
        </w:rPr>
      </w:pPr>
      <w:r>
        <w:rPr>
          <w:b/>
        </w:rPr>
        <w:t>Figure S4.</w:t>
      </w:r>
      <w:r>
        <w:t xml:space="preserve"> </w:t>
      </w:r>
      <w:r>
        <w:rPr>
          <w:b/>
        </w:rPr>
        <w:t>Thermostability changes in host proteins of significance to SARS-CoV-2</w:t>
      </w:r>
      <w:r>
        <w:t xml:space="preserve">. </w:t>
      </w:r>
    </w:p>
    <w:p w14:paraId="0A726BC6" w14:textId="77777777" w:rsidR="00321C76" w:rsidRDefault="00321C76" w:rsidP="00321C76">
      <w:r>
        <w:rPr>
          <w:b/>
        </w:rPr>
        <w:t>A</w:t>
      </w:r>
      <w:r>
        <w:t xml:space="preserve">) A total of 362 SAFB target genes (as defined in </w:t>
      </w:r>
      <w:hyperlink r:id="rId11">
        <w:r>
          <w:rPr>
            <w:color w:val="000000"/>
            <w:vertAlign w:val="superscript"/>
          </w:rPr>
          <w:t>42</w:t>
        </w:r>
      </w:hyperlink>
      <w:r>
        <w:t>) protein abundance changes upon SARS-CoV-2 infection. Significantly regulated proteins are colored (turquoise). A total of 3 proteins were significantly upregulated at t</w:t>
      </w:r>
      <w:r>
        <w:rPr>
          <w:vertAlign w:val="subscript"/>
        </w:rPr>
        <w:t xml:space="preserve">1 , </w:t>
      </w:r>
      <w:r>
        <w:t>whereas 4 at t</w:t>
      </w:r>
      <w:r>
        <w:rPr>
          <w:vertAlign w:val="subscript"/>
        </w:rPr>
        <w:t>24</w:t>
      </w:r>
      <w:r>
        <w:t xml:space="preserve"> and 18 at t</w:t>
      </w:r>
      <w:r>
        <w:rPr>
          <w:vertAlign w:val="subscript"/>
        </w:rPr>
        <w:t xml:space="preserve">48 </w:t>
      </w:r>
      <w:r>
        <w:t xml:space="preserve">were downregulated. </w:t>
      </w:r>
      <w:r>
        <w:rPr>
          <w:b/>
        </w:rPr>
        <w:t>B</w:t>
      </w:r>
      <w:r>
        <w:t xml:space="preserve">) Protein abundance and thermal stability heatmap of individual components of the chaperonin CCT complex. </w:t>
      </w:r>
      <w:r>
        <w:rPr>
          <w:b/>
        </w:rPr>
        <w:t>C</w:t>
      </w:r>
      <w:r>
        <w:t xml:space="preserve">) HSPB1 thermal </w:t>
      </w:r>
      <w:proofErr w:type="spellStart"/>
      <w:r>
        <w:t>destabilisation</w:t>
      </w:r>
      <w:proofErr w:type="spellEnd"/>
      <w:r>
        <w:t xml:space="preserve"> coincides with S78/82 phosphorylation events. </w:t>
      </w:r>
      <w:proofErr w:type="spellStart"/>
      <w:r>
        <w:t>Phosphosite</w:t>
      </w:r>
      <w:proofErr w:type="spellEnd"/>
      <w:r>
        <w:t xml:space="preserve"> data from </w:t>
      </w:r>
      <w:hyperlink r:id="rId12">
        <w:r>
          <w:rPr>
            <w:color w:val="000000"/>
            <w:vertAlign w:val="superscript"/>
          </w:rPr>
          <w:t>2</w:t>
        </w:r>
      </w:hyperlink>
      <w:r>
        <w:t xml:space="preserve">. Note that S78/S82 could not be localized with confidence in </w:t>
      </w:r>
      <w:hyperlink r:id="rId13">
        <w:r>
          <w:rPr>
            <w:color w:val="000000"/>
            <w:vertAlign w:val="superscript"/>
          </w:rPr>
          <w:t>2</w:t>
        </w:r>
      </w:hyperlink>
      <w:r>
        <w:t>.</w:t>
      </w:r>
    </w:p>
    <w:p w14:paraId="629D3377" w14:textId="77777777" w:rsidR="00321C76" w:rsidRDefault="00321C76" w:rsidP="00321C76"/>
    <w:p w14:paraId="43CC4056" w14:textId="77777777" w:rsidR="00321C76" w:rsidRDefault="00321C76" w:rsidP="00321C76"/>
    <w:p w14:paraId="0DCCF07F" w14:textId="77777777" w:rsidR="00321C76" w:rsidRDefault="00321C76" w:rsidP="00321C76"/>
    <w:p w14:paraId="0A32F608" w14:textId="77777777" w:rsidR="00321C76" w:rsidRDefault="00321C76" w:rsidP="00321C76">
      <w:pPr>
        <w:rPr>
          <w:b/>
        </w:rPr>
      </w:pPr>
      <w:r>
        <w:rPr>
          <w:b/>
          <w:noProof/>
          <w:lang w:val="en-US"/>
        </w:rPr>
        <w:lastRenderedPageBreak/>
        <w:drawing>
          <wp:inline distT="114300" distB="114300" distL="114300" distR="114300" wp14:anchorId="5F147F03" wp14:editId="30597D1E">
            <wp:extent cx="4710017" cy="8701088"/>
            <wp:effectExtent l="0" t="0" r="0" b="0"/>
            <wp:docPr id="1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0017" cy="87010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1545BB" w14:textId="77777777" w:rsidR="00321C76" w:rsidRDefault="00321C76" w:rsidP="00321C76">
      <w:pPr>
        <w:rPr>
          <w:b/>
        </w:rPr>
      </w:pPr>
    </w:p>
    <w:p w14:paraId="2B20F2F2" w14:textId="77777777" w:rsidR="00321C76" w:rsidRDefault="00321C76" w:rsidP="00321C76">
      <w:r>
        <w:rPr>
          <w:b/>
        </w:rPr>
        <w:t xml:space="preserve">Figure S5. Testing of drugs and compounds that target proteins affected by </w:t>
      </w:r>
      <w:proofErr w:type="spellStart"/>
      <w:r>
        <w:rPr>
          <w:b/>
        </w:rPr>
        <w:t>stabilisation</w:t>
      </w:r>
      <w:proofErr w:type="spellEnd"/>
      <w:r>
        <w:rPr>
          <w:b/>
        </w:rPr>
        <w:t xml:space="preserve"> or abundance during SARS-CoV-2 infection.</w:t>
      </w:r>
      <w:r>
        <w:t xml:space="preserve"> Dose response curves of compounds that inhibit activity of proteins displaying thermal stability changes in Caco-2 cells, which were ineffective or marginally affected SARS-CoV-2 infection in Calu-3 cells.</w:t>
      </w:r>
      <w:r>
        <w:rPr>
          <w:b/>
        </w:rPr>
        <w:t xml:space="preserve"> A</w:t>
      </w:r>
      <w:r>
        <w:t xml:space="preserve">) E64d and </w:t>
      </w:r>
      <w:r>
        <w:rPr>
          <w:b/>
        </w:rPr>
        <w:t>B</w:t>
      </w:r>
      <w:r>
        <w:t xml:space="preserve">) CA-074me were used to inhibit cathepsins (e.g. CTSV). </w:t>
      </w:r>
      <w:r>
        <w:rPr>
          <w:b/>
        </w:rPr>
        <w:t>C</w:t>
      </w:r>
      <w:r>
        <w:t xml:space="preserve">) Mycophenolic acid used as an IMPDH Inhibitor, </w:t>
      </w:r>
      <w:r>
        <w:rPr>
          <w:b/>
        </w:rPr>
        <w:t>D</w:t>
      </w:r>
      <w:r>
        <w:t xml:space="preserve">) acetylsalicylic acid as a PTGS1 inhibitor, </w:t>
      </w:r>
      <w:r>
        <w:rPr>
          <w:b/>
        </w:rPr>
        <w:t>E</w:t>
      </w:r>
      <w:r>
        <w:t xml:space="preserve">) PD-150606 as a CAPN1 inhibitor, </w:t>
      </w:r>
      <w:r>
        <w:rPr>
          <w:b/>
        </w:rPr>
        <w:t>F</w:t>
      </w:r>
      <w:r>
        <w:t xml:space="preserve">) Ribavirin as an IMPDH inhibitor, </w:t>
      </w:r>
      <w:r>
        <w:rPr>
          <w:b/>
        </w:rPr>
        <w:t>G</w:t>
      </w:r>
      <w:r>
        <w:t xml:space="preserve">) Diclofenac as an inhibitor of PTGS1/PTGS2 (Cox-1/Cox-2) of prostaglandin metabolism and </w:t>
      </w:r>
      <w:r>
        <w:rPr>
          <w:b/>
        </w:rPr>
        <w:t>H</w:t>
      </w:r>
      <w:r>
        <w:t xml:space="preserve">) </w:t>
      </w:r>
      <w:proofErr w:type="spellStart"/>
      <w:r>
        <w:t>Remdesivir</w:t>
      </w:r>
      <w:proofErr w:type="spellEnd"/>
      <w:r>
        <w:t xml:space="preserve"> as an inhibitor of RNA-dependent RNA polymerase (</w:t>
      </w:r>
      <w:proofErr w:type="spellStart"/>
      <w:r>
        <w:t>RdRp</w:t>
      </w:r>
      <w:proofErr w:type="spellEnd"/>
      <w:r>
        <w:t>) as an internal experimental positive control.</w:t>
      </w:r>
    </w:p>
    <w:p w14:paraId="055B95A5" w14:textId="77777777" w:rsidR="00222823" w:rsidRDefault="00222823"/>
    <w:sectPr w:rsidR="00222823" w:rsidSect="00321C76"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76"/>
    <w:rsid w:val="00222823"/>
    <w:rsid w:val="00242694"/>
    <w:rsid w:val="0032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D9F38"/>
  <w15:chartTrackingRefBased/>
  <w15:docId w15:val="{FD3D7052-08FD-4EB3-B541-6AAD2F41E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76"/>
    <w:pPr>
      <w:spacing w:after="0" w:line="276" w:lineRule="auto"/>
      <w:jc w:val="both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21C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perpile.com/c/J41bkI/AOEq" TargetMode="External"/><Relationship Id="rId13" Type="http://schemas.openxmlformats.org/officeDocument/2006/relationships/hyperlink" Target="https://paperpile.com/c/J41bkI/uvN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aperpile.com/c/J41bkI/5Zsr+TbAQ" TargetMode="External"/><Relationship Id="rId12" Type="http://schemas.openxmlformats.org/officeDocument/2006/relationships/hyperlink" Target="https://paperpile.com/c/J41bkI/uvNa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paperpile.com/c/J41bkI/Pw6s" TargetMode="External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hyperlink" Target="https://paperpile.com/c/J41bkI/uvNa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507</Words>
  <Characters>2893</Characters>
  <Application>Microsoft Office Word</Application>
  <DocSecurity>0</DocSecurity>
  <Lines>24</Lines>
  <Paragraphs>6</Paragraphs>
  <ScaleCrop>false</ScaleCrop>
  <Company/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2020-11-20T19:40:00Z</dcterms:created>
  <dcterms:modified xsi:type="dcterms:W3CDTF">2020-11-20T19:40:00Z</dcterms:modified>
</cp:coreProperties>
</file>