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9BB3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cs="Times New Roman"/>
          <w:b/>
          <w:bCs/>
          <w:sz w:val="20"/>
          <w:szCs w:val="20"/>
        </w:rPr>
      </w:pPr>
      <w:r>
        <w:rPr>
          <w:rFonts w:hint="eastAsia" w:ascii="Times New Roman" w:hAnsi="Times New Roman" w:cs="Times New Roman"/>
          <w:b/>
          <w:bCs/>
          <w:sz w:val="20"/>
          <w:szCs w:val="20"/>
        </w:rPr>
        <w:t>Contents</w:t>
      </w:r>
    </w:p>
    <w:p w14:paraId="20AB50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cs="Times New Roman"/>
          <w:b/>
          <w:bCs/>
          <w:sz w:val="20"/>
          <w:szCs w:val="20"/>
        </w:rPr>
      </w:pPr>
      <w:r>
        <w:rPr>
          <w:rFonts w:hint="eastAsia" w:ascii="Times New Roman" w:hAnsi="Times New Roman" w:cs="Times New Roman"/>
          <w:b/>
          <w:bCs/>
          <w:sz w:val="20"/>
          <w:szCs w:val="20"/>
        </w:rPr>
        <w:t>Table S1. Maternal pregnancy outcomes</w:t>
      </w:r>
    </w:p>
    <w:p w14:paraId="1AB8F9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cs="Times New Roman"/>
          <w:b/>
          <w:bCs/>
          <w:sz w:val="20"/>
          <w:szCs w:val="20"/>
        </w:rPr>
      </w:pPr>
      <w:r>
        <w:rPr>
          <w:rFonts w:hint="eastAsia" w:ascii="Times New Roman" w:hAnsi="Times New Roman" w:cs="Times New Roman"/>
          <w:b/>
          <w:bCs/>
          <w:sz w:val="20"/>
          <w:szCs w:val="20"/>
        </w:rPr>
        <w:t>Table S2. Multivariate logistic regression analysis of risk factors for spontaneous preterm birth</w:t>
      </w:r>
    </w:p>
    <w:p w14:paraId="55D486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cs="Times New Roman"/>
          <w:b/>
          <w:bCs/>
          <w:sz w:val="20"/>
          <w:szCs w:val="20"/>
        </w:rPr>
      </w:pPr>
      <w:r>
        <w:rPr>
          <w:rFonts w:hint="eastAsia" w:ascii="Times New Roman" w:hAnsi="Times New Roman" w:cs="Times New Roman"/>
          <w:b/>
          <w:bCs/>
          <w:sz w:val="20"/>
          <w:szCs w:val="20"/>
        </w:rPr>
        <w:t>Table S3. Subgroup analy</w:t>
      </w:r>
      <w:bookmarkStart w:id="0" w:name="_GoBack"/>
      <w:bookmarkEnd w:id="0"/>
      <w:r>
        <w:rPr>
          <w:rFonts w:hint="eastAsia" w:ascii="Times New Roman" w:hAnsi="Times New Roman" w:cs="Times New Roman"/>
          <w:b/>
          <w:bCs/>
          <w:sz w:val="20"/>
          <w:szCs w:val="20"/>
        </w:rPr>
        <w:t>sis of the effect of standardized management on spontaneous preterm birth</w:t>
      </w:r>
    </w:p>
    <w:p w14:paraId="0425C6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hint="eastAsia" w:ascii="Times New Roman" w:hAnsi="Times New Roman" w:cs="Times New Roman"/>
          <w:b/>
          <w:bCs/>
          <w:sz w:val="20"/>
          <w:szCs w:val="20"/>
        </w:rPr>
        <w:t>Figure S1. ROC curve of the multivariate logistic regression model for predicting spontaneous preterm birth</w:t>
      </w:r>
      <w:r>
        <w:rPr>
          <w:rFonts w:ascii="Times New Roman" w:hAnsi="Times New Roman" w:cs="Times New Roman"/>
          <w:b/>
          <w:bCs/>
          <w:sz w:val="20"/>
          <w:szCs w:val="20"/>
        </w:rPr>
        <w:br w:type="page"/>
      </w:r>
    </w:p>
    <w:p w14:paraId="05E3AAA5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Table 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>S1.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Comparison of </w:t>
      </w:r>
      <w:r>
        <w:rPr>
          <w:rFonts w:ascii="Times New Roman" w:hAnsi="Times New Roman" w:eastAsia="宋体" w:cs="Times New Roman"/>
          <w:b/>
          <w:bCs/>
          <w:sz w:val="20"/>
          <w:szCs w:val="20"/>
        </w:rPr>
        <w:t>maternal pregnancy outcomes between the two groups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9"/>
        <w:gridCol w:w="1697"/>
        <w:gridCol w:w="1697"/>
        <w:gridCol w:w="1694"/>
        <w:gridCol w:w="1695"/>
      </w:tblGrid>
      <w:tr w14:paraId="069335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9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vAlign w:val="center"/>
          </w:tcPr>
          <w:p w14:paraId="4AEFD813">
            <w:pPr>
              <w:spacing w:line="36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Outcome</w:t>
            </w:r>
          </w:p>
        </w:tc>
        <w:tc>
          <w:tcPr>
            <w:tcW w:w="1697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59B1F1E4">
            <w:pPr>
              <w:spacing w:line="36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Control group (n=75)</w:t>
            </w:r>
          </w:p>
        </w:tc>
        <w:tc>
          <w:tcPr>
            <w:tcW w:w="1697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0D84F9DE">
            <w:pPr>
              <w:spacing w:line="36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Study group (n=75)</w:t>
            </w:r>
          </w:p>
        </w:tc>
        <w:tc>
          <w:tcPr>
            <w:tcW w:w="1694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784E7BE0">
            <w:pPr>
              <w:spacing w:line="36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t/χ²</w:t>
            </w:r>
          </w:p>
        </w:tc>
        <w:tc>
          <w:tcPr>
            <w:tcW w:w="1695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2BA55636">
            <w:pPr>
              <w:spacing w:line="36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value</w:t>
            </w:r>
          </w:p>
        </w:tc>
      </w:tr>
      <w:tr w14:paraId="4AC82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9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0211EB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Premature rupture of membranes, n (%)</w:t>
            </w:r>
          </w:p>
        </w:tc>
        <w:tc>
          <w:tcPr>
            <w:tcW w:w="1697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9A25E6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 (20.0)</w:t>
            </w:r>
          </w:p>
        </w:tc>
        <w:tc>
          <w:tcPr>
            <w:tcW w:w="1697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03148D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(13.3)</w:t>
            </w:r>
          </w:p>
        </w:tc>
        <w:tc>
          <w:tcPr>
            <w:tcW w:w="1694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AA2B8A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1.200</w:t>
            </w:r>
          </w:p>
        </w:tc>
        <w:tc>
          <w:tcPr>
            <w:tcW w:w="169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DD9B6E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0.273</w:t>
            </w:r>
          </w:p>
        </w:tc>
      </w:tr>
      <w:tr w14:paraId="7C7176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EA94C3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Hypertensive disorders of pregnancy, n (%)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00DA71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 (14.7)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0F81F1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 (10.7)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F7571E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0.542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25A9E9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0.461</w:t>
            </w:r>
          </w:p>
        </w:tc>
      </w:tr>
      <w:tr w14:paraId="7B456C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983FF7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Gestational diabetes mellitus, n (%)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07EF19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 (17.3)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42AAB0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(13.3)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EEE4CC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0.462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77FCAF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0.497</w:t>
            </w:r>
          </w:p>
        </w:tc>
      </w:tr>
      <w:tr w14:paraId="38927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2AD86A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Cesarean section, n (%)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8BC339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 (80.0)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F13833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 (73.3)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DEC1A6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0.932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0BB6B1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0.334</w:t>
            </w:r>
          </w:p>
        </w:tc>
      </w:tr>
      <w:tr w14:paraId="158843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64E006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Postpartum hemorrhage, n (%)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3C3D62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 (12.0)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E801D8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(6.7)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06F3A8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1.200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3E498E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0.273</w:t>
            </w:r>
          </w:p>
        </w:tc>
      </w:tr>
      <w:tr w14:paraId="5A00CE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9A49A4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Postpartum fever, n (%)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4BE25E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(8.0)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DA387A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(5.3)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C85527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0.450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3CD5D7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0.502</w:t>
            </w:r>
          </w:p>
        </w:tc>
      </w:tr>
      <w:tr w14:paraId="45BEC3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989042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Chorioamnionitis, n (%)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D0C576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(4.0)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29F40A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(1.3)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A939B3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ADA33B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0.310</w:t>
            </w:r>
          </w:p>
        </w:tc>
      </w:tr>
      <w:tr w14:paraId="2DDEF1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9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7A96F22D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Maternal length of hospital stay (days), mean ± SD</w:t>
            </w:r>
          </w:p>
        </w:tc>
        <w:tc>
          <w:tcPr>
            <w:tcW w:w="169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1E056A73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5.77 ± 1.72</w:t>
            </w:r>
          </w:p>
        </w:tc>
        <w:tc>
          <w:tcPr>
            <w:tcW w:w="169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039518FC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4.64 ± 1.51</w:t>
            </w:r>
          </w:p>
        </w:tc>
        <w:tc>
          <w:tcPr>
            <w:tcW w:w="1694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3C4D9CA0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4.213</w:t>
            </w:r>
          </w:p>
        </w:tc>
        <w:tc>
          <w:tcPr>
            <w:tcW w:w="169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6A4A5F44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</w:tbl>
    <w:p w14:paraId="2F44113B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br w:type="page"/>
      </w:r>
    </w:p>
    <w:p w14:paraId="0C7D5E19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Table 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>S2.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Multivariate </w:t>
      </w:r>
      <w:r>
        <w:rPr>
          <w:rFonts w:ascii="Times New Roman" w:hAnsi="Times New Roman" w:eastAsia="宋体" w:cs="Times New Roman"/>
          <w:b/>
          <w:bCs/>
          <w:sz w:val="20"/>
          <w:szCs w:val="20"/>
        </w:rPr>
        <w:t>logistic regression analysis of risk factors for spontaneous preterm birth among twin pregnancies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6"/>
        <w:gridCol w:w="1199"/>
        <w:gridCol w:w="1196"/>
        <w:gridCol w:w="1197"/>
        <w:gridCol w:w="1197"/>
        <w:gridCol w:w="1218"/>
        <w:gridCol w:w="1199"/>
      </w:tblGrid>
      <w:tr w14:paraId="61D8E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vAlign w:val="center"/>
          </w:tcPr>
          <w:p w14:paraId="343FAA4F">
            <w:pPr>
              <w:spacing w:line="36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Variable</w:t>
            </w:r>
          </w:p>
        </w:tc>
        <w:tc>
          <w:tcPr>
            <w:tcW w:w="1217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698F817A">
            <w:pPr>
              <w:spacing w:line="36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B</w:t>
            </w:r>
          </w:p>
        </w:tc>
        <w:tc>
          <w:tcPr>
            <w:tcW w:w="1217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3FF3E245">
            <w:pPr>
              <w:spacing w:line="36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1217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6E3AF40B">
            <w:pPr>
              <w:spacing w:line="36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Wald χ²</w:t>
            </w:r>
          </w:p>
        </w:tc>
        <w:tc>
          <w:tcPr>
            <w:tcW w:w="1218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03DDA0B9">
            <w:pPr>
              <w:spacing w:line="36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OR</w:t>
            </w:r>
          </w:p>
        </w:tc>
        <w:tc>
          <w:tcPr>
            <w:tcW w:w="1218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2DCCEF9D">
            <w:pPr>
              <w:spacing w:line="36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95% CI</w:t>
            </w:r>
          </w:p>
        </w:tc>
        <w:tc>
          <w:tcPr>
            <w:tcW w:w="1218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5C1D375B">
            <w:pPr>
              <w:spacing w:line="36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Value</w:t>
            </w:r>
          </w:p>
        </w:tc>
      </w:tr>
      <w:tr w14:paraId="78D71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67014B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Cervical length ≤25 mm</w:t>
            </w:r>
          </w:p>
        </w:tc>
        <w:tc>
          <w:tcPr>
            <w:tcW w:w="1217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D6EE1F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1.059</w:t>
            </w:r>
          </w:p>
        </w:tc>
        <w:tc>
          <w:tcPr>
            <w:tcW w:w="1217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B63F1F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0.411</w:t>
            </w:r>
          </w:p>
        </w:tc>
        <w:tc>
          <w:tcPr>
            <w:tcW w:w="1217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CE60B2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6.643</w:t>
            </w:r>
          </w:p>
        </w:tc>
        <w:tc>
          <w:tcPr>
            <w:tcW w:w="1218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E0F53C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2.884</w:t>
            </w:r>
          </w:p>
        </w:tc>
        <w:tc>
          <w:tcPr>
            <w:tcW w:w="1218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4EA0F1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1.289–6.453</w:t>
            </w:r>
          </w:p>
        </w:tc>
        <w:tc>
          <w:tcPr>
            <w:tcW w:w="1218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822E29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0.010</w:t>
            </w:r>
          </w:p>
        </w:tc>
      </w:tr>
      <w:tr w14:paraId="288D3C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C5FE5B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Positive fetal fibronectin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AA1025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1.047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8A0432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0.464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E02F60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5.081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C7F8D4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2.848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F4DBD2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1.146–7.076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D83680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0.024</w:t>
            </w:r>
          </w:p>
        </w:tc>
      </w:tr>
      <w:tr w14:paraId="5525FF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DD388F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History of cervical surgery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A0EB3C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0.127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48032A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0.573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770B21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0.049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E6EE03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1.136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8CD564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0.370–3.489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BF47E9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0.824</w:t>
            </w:r>
          </w:p>
        </w:tc>
      </w:tr>
      <w:tr w14:paraId="7F8F25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618B2A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Prepregnancy BMI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1620F5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-0.041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6DBDA9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F9558B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0.666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EA3E07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0.960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3F31AB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0.871–1.059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921084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0.414</w:t>
            </w:r>
          </w:p>
        </w:tc>
      </w:tr>
      <w:tr w14:paraId="046C67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01478E43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Constant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469BDBED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-3.090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6018AC11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1.876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52092EA3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2.715</w:t>
            </w:r>
          </w:p>
        </w:tc>
        <w:tc>
          <w:tcPr>
            <w:tcW w:w="1218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05C35733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0.045</w:t>
            </w:r>
          </w:p>
        </w:tc>
        <w:tc>
          <w:tcPr>
            <w:tcW w:w="1218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06AF3A5F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1218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1DBC704E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0.099</w:t>
            </w:r>
          </w:p>
        </w:tc>
      </w:tr>
    </w:tbl>
    <w:p w14:paraId="1E2BA456">
      <w:pPr>
        <w:rPr>
          <w:rFonts w:ascii="Times New Roman" w:hAnsi="Times New Roman" w:cs="Times New Roman"/>
          <w:b w:val="0"/>
          <w:bCs w:val="0"/>
          <w:sz w:val="20"/>
          <w:szCs w:val="20"/>
        </w:rPr>
      </w:pPr>
      <w:r>
        <w:rPr>
          <w:rFonts w:hint="eastAsia" w:ascii="Times New Roman" w:hAnsi="Times New Roman" w:cs="Times New Roman"/>
          <w:b w:val="0"/>
          <w:bCs w:val="0"/>
          <w:sz w:val="20"/>
          <w:szCs w:val="20"/>
          <w:lang w:val="en-US" w:eastAsia="zh-CN"/>
        </w:rPr>
        <w:t xml:space="preserve">Note: The full model additionally adjusted for maternal age, parity, chorionicity, mode of conception, and history of preterm birth, which were not statistically significant predictors (all </w:t>
      </w:r>
      <w:r>
        <w:rPr>
          <w:rFonts w:hint="eastAsia" w:ascii="Times New Roman" w:hAnsi="Times New Roman" w:cs="Times New Roman"/>
          <w:b w:val="0"/>
          <w:bCs w:val="0"/>
          <w:i/>
          <w:iCs/>
          <w:sz w:val="20"/>
          <w:szCs w:val="20"/>
          <w:lang w:val="en-US" w:eastAsia="zh-CN"/>
        </w:rPr>
        <w:t>P</w:t>
      </w:r>
      <w:r>
        <w:rPr>
          <w:rFonts w:hint="eastAsia" w:ascii="Times New Roman" w:hAnsi="Times New Roman" w:cs="Times New Roman"/>
          <w:b w:val="0"/>
          <w:bCs w:val="0"/>
          <w:sz w:val="20"/>
          <w:szCs w:val="20"/>
          <w:lang w:val="en-US" w:eastAsia="zh-CN"/>
        </w:rPr>
        <w:t>&gt;0.05).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br w:type="page"/>
      </w:r>
    </w:p>
    <w:p w14:paraId="069B1F3B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Table 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>S3.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Subgroup Analysis of the Effect of Standardized Management on Spontaneous Preterm Birth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704"/>
        <w:gridCol w:w="1704"/>
        <w:gridCol w:w="1705"/>
        <w:gridCol w:w="1705"/>
      </w:tblGrid>
      <w:tr w14:paraId="11C41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vAlign w:val="center"/>
          </w:tcPr>
          <w:p w14:paraId="41E3BD9D">
            <w:pPr>
              <w:spacing w:line="36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Subgroup</w:t>
            </w:r>
          </w:p>
        </w:tc>
        <w:tc>
          <w:tcPr>
            <w:tcW w:w="1704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2861402F">
            <w:pPr>
              <w:spacing w:line="36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Control Group (n/N, %)</w:t>
            </w:r>
          </w:p>
        </w:tc>
        <w:tc>
          <w:tcPr>
            <w:tcW w:w="1704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628BB3A4">
            <w:pPr>
              <w:spacing w:line="36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Study Group (n/N, %)</w:t>
            </w:r>
          </w:p>
        </w:tc>
        <w:tc>
          <w:tcPr>
            <w:tcW w:w="1705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2E1F1216">
            <w:pPr>
              <w:spacing w:line="36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Odds Ratio (95% CI)</w:t>
            </w:r>
          </w:p>
        </w:tc>
        <w:tc>
          <w:tcPr>
            <w:tcW w:w="1705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1DEB6D5D">
            <w:pPr>
              <w:spacing w:line="36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Value</w:t>
            </w:r>
          </w:p>
        </w:tc>
      </w:tr>
      <w:tr w14:paraId="7D802A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E3C926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Chorionicity</w:t>
            </w:r>
          </w:p>
        </w:tc>
        <w:tc>
          <w:tcPr>
            <w:tcW w:w="1704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B63C00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4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EE9F34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07D010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C80022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14:paraId="053097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7CC2BA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Dichorionic diamniotic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E2F8D2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28/67 (41.8)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064C14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15/66 (22.7)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A53E8E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0.39 (0.19–0.80)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38781F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0.009</w:t>
            </w:r>
          </w:p>
        </w:tc>
      </w:tr>
      <w:tr w14:paraId="56B68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3A2CA3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Monochorionic diamniotic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E5B032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2/8 (25.0)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E62508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1/9 (11.1)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43A4B5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0.50 (0.09–2.78)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6A8CFA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0.423</w:t>
            </w:r>
          </w:p>
        </w:tc>
      </w:tr>
      <w:tr w14:paraId="25893B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B07689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Conception mode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1934F3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0FFF27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E3C72E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5412F5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14:paraId="135394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4B7E6B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Spontaneous conception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DE1479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17/32 (53.1)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B66EC9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12/35 (34.3)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EBBEC5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0.37 (0.14–0.96)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2F45F9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0.030</w:t>
            </w:r>
          </w:p>
        </w:tc>
      </w:tr>
      <w:tr w14:paraId="0B3A37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470464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Assisted reproductive technology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289AEC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13/43 (30.2)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37866F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4/40 (10.0)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39D9B3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0.44 (0.20–0.95)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144D72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0.030</w:t>
            </w:r>
          </w:p>
        </w:tc>
      </w:tr>
      <w:tr w14:paraId="2F9E0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3D5FAF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Cervical length at 18–24 weeks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919FC8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21C86A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28A442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39AC63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14:paraId="4648A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801D2B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&gt;25 mm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7B89B2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19/50 (38.0)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39A091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14/63 (22.2)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CA5D90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0.39 (0.16–0.96)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D80C5D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0.040</w:t>
            </w:r>
          </w:p>
        </w:tc>
      </w:tr>
      <w:tr w14:paraId="09D2F7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16D6E516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≤25 mm</w:t>
            </w:r>
          </w:p>
        </w:tc>
        <w:tc>
          <w:tcPr>
            <w:tcW w:w="1704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2CA259A8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11/25 (44.0)</w:t>
            </w:r>
          </w:p>
        </w:tc>
        <w:tc>
          <w:tcPr>
            <w:tcW w:w="1704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3F86009F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2/12 (16.7)</w:t>
            </w:r>
          </w:p>
        </w:tc>
        <w:tc>
          <w:tcPr>
            <w:tcW w:w="170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0523FF23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0.19 (0.05–0.70)</w:t>
            </w:r>
          </w:p>
        </w:tc>
        <w:tc>
          <w:tcPr>
            <w:tcW w:w="170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617C229C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0.012</w:t>
            </w:r>
          </w:p>
        </w:tc>
      </w:tr>
    </w:tbl>
    <w:p w14:paraId="39A59B11">
      <w:pPr>
        <w:spacing w:line="360" w:lineRule="auto"/>
        <w:jc w:val="center"/>
        <w:rPr>
          <w:rFonts w:hint="eastAsia" w:ascii="Times New Roman" w:hAnsi="Times New Roman" w:cs="Times New Roman"/>
          <w:sz w:val="20"/>
          <w:szCs w:val="20"/>
        </w:rPr>
      </w:pPr>
      <w:r>
        <w:rPr>
          <w:rFonts w:hint="eastAsia" w:ascii="Times New Roman" w:hAnsi="Times New Roman" w:cs="Times New Roman"/>
          <w:sz w:val="20"/>
          <w:szCs w:val="20"/>
        </w:rPr>
        <w:drawing>
          <wp:inline distT="0" distB="0" distL="114300" distR="114300">
            <wp:extent cx="4170045" cy="3952240"/>
            <wp:effectExtent l="0" t="0" r="5715" b="10160"/>
            <wp:docPr id="2" name="图片 2" descr="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3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170045" cy="395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0B74A3">
      <w:pPr>
        <w:spacing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hint="eastAsia" w:ascii="Times New Roman" w:hAnsi="Times New Roman" w:cs="Times New Roman"/>
          <w:b/>
          <w:bCs/>
          <w:sz w:val="20"/>
          <w:szCs w:val="20"/>
        </w:rPr>
        <w:t>Figure S1. ROC curve of the multivariate logistic regression model for predicting spontaneous preterm birth. The AUC was 0.83 (95% CI: 0.76--0.90). At the optimal cutoff, sensitivity was 74% and specificity was 82%</w:t>
      </w:r>
      <w:r>
        <w:rPr>
          <w:rFonts w:ascii="Times New Roman" w:hAnsi="Times New Roman" w:cs="Times New Roman"/>
          <w:b/>
          <w:bCs/>
          <w:sz w:val="20"/>
          <w:szCs w:val="20"/>
        </w:rPr>
        <w:t>.</w:t>
      </w:r>
    </w:p>
    <w:p w14:paraId="3C538FA8">
      <w:pPr>
        <w:spacing w:line="360" w:lineRule="auto"/>
        <w:rPr>
          <w:rFonts w:ascii="Times New Roman" w:hAnsi="Times New Roman" w:cs="Times New Roman"/>
        </w:rPr>
      </w:pPr>
    </w:p>
    <w:p w14:paraId="4FE4778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4F5875"/>
    <w:rsid w:val="0EA57089"/>
    <w:rsid w:val="143376FC"/>
    <w:rsid w:val="18C87BF9"/>
    <w:rsid w:val="46023F2F"/>
    <w:rsid w:val="644F5875"/>
    <w:rsid w:val="6FEB0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GB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346</Words>
  <Characters>1940</Characters>
  <Lines>0</Lines>
  <Paragraphs>0</Paragraphs>
  <TotalTime>98</TotalTime>
  <ScaleCrop>false</ScaleCrop>
  <LinksUpToDate>false</LinksUpToDate>
  <CharactersWithSpaces>2152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2026-06-27T15:14:00Z</dcterms:created>
  <dc:creator>word</dc:creator>
  <cp:lastModifiedBy>word</cp:lastModifiedBy>
  <dcterms:modified xsi:type="dcterms:W3CDTF">2026-07-17T16:31:13Z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A9586BD6DC8F477A946DBE39A5E52979_11</vt:lpwstr>
  </property>
  <property fmtid="{D5CDD505-2E9C-101B-9397-08002B2CF9AE}" pid="4" name="KSOTemplateDocerSaveRecord">
    <vt:lpwstr>eyJoZGlkIjoiN2ZkN2U0NTE2ZWZjNGNkOGYwMTY5ODIwZjEyYjUxNGMiLCJ1c2VySWQiOiIyODU2MzE4MjIifQ==</vt:lpwstr>
  </property>
</Properties>
</file>