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spacing w:line="480" w:lineRule="auto"/>
        <w:rPr>
          <w:rFonts w:ascii="Times New Roman" w:hAnsi="Times New Roman" w:cs="Times New Roman"/>
          <w:b/>
          <w:bCs/>
          <w:sz w:val="22"/>
        </w:rPr>
      </w:pPr>
      <w:r>
        <w:rPr>
          <w:rFonts w:ascii="Times New Roman" w:hAnsi="Times New Roman" w:cs="Times New Roman"/>
          <w:b/>
          <w:bCs/>
          <w:color w:val="000000"/>
          <w:sz w:val="26"/>
          <w:szCs w:val="26"/>
          <w:u w:val="single" w:color="auto"/>
        </w:rPr>
        <w:t xml:space="preserve">Supplementary Figure </w:t>
      </w:r>
      <w:r>
        <w:rPr>
          <w:lang w:eastAsia="ko-KR"/>
          <w:rFonts w:ascii="Times New Roman" w:hAnsi="Times New Roman" w:cs="Times New Roman"/>
          <w:b/>
          <w:bCs/>
          <w:color w:val="000000"/>
          <w:sz w:val="26"/>
          <w:szCs w:val="26"/>
          <w:u w:val="single" w:color="auto"/>
          <w:rtl w:val="off"/>
        </w:rPr>
        <w:t>(Figure S1)</w:t>
      </w:r>
    </w:p>
    <w:p>
      <w:pPr>
        <w:spacing w:line="480" w:lineRule="auto"/>
        <w:rPr>
          <w:rFonts w:ascii="Times New Roman" w:hAnsi="Times New Roman" w:cs="Times New Roman"/>
          <w:b/>
          <w:bCs/>
          <w:sz w:val="22"/>
        </w:rPr>
      </w:pPr>
      <w:r>
        <w:rPr>
          <w:rFonts w:ascii="Times New Roman" w:hAnsi="Times New Roman" w:cs="Times New Roman"/>
          <w:b/>
          <w:bCs/>
          <w:noProof/>
          <w:sz w:val="22"/>
        </w:rPr>
        <w:drawing>
          <wp:inline distT="0" distB="0" distL="0" distR="0">
            <wp:extent cx="5399999" cy="7120570"/>
            <wp:effectExtent l="0" t="0" r="0" b="0"/>
            <wp:docPr id="1025" name="shape1025"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5399999" cy="7120570"/>
                    </a:xfrm>
                    <a:prstGeom prst="rect"/>
                    <a:noFill/>
                  </pic:spPr>
                </pic:pic>
              </a:graphicData>
            </a:graphic>
          </wp:inline>
        </w:drawing>
      </w:r>
    </w:p>
    <w:p>
      <w:pPr>
        <w:spacing w:line="360" w:lineRule="auto"/>
        <w:rPr>
          <w:rFonts w:ascii="Times New Roman" w:hAnsi="Times New Roman" w:cs="Times New Roman"/>
          <w:b w:val="0"/>
          <w:bCs w:val="0"/>
          <w:sz w:val="22"/>
          <w:highlight w:val="none"/>
        </w:rPr>
      </w:pPr>
      <w:r>
        <w:rPr>
          <w:rFonts w:ascii="Times New Roman" w:hAnsi="Times New Roman" w:cs="Times New Roman" w:hint="eastAsia"/>
          <w:b/>
          <w:bCs/>
          <w:color w:val="000000"/>
          <w:sz w:val="22"/>
          <w:highlight w:val="none"/>
        </w:rPr>
        <w:t xml:space="preserve">Supplementary Figure S1. </w:t>
      </w:r>
      <w:r>
        <w:rPr>
          <w:rFonts w:ascii="Times New Roman" w:hAnsi="Times New Roman" w:cs="Times New Roman" w:hint="eastAsia"/>
          <w:b w:val="0"/>
          <w:bCs w:val="0"/>
          <w:color w:val="000000"/>
          <w:sz w:val="22"/>
          <w:highlight w:val="none"/>
        </w:rPr>
        <w:t>RNA-seq-based expression profiles of selected hGAO-relevant marker and pharmacological target genes</w:t>
      </w:r>
    </w:p>
    <w:p>
      <w:pPr>
        <w:autoSpaceDE/>
        <w:autoSpaceDN/>
        <w:widowControl/>
        <w:wordWrap/>
        <w:spacing w:line="360"/>
        <w:rPr>
          <w:rFonts w:ascii="Times New Roman" w:hAnsi="Times New Roman" w:cs="Times New Roman"/>
          <w:b/>
          <w:bCs/>
          <w:color w:val="FF0000"/>
          <w:sz w:val="22"/>
        </w:rPr>
      </w:pPr>
      <w:r>
        <w:rPr>
          <w:rFonts w:ascii="Times New Roman" w:hAnsi="Times New Roman" w:cs="Times New Roman"/>
          <w:sz w:val="22"/>
          <w:highlight w:val="none"/>
        </w:rPr>
        <w:t xml:space="preserve">(A) RNA-seq-based expression levels, expressed as counts per million (CPM), of selected developmental, surface mucous cell, mucous gland cell, endocrine, 5-HT-related, enteric sensory signaling-related, and ICC/SIP-associated marker genes in hiPSCs and Veh-only hGAOs. (B) Pearson correlation between RNA-seq- and RT-qPCR-derived log₂ fold changes in Veh-only hGAOs relative to hiPSCs across the 17 marker genes shown in panel A. The red line indicates the linear regression line, and the shaded area represents the 95% confidence interval (r = 0.808, R² = 0.653, p &lt; 0.001). (C) RNA-seq-based expression levels, expressed as CPM, of the pharmacological target genes </w:t>
      </w:r>
      <w:r>
        <w:rPr>
          <w:rFonts w:ascii="Times New Roman" w:hAnsi="Times New Roman" w:cs="Times New Roman"/>
          <w:i/>
          <w:iCs/>
          <w:sz w:val="22"/>
          <w:highlight w:val="none"/>
        </w:rPr>
        <w:t>OPRM1</w:t>
      </w:r>
      <w:r>
        <w:rPr>
          <w:rFonts w:ascii="Times New Roman" w:hAnsi="Times New Roman" w:cs="Times New Roman"/>
          <w:sz w:val="22"/>
          <w:highlight w:val="none"/>
        </w:rPr>
        <w:t xml:space="preserve"> and </w:t>
      </w:r>
      <w:r>
        <w:rPr>
          <w:rFonts w:ascii="Times New Roman" w:hAnsi="Times New Roman" w:cs="Times New Roman"/>
          <w:i/>
          <w:iCs/>
          <w:sz w:val="22"/>
          <w:highlight w:val="none"/>
        </w:rPr>
        <w:t>HTR4</w:t>
      </w:r>
      <w:r>
        <w:rPr>
          <w:rFonts w:ascii="Times New Roman" w:hAnsi="Times New Roman" w:cs="Times New Roman"/>
          <w:sz w:val="22"/>
          <w:highlight w:val="none"/>
        </w:rPr>
        <w:t xml:space="preserve"> in hiPSCs and Veh-only hGAOs. Data in panels A and C represent n = 4 samples per group. Statistical significance was determined using an unpaired two-tailed Welch’s t-test. ns, not significant; *</w:t>
      </w:r>
      <w:r>
        <w:rPr>
          <w:rFonts w:ascii="Times New Roman" w:hAnsi="Times New Roman" w:cs="Times New Roman"/>
          <w:b w:val="0"/>
          <w:bCs w:val="0"/>
          <w:i/>
          <w:iCs/>
          <w:sz w:val="22"/>
          <w:highlight w:val="none"/>
        </w:rPr>
        <w:t>p</w:t>
      </w:r>
      <w:r>
        <w:rPr>
          <w:rFonts w:ascii="Times New Roman" w:hAnsi="Times New Roman" w:cs="Times New Roman"/>
          <w:sz w:val="22"/>
          <w:highlight w:val="none"/>
        </w:rPr>
        <w:t xml:space="preserve"> &lt; 0.05; *</w:t>
      </w:r>
      <w:r>
        <w:rPr>
          <w:lang w:eastAsia="ko-KR"/>
          <w:rFonts w:ascii="Times New Roman" w:hAnsi="Times New Roman" w:cs="Times New Roman"/>
          <w:sz w:val="22"/>
          <w:highlight w:val="none"/>
          <w:rtl w:val="off"/>
        </w:rPr>
        <w:t>*</w:t>
      </w:r>
      <w:r>
        <w:rPr>
          <w:rFonts w:ascii="Times New Roman" w:hAnsi="Times New Roman" w:cs="Times New Roman"/>
          <w:b w:val="0"/>
          <w:bCs w:val="0"/>
          <w:i/>
          <w:iCs/>
          <w:sz w:val="22"/>
          <w:highlight w:val="none"/>
        </w:rPr>
        <w:t>p</w:t>
      </w:r>
      <w:r>
        <w:rPr>
          <w:rFonts w:ascii="Times New Roman" w:hAnsi="Times New Roman" w:cs="Times New Roman"/>
          <w:sz w:val="22"/>
          <w:highlight w:val="none"/>
        </w:rPr>
        <w:t xml:space="preserve"> &lt; 0.01; *</w:t>
      </w:r>
      <w:r>
        <w:rPr>
          <w:lang w:eastAsia="ko-KR"/>
          <w:rFonts w:ascii="Times New Roman" w:hAnsi="Times New Roman" w:cs="Times New Roman"/>
          <w:sz w:val="22"/>
          <w:highlight w:val="none"/>
          <w:rtl w:val="off"/>
        </w:rPr>
        <w:t>*</w:t>
      </w:r>
      <w:r>
        <w:rPr>
          <w:rFonts w:ascii="Times New Roman" w:hAnsi="Times New Roman" w:cs="Times New Roman"/>
          <w:sz w:val="22"/>
          <w:highlight w:val="none"/>
        </w:rPr>
        <w:t>*</w:t>
      </w:r>
      <w:r>
        <w:rPr>
          <w:rFonts w:ascii="Times New Roman" w:hAnsi="Times New Roman" w:cs="Times New Roman"/>
          <w:b w:val="0"/>
          <w:bCs w:val="0"/>
          <w:i/>
          <w:iCs/>
          <w:sz w:val="22"/>
          <w:highlight w:val="none"/>
        </w:rPr>
        <w:t>p</w:t>
      </w:r>
      <w:r>
        <w:rPr>
          <w:rFonts w:ascii="Times New Roman" w:hAnsi="Times New Roman" w:cs="Times New Roman"/>
          <w:sz w:val="22"/>
          <w:highlight w:val="none"/>
        </w:rPr>
        <w:t xml:space="preserve"> &lt; 0.001.</w:t>
      </w:r>
      <w:r>
        <w:rPr>
          <w:rFonts w:ascii="Times New Roman" w:hAnsi="Times New Roman" w:cs="Times New Roman"/>
          <w:b/>
          <w:bCs/>
          <w:color w:val="FF0000"/>
          <w:sz w:val="22"/>
        </w:rPr>
        <w:br w:type="page"/>
      </w:r>
    </w:p>
    <w:p>
      <w:pPr>
        <w:spacing w:line="480" w:lineRule="auto"/>
        <w:rPr>
          <w:lang w:eastAsia="ko-KR"/>
          <w:rFonts w:ascii="Times New Roman" w:hAnsi="Times New Roman" w:cs="Times New Roman" w:hint="eastAsia"/>
          <w:b/>
          <w:bCs/>
          <w:i w:val="0"/>
          <w:iCs w:val="0"/>
          <w:color w:val="0000FF"/>
          <w:sz w:val="26"/>
          <w:szCs w:val="26"/>
          <w:rtl w:val="off"/>
        </w:rPr>
      </w:pPr>
      <w:r>
        <w:rPr>
          <w:rFonts w:ascii="Times New Roman" w:hAnsi="Times New Roman" w:cs="Times New Roman"/>
          <w:b/>
          <w:bCs/>
          <w:i w:val="0"/>
          <w:iCs w:val="0"/>
          <w:color w:val="000000"/>
          <w:sz w:val="26"/>
          <w:szCs w:val="26"/>
          <w:u w:val="single" w:color="auto"/>
        </w:rPr>
        <w:t>Supplementary Tables</w:t>
      </w:r>
      <w:r>
        <w:rPr>
          <w:lang w:eastAsia="ko-KR"/>
          <w:rFonts w:ascii="Times New Roman" w:hAnsi="Times New Roman" w:cs="Times New Roman"/>
          <w:b/>
          <w:bCs/>
          <w:i w:val="0"/>
          <w:iCs w:val="0"/>
          <w:color w:val="000000"/>
          <w:sz w:val="26"/>
          <w:szCs w:val="26"/>
          <w:u w:val="single" w:color="auto"/>
          <w:rtl w:val="off"/>
        </w:rPr>
        <w:t xml:space="preserve"> (Tables S1~S7)</w:t>
      </w:r>
    </w:p>
    <w:p>
      <w:pPr>
        <w:spacing w:line="480" w:lineRule="auto"/>
        <w:rPr>
          <w:rFonts w:ascii="Times New Roman" w:hAnsi="Times New Roman" w:cs="Times New Roman"/>
          <w:b/>
          <w:bCs/>
          <w:sz w:val="22"/>
        </w:rPr>
      </w:pPr>
    </w:p>
    <w:p>
      <w:pPr>
        <w:spacing w:line="480" w:lineRule="auto"/>
        <w:rPr>
          <w:rFonts w:ascii="Times New Roman" w:hAnsi="Times New Roman" w:cs="Times New Roman"/>
          <w:b/>
          <w:bCs/>
          <w:sz w:val="22"/>
        </w:rPr>
      </w:pPr>
      <w:r>
        <w:rPr>
          <w:rFonts w:ascii="Times New Roman" w:hAnsi="Times New Roman" w:cs="Times New Roman"/>
          <w:b/>
          <w:bCs/>
          <w:sz w:val="22"/>
        </w:rPr>
        <w:t xml:space="preserve">Supplementary Table S1. </w:t>
      </w:r>
      <w:r>
        <w:rPr>
          <w:rFonts w:ascii="Times New Roman" w:hAnsi="Times New Roman" w:cs="Times New Roman"/>
          <w:b w:val="0"/>
          <w:bCs w:val="0"/>
          <w:sz w:val="22"/>
        </w:rPr>
        <w:t>Primer sequences used for RT</w:t>
      </w:r>
      <w:r>
        <w:rPr>
          <w:rFonts w:ascii="Times New Roman" w:hAnsi="Times New Roman" w:cs="Times New Roman"/>
          <w:b w:val="0"/>
          <w:bCs w:val="0"/>
          <w:sz w:val="22"/>
        </w:rPr>
        <w:t>-qPCR</w:t>
      </w:r>
    </w:p>
    <w:tbl>
      <w:tblPr>
        <w:tblW w:w="8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Layout w:type="fixed"/>
        <w:tblCellMar>
          <w:left w:w="0" w:type="dxa"/>
          <w:right w:w="0" w:type="dxa"/>
        </w:tblCellMar>
      </w:tblPr>
      <w:tblGrid>
        <w:gridCol w:w="1178"/>
        <w:gridCol w:w="3810"/>
        <w:gridCol w:w="3987"/>
      </w:tblGrid>
      <w:tr>
        <w:trPr>
          <w:trHeight w:val="386" w:hRule="atLeast"/>
        </w:trPr>
        <w:tc>
          <w:tcPr>
            <w:tcW w:w="1177" w:type="dxa"/>
            <w:shd w:val="clear" w:color="auto" w:fill="auto"/>
            <w:tcMar>
              <w:top w:w="15" w:type="dxa"/>
              <w:left w:w="15" w:type="dxa"/>
              <w:bottom w:w="0" w:type="dxa"/>
              <w:right w:w="15" w:type="dxa"/>
            </w:tcMar>
            <w:vAlign w:val="center"/>
            <w:hideMark/>
          </w:tcPr>
          <w:p>
            <w:pPr>
              <w:ind w:leftChars="20" w:left="40"/>
              <w:jc w:val="center"/>
              <w:spacing w:after="0" w:line="240" w:lineRule="auto"/>
              <w:rPr>
                <w:rFonts w:ascii="Times New Roman" w:hAnsi="Times New Roman" w:cs="Times New Roman"/>
                <w:sz w:val="22"/>
              </w:rPr>
            </w:pPr>
            <w:r>
              <w:rPr>
                <w:rFonts w:ascii="Times New Roman" w:hAnsi="Times New Roman" w:cs="Times New Roman"/>
                <w:b/>
                <w:bCs/>
                <w:sz w:val="22"/>
              </w:rPr>
              <w:t>Gene</w:t>
            </w:r>
          </w:p>
        </w:tc>
        <w:tc>
          <w:tcPr>
            <w:tcW w:w="3810" w:type="dxa"/>
            <w:shd w:val="clear" w:color="auto" w:fill="auto"/>
            <w:tcMar>
              <w:top w:w="15" w:type="dxa"/>
              <w:left w:w="15" w:type="dxa"/>
              <w:bottom w:w="0" w:type="dxa"/>
              <w:right w:w="15" w:type="dxa"/>
            </w:tcMar>
            <w:vAlign w:val="center"/>
            <w:hideMark/>
          </w:tcPr>
          <w:p>
            <w:pPr>
              <w:ind w:leftChars="20" w:left="40"/>
              <w:jc w:val="center"/>
              <w:spacing w:after="0" w:line="240" w:lineRule="auto"/>
              <w:rPr>
                <w:rFonts w:ascii="Times New Roman" w:hAnsi="Times New Roman" w:cs="Times New Roman"/>
                <w:sz w:val="22"/>
              </w:rPr>
            </w:pPr>
            <w:r>
              <w:rPr>
                <w:rFonts w:ascii="Times New Roman" w:hAnsi="Times New Roman" w:cs="Times New Roman"/>
                <w:b/>
                <w:bCs/>
                <w:sz w:val="22"/>
              </w:rPr>
              <w:t>Forward primer (5′–3′)</w:t>
            </w:r>
          </w:p>
        </w:tc>
        <w:tc>
          <w:tcPr>
            <w:tcW w:w="3987" w:type="dxa"/>
            <w:shd w:val="clear" w:color="auto" w:fill="auto"/>
            <w:tcMar>
              <w:top w:w="15" w:type="dxa"/>
              <w:left w:w="15" w:type="dxa"/>
              <w:bottom w:w="0" w:type="dxa"/>
              <w:right w:w="15" w:type="dxa"/>
            </w:tcMar>
            <w:vAlign w:val="center"/>
            <w:hideMark/>
          </w:tcPr>
          <w:p>
            <w:pPr>
              <w:ind w:leftChars="20" w:left="40"/>
              <w:jc w:val="center"/>
              <w:spacing w:after="0" w:line="240" w:lineRule="auto"/>
              <w:rPr>
                <w:rFonts w:ascii="Times New Roman" w:hAnsi="Times New Roman" w:cs="Times New Roman"/>
                <w:sz w:val="22"/>
              </w:rPr>
            </w:pPr>
            <w:r>
              <w:rPr>
                <w:rFonts w:ascii="Times New Roman" w:hAnsi="Times New Roman" w:cs="Times New Roman"/>
                <w:b/>
                <w:bCs/>
                <w:sz w:val="22"/>
              </w:rPr>
              <w:t>Reverse primer (5′–3′)</w:t>
            </w:r>
          </w:p>
        </w:tc>
      </w:tr>
      <w:tr>
        <w:trPr>
          <w:trHeight w:val="369" w:hRule="atLeast"/>
        </w:trPr>
        <w:tc>
          <w:tcPr>
            <w:tcW w:w="1177" w:type="dxa"/>
            <w:shd w:val="clear" w:color="auto" w:fill="auto"/>
            <w:vAlign w:val="center"/>
          </w:tcPr>
          <w:p>
            <w:pPr>
              <w:ind w:leftChars="20" w:left="40"/>
              <w:jc w:val="center"/>
              <w:spacing w:after="0" w:line="240" w:lineRule="auto"/>
              <w:rPr>
                <w:rFonts w:ascii="Times New Roman" w:eastAsia="맑은 고딕" w:hAnsi="Times New Roman" w:cs="Times New Roman"/>
                <w:i/>
                <w:iCs/>
                <w:color w:val="000000"/>
                <w:szCs w:val="20"/>
                <w:kern w:val="24"/>
              </w:rPr>
            </w:pPr>
            <w:r>
              <w:rPr>
                <w:rFonts w:ascii="Times New Roman" w:hAnsi="Times New Roman" w:cs="Times New Roman"/>
                <w:i/>
                <w:iCs/>
                <w:color w:val="000000"/>
                <w:sz w:val="22"/>
              </w:rPr>
              <w:t>GAPDH</w:t>
            </w:r>
          </w:p>
        </w:tc>
        <w:tc>
          <w:tcPr>
            <w:tcW w:w="3810" w:type="dxa"/>
            <w:shd w:val="clear" w:color="auto" w:fill="auto"/>
            <w:vAlign w:val="center"/>
          </w:tcPr>
          <w:p>
            <w:pPr>
              <w:ind w:leftChars="30" w:left="60"/>
              <w:spacing w:after="0" w:line="240" w:lineRule="auto"/>
              <w:rPr>
                <w:rFonts w:ascii="Times New Roman" w:eastAsia="맑은 고딕" w:hAnsi="Times New Roman" w:cs="Times New Roman"/>
                <w:sz w:val="22"/>
                <w:kern w:val="24"/>
              </w:rPr>
            </w:pPr>
            <w:r>
              <w:rPr>
                <w:rFonts w:ascii="Times New Roman" w:eastAsia="맑은 고딕" w:hAnsi="Times New Roman" w:cs="Times New Roman"/>
                <w:sz w:val="22"/>
                <w:kern w:val="24"/>
              </w:rPr>
              <w:t>CAATGGAAATCCCATCACCA</w:t>
            </w:r>
          </w:p>
        </w:tc>
        <w:tc>
          <w:tcPr>
            <w:tcW w:w="3987" w:type="dxa"/>
            <w:shd w:val="clear" w:color="auto" w:fill="auto"/>
            <w:vAlign w:val="center"/>
          </w:tcPr>
          <w:p>
            <w:pPr>
              <w:ind w:leftChars="30" w:left="60"/>
              <w:spacing w:after="0" w:line="240" w:lineRule="auto"/>
              <w:rPr>
                <w:rFonts w:ascii="Times New Roman" w:eastAsia="맑은 고딕" w:hAnsi="Times New Roman" w:cs="Times New Roman"/>
                <w:sz w:val="22"/>
                <w:kern w:val="24"/>
              </w:rPr>
            </w:pPr>
            <w:r>
              <w:rPr>
                <w:rFonts w:ascii="Times New Roman" w:eastAsia="맑은 고딕" w:hAnsi="Times New Roman" w:cs="Times New Roman"/>
                <w:sz w:val="22"/>
                <w:kern w:val="24"/>
              </w:rPr>
              <w:t>GGGCAGAGATGATGACCCTT</w:t>
            </w:r>
          </w:p>
        </w:tc>
      </w:tr>
      <w:tr>
        <w:trPr>
          <w:trHeight w:val="369" w:hRule="atLeast"/>
        </w:trPr>
        <w:tc>
          <w:tcPr>
            <w:tcW w:w="1177" w:type="dxa"/>
            <w:shd w:val="clear" w:color="auto" w:fill="auto"/>
            <w:tcMar>
              <w:top w:w="15" w:type="dxa"/>
              <w:left w:w="15" w:type="dxa"/>
              <w:bottom w:w="0" w:type="dxa"/>
              <w:right w:w="15" w:type="dxa"/>
            </w:tcMar>
            <w:vAlign w:val="center"/>
          </w:tcPr>
          <w:p>
            <w:pPr>
              <w:ind w:leftChars="20" w:left="40"/>
              <w:jc w:val="center"/>
              <w:spacing w:after="0" w:line="240" w:lineRule="auto"/>
              <w:rPr>
                <w:rFonts w:ascii="Times New Roman" w:eastAsia="맑은 고딕" w:hAnsi="Times New Roman" w:cs="Times New Roman"/>
                <w:i/>
                <w:iCs/>
                <w:color w:val="000000"/>
                <w:szCs w:val="20"/>
                <w:kern w:val="24"/>
              </w:rPr>
            </w:pPr>
            <w:r>
              <w:rPr>
                <w:rFonts w:ascii="Times New Roman" w:eastAsia="맑은 고딕" w:hAnsi="Times New Roman" w:cs="Times New Roman"/>
                <w:i/>
                <w:iCs/>
                <w:color w:val="000000"/>
                <w:sz w:val="22"/>
                <w:kern w:val="24"/>
              </w:rPr>
              <w:t>GATA4</w:t>
            </w:r>
          </w:p>
        </w:tc>
        <w:tc>
          <w:tcPr>
            <w:tcW w:w="3810" w:type="dxa"/>
            <w:shd w:val="clear" w:color="auto" w:fill="auto"/>
            <w:tcMar>
              <w:top w:w="15" w:type="dxa"/>
              <w:left w:w="15" w:type="dxa"/>
              <w:bottom w:w="0" w:type="dxa"/>
              <w:right w:w="15" w:type="dxa"/>
            </w:tcMar>
            <w:vAlign w:val="center"/>
          </w:tcPr>
          <w:p>
            <w:pPr>
              <w:ind w:leftChars="30" w:left="60"/>
              <w:spacing w:after="0" w:line="240" w:lineRule="auto"/>
              <w:rPr>
                <w:rFonts w:ascii="Times New Roman" w:eastAsia="맑은 고딕" w:hAnsi="Times New Roman" w:cs="Times New Roman"/>
                <w:sz w:val="22"/>
                <w:kern w:val="24"/>
              </w:rPr>
            </w:pPr>
            <w:r>
              <w:rPr>
                <w:rFonts w:ascii="Times New Roman" w:eastAsia="맑은 고딕" w:hAnsi="Times New Roman" w:cs="Times New Roman"/>
                <w:sz w:val="22"/>
                <w:kern w:val="24"/>
              </w:rPr>
              <w:t>TCCAAACCAGAAAACGGAAGC</w:t>
            </w:r>
          </w:p>
        </w:tc>
        <w:tc>
          <w:tcPr>
            <w:tcW w:w="3987" w:type="dxa"/>
            <w:shd w:val="clear" w:color="auto" w:fill="auto"/>
            <w:tcMar>
              <w:top w:w="15" w:type="dxa"/>
              <w:left w:w="15" w:type="dxa"/>
              <w:bottom w:w="0" w:type="dxa"/>
              <w:right w:w="15" w:type="dxa"/>
            </w:tcMar>
            <w:vAlign w:val="center"/>
          </w:tcPr>
          <w:p>
            <w:pPr>
              <w:ind w:leftChars="30" w:left="60"/>
              <w:spacing w:after="0" w:line="240" w:lineRule="auto"/>
              <w:rPr>
                <w:rFonts w:ascii="Times New Roman" w:eastAsia="맑은 고딕" w:hAnsi="Times New Roman" w:cs="Times New Roman"/>
                <w:sz w:val="22"/>
                <w:kern w:val="24"/>
              </w:rPr>
            </w:pPr>
            <w:r>
              <w:rPr>
                <w:rFonts w:ascii="Times New Roman" w:eastAsia="맑은 고딕" w:hAnsi="Times New Roman" w:cs="Times New Roman"/>
                <w:sz w:val="22"/>
                <w:kern w:val="24"/>
              </w:rPr>
              <w:t>GCCCGTAGTGAGATGACAGG</w:t>
            </w:r>
          </w:p>
        </w:tc>
      </w:tr>
      <w:tr>
        <w:trPr>
          <w:trHeight w:val="369" w:hRule="atLeast"/>
        </w:trPr>
        <w:tc>
          <w:tcPr>
            <w:tcW w:w="1177" w:type="dxa"/>
            <w:shd w:val="clear" w:color="auto" w:fill="auto"/>
            <w:tcMar>
              <w:top w:w="15" w:type="dxa"/>
              <w:left w:w="15" w:type="dxa"/>
              <w:bottom w:w="0" w:type="dxa"/>
              <w:right w:w="15" w:type="dxa"/>
            </w:tcMar>
            <w:vAlign w:val="center"/>
          </w:tcPr>
          <w:p>
            <w:pPr>
              <w:ind w:leftChars="20" w:left="40"/>
              <w:jc w:val="center"/>
              <w:spacing w:after="0" w:line="240" w:lineRule="auto"/>
              <w:rPr>
                <w:rFonts w:ascii="Times New Roman" w:eastAsia="맑은 고딕" w:hAnsi="Times New Roman" w:cs="Times New Roman"/>
                <w:i/>
                <w:iCs/>
                <w:color w:val="000000"/>
                <w:szCs w:val="20"/>
                <w:kern w:val="24"/>
              </w:rPr>
            </w:pPr>
            <w:r>
              <w:rPr>
                <w:rFonts w:ascii="Times New Roman" w:hAnsi="Times New Roman" w:cs="Times New Roman"/>
                <w:i/>
                <w:iCs/>
                <w:color w:val="000000"/>
                <w:sz w:val="22"/>
              </w:rPr>
              <w:t>PDX1</w:t>
            </w:r>
          </w:p>
        </w:tc>
        <w:tc>
          <w:tcPr>
            <w:tcW w:w="3810" w:type="dxa"/>
            <w:shd w:val="clear" w:color="auto" w:fill="auto"/>
            <w:tcMar>
              <w:top w:w="15" w:type="dxa"/>
              <w:left w:w="15" w:type="dxa"/>
              <w:bottom w:w="0" w:type="dxa"/>
              <w:right w:w="15" w:type="dxa"/>
            </w:tcMar>
            <w:vAlign w:val="center"/>
          </w:tcPr>
          <w:p>
            <w:pPr>
              <w:ind w:leftChars="30" w:left="60"/>
              <w:spacing w:after="0" w:line="240" w:lineRule="auto"/>
              <w:rPr>
                <w:rFonts w:ascii="Times New Roman" w:eastAsia="맑은 고딕" w:hAnsi="Times New Roman" w:cs="Times New Roman"/>
                <w:sz w:val="22"/>
                <w:kern w:val="24"/>
              </w:rPr>
            </w:pPr>
            <w:r>
              <w:rPr>
                <w:rFonts w:ascii="Times New Roman" w:hAnsi="Times New Roman" w:cs="Times New Roman"/>
                <w:sz w:val="22"/>
              </w:rPr>
              <w:t>CGTCCGCTTGTTCTCCTC</w:t>
            </w:r>
          </w:p>
        </w:tc>
        <w:tc>
          <w:tcPr>
            <w:tcW w:w="3987" w:type="dxa"/>
            <w:shd w:val="clear" w:color="auto" w:fill="auto"/>
            <w:tcMar>
              <w:top w:w="15" w:type="dxa"/>
              <w:left w:w="15" w:type="dxa"/>
              <w:bottom w:w="0" w:type="dxa"/>
              <w:right w:w="15" w:type="dxa"/>
            </w:tcMar>
            <w:vAlign w:val="center"/>
          </w:tcPr>
          <w:p>
            <w:pPr>
              <w:ind w:leftChars="30" w:left="60"/>
              <w:spacing w:after="0" w:line="240" w:lineRule="auto"/>
              <w:rPr>
                <w:rFonts w:ascii="Times New Roman" w:eastAsia="맑은 고딕" w:hAnsi="Times New Roman" w:cs="Times New Roman"/>
                <w:sz w:val="22"/>
                <w:kern w:val="24"/>
              </w:rPr>
            </w:pPr>
            <w:r>
              <w:rPr>
                <w:rFonts w:ascii="Times New Roman" w:hAnsi="Times New Roman" w:cs="Times New Roman"/>
                <w:sz w:val="22"/>
              </w:rPr>
              <w:t>CCTTTCCCATGGATGAAGTC</w:t>
            </w:r>
          </w:p>
        </w:tc>
      </w:tr>
      <w:tr>
        <w:trPr>
          <w:trHeight w:val="369" w:hRule="atLeast"/>
        </w:trPr>
        <w:tc>
          <w:tcPr>
            <w:tcW w:w="1177" w:type="dxa"/>
            <w:shd w:val="clear" w:color="auto" w:fill="auto"/>
            <w:tcMar>
              <w:top w:w="15" w:type="dxa"/>
              <w:left w:w="15" w:type="dxa"/>
              <w:bottom w:w="0" w:type="dxa"/>
              <w:right w:w="15" w:type="dxa"/>
            </w:tcMar>
            <w:vAlign w:val="center"/>
          </w:tcPr>
          <w:p>
            <w:pPr>
              <w:ind w:leftChars="20" w:left="40"/>
              <w:jc w:val="center"/>
              <w:spacing w:after="0" w:line="240" w:lineRule="auto"/>
              <w:rPr>
                <w:rFonts w:ascii="Times New Roman" w:hAnsi="Times New Roman" w:cs="Times New Roman"/>
                <w:i/>
                <w:iCs/>
                <w:color w:val="000000"/>
                <w:szCs w:val="20"/>
              </w:rPr>
            </w:pPr>
            <w:r>
              <w:rPr>
                <w:rFonts w:ascii="Times New Roman" w:eastAsia="맑은 고딕" w:hAnsi="Times New Roman" w:cs="Times New Roman"/>
                <w:i/>
                <w:iCs/>
                <w:color w:val="000000"/>
                <w:szCs w:val="20"/>
                <w:kern w:val="24"/>
              </w:rPr>
              <w:t>TFF1</w:t>
            </w:r>
          </w:p>
        </w:tc>
        <w:tc>
          <w:tcPr>
            <w:tcW w:w="3810" w:type="dxa"/>
            <w:shd w:val="clear" w:color="auto" w:fill="auto"/>
            <w:tcMar>
              <w:top w:w="15" w:type="dxa"/>
              <w:left w:w="15" w:type="dxa"/>
              <w:bottom w:w="0" w:type="dxa"/>
              <w:right w:w="15" w:type="dxa"/>
            </w:tcMar>
            <w:vAlign w:val="center"/>
          </w:tcPr>
          <w:p>
            <w:pPr>
              <w:ind w:leftChars="30" w:left="60"/>
              <w:spacing w:after="0" w:line="240" w:lineRule="auto"/>
              <w:rPr>
                <w:rFonts w:ascii="Times New Roman" w:hAnsi="Times New Roman" w:cs="Times New Roman"/>
                <w:sz w:val="22"/>
              </w:rPr>
            </w:pPr>
            <w:r>
              <w:rPr>
                <w:rFonts w:ascii="Times New Roman" w:eastAsia="맑은 고딕" w:hAnsi="Times New Roman" w:cs="Times New Roman"/>
                <w:sz w:val="22"/>
                <w:kern w:val="24"/>
              </w:rPr>
              <w:t>AATTCTGTCTTTCACGGGGG</w:t>
            </w:r>
          </w:p>
        </w:tc>
        <w:tc>
          <w:tcPr>
            <w:tcW w:w="3987" w:type="dxa"/>
            <w:shd w:val="clear" w:color="auto" w:fill="auto"/>
            <w:tcMar>
              <w:top w:w="15" w:type="dxa"/>
              <w:left w:w="15" w:type="dxa"/>
              <w:bottom w:w="0" w:type="dxa"/>
              <w:right w:w="15" w:type="dxa"/>
            </w:tcMar>
            <w:vAlign w:val="center"/>
          </w:tcPr>
          <w:p>
            <w:pPr>
              <w:ind w:leftChars="30" w:left="60"/>
              <w:spacing w:after="0" w:line="240" w:lineRule="auto"/>
              <w:rPr>
                <w:rFonts w:ascii="Times New Roman" w:hAnsi="Times New Roman" w:cs="Times New Roman"/>
                <w:sz w:val="22"/>
              </w:rPr>
            </w:pPr>
            <w:r>
              <w:rPr>
                <w:rFonts w:ascii="Times New Roman" w:eastAsia="맑은 고딕" w:hAnsi="Times New Roman" w:cs="Times New Roman"/>
                <w:sz w:val="22"/>
                <w:kern w:val="24"/>
              </w:rPr>
              <w:t>GGAGAACAAGGTGATCTGCG</w:t>
            </w:r>
          </w:p>
        </w:tc>
      </w:tr>
      <w:tr>
        <w:trPr>
          <w:trHeight w:val="369" w:hRule="atLeast"/>
        </w:trPr>
        <w:tc>
          <w:tcPr>
            <w:tcW w:w="1177" w:type="dxa"/>
            <w:shd w:val="clear" w:color="auto" w:fill="auto"/>
            <w:tcMar>
              <w:top w:w="15" w:type="dxa"/>
              <w:left w:w="15" w:type="dxa"/>
              <w:bottom w:w="0" w:type="dxa"/>
              <w:right w:w="15" w:type="dxa"/>
            </w:tcMar>
            <w:vAlign w:val="center"/>
          </w:tcPr>
          <w:p>
            <w:pPr>
              <w:ind w:leftChars="20" w:left="40"/>
              <w:jc w:val="center"/>
              <w:spacing w:after="0" w:line="240" w:lineRule="auto"/>
              <w:rPr>
                <w:rFonts w:ascii="Times New Roman" w:hAnsi="Times New Roman" w:cs="Times New Roman"/>
                <w:i/>
                <w:iCs/>
                <w:color w:val="000000"/>
                <w:szCs w:val="20"/>
              </w:rPr>
            </w:pPr>
            <w:r>
              <w:rPr>
                <w:rFonts w:ascii="Times New Roman" w:eastAsia="맑은 고딕" w:hAnsi="Times New Roman" w:cs="Times New Roman"/>
                <w:i/>
                <w:iCs/>
                <w:color w:val="000000"/>
                <w:szCs w:val="20"/>
                <w:kern w:val="24"/>
              </w:rPr>
              <w:t>MUC5AC</w:t>
            </w:r>
          </w:p>
        </w:tc>
        <w:tc>
          <w:tcPr>
            <w:tcW w:w="3810" w:type="dxa"/>
            <w:shd w:val="clear" w:color="auto" w:fill="auto"/>
            <w:tcMar>
              <w:top w:w="15" w:type="dxa"/>
              <w:left w:w="15" w:type="dxa"/>
              <w:bottom w:w="0" w:type="dxa"/>
              <w:right w:w="15" w:type="dxa"/>
            </w:tcMar>
            <w:vAlign w:val="center"/>
          </w:tcPr>
          <w:p>
            <w:pPr>
              <w:ind w:leftChars="30" w:left="60"/>
              <w:spacing w:after="0" w:line="240" w:lineRule="auto"/>
              <w:rPr>
                <w:rFonts w:ascii="Times New Roman" w:hAnsi="Times New Roman" w:cs="Times New Roman"/>
                <w:sz w:val="22"/>
              </w:rPr>
            </w:pPr>
            <w:r>
              <w:rPr>
                <w:rFonts w:ascii="Times New Roman" w:eastAsia="맑은 고딕" w:hAnsi="Times New Roman" w:cs="Times New Roman"/>
                <w:sz w:val="22"/>
                <w:kern w:val="24"/>
              </w:rPr>
              <w:t>CCAAGGAGAACCTCCCATAT</w:t>
            </w:r>
          </w:p>
        </w:tc>
        <w:tc>
          <w:tcPr>
            <w:tcW w:w="3987" w:type="dxa"/>
            <w:shd w:val="clear" w:color="auto" w:fill="auto"/>
            <w:tcMar>
              <w:top w:w="15" w:type="dxa"/>
              <w:left w:w="15" w:type="dxa"/>
              <w:bottom w:w="0" w:type="dxa"/>
              <w:right w:w="15" w:type="dxa"/>
            </w:tcMar>
            <w:vAlign w:val="center"/>
          </w:tcPr>
          <w:p>
            <w:pPr>
              <w:ind w:leftChars="30" w:left="60"/>
              <w:spacing w:after="0" w:line="240" w:lineRule="auto"/>
              <w:rPr>
                <w:rFonts w:ascii="Times New Roman" w:hAnsi="Times New Roman" w:cs="Times New Roman"/>
                <w:sz w:val="22"/>
              </w:rPr>
            </w:pPr>
            <w:r>
              <w:rPr>
                <w:rFonts w:ascii="Times New Roman" w:eastAsia="맑은 고딕" w:hAnsi="Times New Roman" w:cs="Times New Roman"/>
                <w:sz w:val="22"/>
                <w:kern w:val="24"/>
              </w:rPr>
              <w:t>CCAAGCGTCATTCCTGAG</w:t>
            </w:r>
          </w:p>
        </w:tc>
      </w:tr>
      <w:tr>
        <w:trPr>
          <w:trHeight w:val="369" w:hRule="atLeast"/>
        </w:trPr>
        <w:tc>
          <w:tcPr>
            <w:tcW w:w="1177" w:type="dxa"/>
            <w:shd w:val="clear" w:color="auto" w:fill="auto"/>
            <w:tcMar>
              <w:top w:w="15" w:type="dxa"/>
              <w:left w:w="15" w:type="dxa"/>
              <w:bottom w:w="0" w:type="dxa"/>
              <w:right w:w="15" w:type="dxa"/>
            </w:tcMar>
            <w:vAlign w:val="center"/>
          </w:tcPr>
          <w:p>
            <w:pPr>
              <w:ind w:leftChars="20" w:left="40"/>
              <w:jc w:val="center"/>
              <w:spacing w:after="0" w:line="240" w:lineRule="auto"/>
              <w:rPr>
                <w:rFonts w:ascii="Times New Roman" w:eastAsia="맑은 고딕" w:hAnsi="Times New Roman" w:cs="Times New Roman"/>
                <w:i/>
                <w:iCs/>
                <w:color w:val="000000"/>
                <w:szCs w:val="20"/>
                <w:kern w:val="24"/>
              </w:rPr>
            </w:pPr>
            <w:r>
              <w:rPr>
                <w:rFonts w:ascii="Times New Roman" w:eastAsia="맑은 고딕" w:hAnsi="Times New Roman" w:cs="Times New Roman"/>
                <w:i/>
                <w:iCs/>
                <w:color w:val="000000"/>
                <w:szCs w:val="20"/>
                <w:kern w:val="24"/>
              </w:rPr>
              <w:t>MUC6</w:t>
            </w:r>
          </w:p>
        </w:tc>
        <w:tc>
          <w:tcPr>
            <w:tcW w:w="3810" w:type="dxa"/>
            <w:shd w:val="clear" w:color="auto" w:fill="auto"/>
            <w:tcMar>
              <w:top w:w="15" w:type="dxa"/>
              <w:left w:w="15" w:type="dxa"/>
              <w:bottom w:w="0" w:type="dxa"/>
              <w:right w:w="15" w:type="dxa"/>
            </w:tcMar>
            <w:vAlign w:val="center"/>
          </w:tcPr>
          <w:p>
            <w:pPr>
              <w:ind w:leftChars="30" w:left="60"/>
              <w:spacing w:after="0" w:line="240" w:lineRule="auto"/>
              <w:rPr>
                <w:rFonts w:ascii="Times New Roman" w:eastAsia="맑은 고딕" w:hAnsi="Times New Roman" w:cs="Times New Roman"/>
                <w:sz w:val="22"/>
                <w:kern w:val="24"/>
              </w:rPr>
            </w:pPr>
            <w:r>
              <w:rPr>
                <w:rFonts w:ascii="Times New Roman" w:eastAsia="맑은 고딕" w:hAnsi="Times New Roman" w:cs="Times New Roman"/>
                <w:sz w:val="22"/>
                <w:kern w:val="24"/>
              </w:rPr>
              <w:t>CAGCAGGAGGAGATCACGTTCAAG</w:t>
            </w:r>
          </w:p>
        </w:tc>
        <w:tc>
          <w:tcPr>
            <w:tcW w:w="3987" w:type="dxa"/>
            <w:shd w:val="clear" w:color="auto" w:fill="auto"/>
            <w:tcMar>
              <w:top w:w="15" w:type="dxa"/>
              <w:left w:w="15" w:type="dxa"/>
              <w:bottom w:w="0" w:type="dxa"/>
              <w:right w:w="15" w:type="dxa"/>
            </w:tcMar>
            <w:vAlign w:val="center"/>
          </w:tcPr>
          <w:p>
            <w:pPr>
              <w:ind w:leftChars="30" w:left="60"/>
              <w:spacing w:after="0" w:line="240" w:lineRule="auto"/>
              <w:rPr>
                <w:rFonts w:ascii="Times New Roman" w:eastAsia="맑은 고딕" w:hAnsi="Times New Roman" w:cs="Times New Roman"/>
                <w:sz w:val="22"/>
                <w:kern w:val="24"/>
              </w:rPr>
            </w:pPr>
            <w:r>
              <w:rPr>
                <w:rFonts w:ascii="Times New Roman" w:eastAsia="맑은 고딕" w:hAnsi="Times New Roman" w:cs="Times New Roman"/>
                <w:sz w:val="22"/>
                <w:kern w:val="24"/>
              </w:rPr>
              <w:t>GTGGGTGTTTTCCTGTCTGTCATC</w:t>
            </w:r>
          </w:p>
        </w:tc>
      </w:tr>
      <w:tr>
        <w:trPr>
          <w:trHeight w:val="369" w:hRule="atLeast"/>
        </w:trPr>
        <w:tc>
          <w:tcPr>
            <w:tcW w:w="1177" w:type="dxa"/>
            <w:shd w:val="clear" w:color="auto" w:fill="auto"/>
            <w:tcMar>
              <w:top w:w="15" w:type="dxa"/>
              <w:left w:w="15" w:type="dxa"/>
              <w:bottom w:w="0" w:type="dxa"/>
              <w:right w:w="15" w:type="dxa"/>
            </w:tcMar>
            <w:vAlign w:val="center"/>
            <w:hideMark/>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TFF2</w:t>
            </w:r>
          </w:p>
        </w:tc>
        <w:tc>
          <w:tcPr>
            <w:tcW w:w="3810"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TCTGAGACCTCCATGACGC</w:t>
            </w:r>
          </w:p>
        </w:tc>
        <w:tc>
          <w:tcPr>
            <w:tcW w:w="3987"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ATGGATGCTGTTTCGACTCC</w:t>
            </w:r>
          </w:p>
        </w:tc>
      </w:tr>
      <w:tr>
        <w:trPr>
          <w:trHeight w:val="369" w:hRule="atLeast"/>
        </w:trPr>
        <w:tc>
          <w:tcPr>
            <w:tcW w:w="1177" w:type="dxa"/>
            <w:shd w:val="clear" w:color="auto" w:fill="auto"/>
            <w:tcMar>
              <w:top w:w="15" w:type="dxa"/>
              <w:left w:w="15" w:type="dxa"/>
              <w:bottom w:w="0" w:type="dxa"/>
              <w:right w:w="15" w:type="dxa"/>
            </w:tcMar>
            <w:vAlign w:val="center"/>
            <w:hideMark/>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GAST</w:t>
            </w:r>
          </w:p>
        </w:tc>
        <w:tc>
          <w:tcPr>
            <w:tcW w:w="3810"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CAGAGCCAGTGCAAAGATCA</w:t>
            </w:r>
          </w:p>
        </w:tc>
        <w:tc>
          <w:tcPr>
            <w:tcW w:w="3987"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AGAGACCTGAGAGGCACCAG</w:t>
            </w:r>
          </w:p>
        </w:tc>
      </w:tr>
      <w:tr>
        <w:trPr>
          <w:trHeight w:val="369" w:hRule="atLeast"/>
        </w:trPr>
        <w:tc>
          <w:tcPr>
            <w:tcW w:w="1177" w:type="dxa"/>
            <w:shd w:val="clear" w:color="auto" w:fill="auto"/>
            <w:tcMar>
              <w:top w:w="11" w:type="dxa"/>
              <w:left w:w="11" w:type="dxa"/>
              <w:bottom w:w="0" w:type="dxa"/>
              <w:right w:w="11" w:type="dxa"/>
            </w:tcMar>
            <w:vAlign w:val="center"/>
            <w:hideMark/>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SST</w:t>
            </w:r>
          </w:p>
        </w:tc>
        <w:tc>
          <w:tcPr>
            <w:tcW w:w="3810" w:type="dxa"/>
            <w:shd w:val="clear" w:color="auto" w:fill="auto"/>
            <w:tcMar>
              <w:top w:w="11" w:type="dxa"/>
              <w:left w:w="11" w:type="dxa"/>
              <w:bottom w:w="0" w:type="dxa"/>
              <w:right w:w="11"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CCCCAGACTCCGTCAGTTTCT</w:t>
            </w:r>
          </w:p>
        </w:tc>
        <w:tc>
          <w:tcPr>
            <w:tcW w:w="3987"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CATTCTCCGTCTGGTTGGGT</w:t>
            </w:r>
          </w:p>
        </w:tc>
      </w:tr>
      <w:tr>
        <w:trPr>
          <w:trHeight w:val="369" w:hRule="atLeast"/>
        </w:trPr>
        <w:tc>
          <w:tcPr>
            <w:tcW w:w="1177" w:type="dxa"/>
            <w:shd w:val="clear" w:color="auto" w:fill="auto"/>
            <w:tcMar>
              <w:top w:w="11" w:type="dxa"/>
              <w:left w:w="11" w:type="dxa"/>
              <w:bottom w:w="0" w:type="dxa"/>
              <w:right w:w="11" w:type="dxa"/>
            </w:tcMar>
            <w:vAlign w:val="center"/>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hint="eastAsia"/>
                <w:i/>
                <w:iCs/>
                <w:color w:val="000000"/>
                <w:sz w:val="22"/>
              </w:rPr>
              <w:t>T</w:t>
            </w:r>
            <w:r>
              <w:rPr>
                <w:rFonts w:ascii="Times New Roman" w:hAnsi="Times New Roman" w:cs="Times New Roman"/>
                <w:i/>
                <w:iCs/>
                <w:color w:val="000000"/>
                <w:sz w:val="22"/>
              </w:rPr>
              <w:t>P</w:t>
            </w:r>
            <w:r>
              <w:rPr>
                <w:rFonts w:ascii="Times New Roman" w:hAnsi="Times New Roman" w:cs="Times New Roman" w:hint="eastAsia"/>
                <w:i/>
                <w:iCs/>
                <w:color w:val="000000"/>
                <w:sz w:val="22"/>
              </w:rPr>
              <w:t>H</w:t>
            </w:r>
            <w:r>
              <w:rPr>
                <w:rFonts w:ascii="Times New Roman" w:hAnsi="Times New Roman" w:cs="Times New Roman"/>
                <w:i/>
                <w:iCs/>
                <w:color w:val="000000"/>
                <w:sz w:val="22"/>
              </w:rPr>
              <w:t>1</w:t>
            </w:r>
          </w:p>
        </w:tc>
        <w:tc>
          <w:tcPr>
            <w:tcW w:w="3810" w:type="dxa"/>
            <w:shd w:val="clear" w:color="auto" w:fill="auto"/>
            <w:tcMar>
              <w:top w:w="11" w:type="dxa"/>
              <w:left w:w="11" w:type="dxa"/>
              <w:bottom w:w="0" w:type="dxa"/>
              <w:right w:w="11" w:type="dxa"/>
            </w:tcMar>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ACGTCGAAAGTATTTTGCGGA</w:t>
            </w:r>
          </w:p>
        </w:tc>
        <w:tc>
          <w:tcPr>
            <w:tcW w:w="3987" w:type="dxa"/>
            <w:shd w:val="clear" w:color="auto" w:fill="auto"/>
            <w:tcMar>
              <w:top w:w="15" w:type="dxa"/>
              <w:left w:w="15" w:type="dxa"/>
              <w:bottom w:w="0" w:type="dxa"/>
              <w:right w:w="15" w:type="dxa"/>
            </w:tcMar>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ACGGTTCCCCAGGTCTTAATC</w:t>
            </w:r>
          </w:p>
        </w:tc>
      </w:tr>
      <w:tr>
        <w:trPr>
          <w:trHeight w:val="369" w:hRule="atLeast"/>
        </w:trPr>
        <w:tc>
          <w:tcPr>
            <w:tcW w:w="1177" w:type="dxa"/>
            <w:shd w:val="clear" w:color="auto" w:fill="auto"/>
            <w:tcMar>
              <w:top w:w="11" w:type="dxa"/>
              <w:left w:w="11" w:type="dxa"/>
              <w:bottom w:w="0" w:type="dxa"/>
              <w:right w:w="11" w:type="dxa"/>
            </w:tcMar>
            <w:vAlign w:val="center"/>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hint="eastAsia"/>
                <w:i/>
                <w:iCs/>
                <w:color w:val="000000"/>
                <w:sz w:val="22"/>
              </w:rPr>
              <w:t>T</w:t>
            </w:r>
            <w:r>
              <w:rPr>
                <w:rFonts w:ascii="Times New Roman" w:hAnsi="Times New Roman" w:cs="Times New Roman"/>
                <w:i/>
                <w:iCs/>
                <w:color w:val="000000"/>
                <w:sz w:val="22"/>
              </w:rPr>
              <w:t>PH2</w:t>
            </w:r>
          </w:p>
        </w:tc>
        <w:tc>
          <w:tcPr>
            <w:tcW w:w="3810" w:type="dxa"/>
            <w:shd w:val="clear" w:color="auto" w:fill="auto"/>
            <w:tcMar>
              <w:top w:w="11" w:type="dxa"/>
              <w:left w:w="11" w:type="dxa"/>
              <w:bottom w:w="0" w:type="dxa"/>
              <w:right w:w="11" w:type="dxa"/>
            </w:tcMar>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GGCTACAGAGAGGACAATGTGC</w:t>
            </w:r>
          </w:p>
        </w:tc>
        <w:tc>
          <w:tcPr>
            <w:tcW w:w="3987" w:type="dxa"/>
            <w:shd w:val="clear" w:color="auto" w:fill="auto"/>
            <w:tcMar>
              <w:top w:w="15" w:type="dxa"/>
              <w:left w:w="15" w:type="dxa"/>
              <w:bottom w:w="0" w:type="dxa"/>
              <w:right w:w="15" w:type="dxa"/>
            </w:tcMar>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AAGTCTCGTGGGCTCAGGTATC</w:t>
            </w:r>
          </w:p>
        </w:tc>
      </w:tr>
      <w:tr>
        <w:trPr>
          <w:trHeight w:val="369" w:hRule="atLeast"/>
        </w:trPr>
        <w:tc>
          <w:tcPr>
            <w:tcW w:w="1177" w:type="dxa"/>
            <w:shd w:val="clear" w:color="auto" w:fill="auto"/>
            <w:tcMar>
              <w:top w:w="11" w:type="dxa"/>
              <w:left w:w="11" w:type="dxa"/>
              <w:bottom w:w="0" w:type="dxa"/>
              <w:right w:w="11" w:type="dxa"/>
            </w:tcMar>
            <w:vAlign w:val="center"/>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hint="eastAsia"/>
                <w:i/>
                <w:iCs/>
                <w:color w:val="000000"/>
                <w:sz w:val="22"/>
              </w:rPr>
              <w:t>M</w:t>
            </w:r>
            <w:r>
              <w:rPr>
                <w:rFonts w:ascii="Times New Roman" w:hAnsi="Times New Roman" w:cs="Times New Roman"/>
                <w:i/>
                <w:iCs/>
                <w:color w:val="000000"/>
                <w:sz w:val="22"/>
              </w:rPr>
              <w:t>AOB</w:t>
            </w:r>
          </w:p>
        </w:tc>
        <w:tc>
          <w:tcPr>
            <w:tcW w:w="3810" w:type="dxa"/>
            <w:shd w:val="clear" w:color="auto" w:fill="auto"/>
            <w:tcMar>
              <w:top w:w="11" w:type="dxa"/>
              <w:left w:w="11" w:type="dxa"/>
              <w:bottom w:w="0" w:type="dxa"/>
              <w:right w:w="11" w:type="dxa"/>
            </w:tcMar>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GTGAAGCAGTGTGGAGGCACAA</w:t>
            </w:r>
          </w:p>
        </w:tc>
        <w:tc>
          <w:tcPr>
            <w:tcW w:w="3987" w:type="dxa"/>
            <w:shd w:val="clear" w:color="auto" w:fill="auto"/>
            <w:tcMar>
              <w:top w:w="15" w:type="dxa"/>
              <w:left w:w="15" w:type="dxa"/>
              <w:bottom w:w="0" w:type="dxa"/>
              <w:right w:w="15" w:type="dxa"/>
            </w:tcMar>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TTCACTCGGTCTCCAAGGAGGT</w:t>
            </w:r>
          </w:p>
        </w:tc>
      </w:tr>
      <w:tr>
        <w:trPr>
          <w:trHeight w:val="369" w:hRule="atLeast"/>
        </w:trPr>
        <w:tc>
          <w:tcPr>
            <w:tcW w:w="1177" w:type="dxa"/>
            <w:shd w:val="clear" w:color="auto" w:fill="auto"/>
            <w:tcMar>
              <w:top w:w="11" w:type="dxa"/>
              <w:left w:w="11" w:type="dxa"/>
              <w:bottom w:w="0" w:type="dxa"/>
              <w:right w:w="11" w:type="dxa"/>
            </w:tcMar>
            <w:vAlign w:val="center"/>
            <w:hideMark/>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GPR65</w:t>
            </w:r>
          </w:p>
        </w:tc>
        <w:tc>
          <w:tcPr>
            <w:tcW w:w="3810" w:type="dxa"/>
            <w:shd w:val="clear" w:color="auto" w:fill="auto"/>
            <w:tcMar>
              <w:top w:w="11" w:type="dxa"/>
              <w:left w:w="11" w:type="dxa"/>
              <w:bottom w:w="0" w:type="dxa"/>
              <w:right w:w="11"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TGCGGCACAATAAAGCCACGGA</w:t>
            </w:r>
          </w:p>
        </w:tc>
        <w:tc>
          <w:tcPr>
            <w:tcW w:w="3987"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GCTCTAAAATGCAGCGAATCAGC</w:t>
            </w:r>
          </w:p>
        </w:tc>
      </w:tr>
      <w:tr>
        <w:trPr>
          <w:trHeight w:val="369" w:hRule="atLeast"/>
        </w:trPr>
        <w:tc>
          <w:tcPr>
            <w:tcW w:w="1177" w:type="dxa"/>
            <w:shd w:val="clear" w:color="auto" w:fill="auto"/>
            <w:tcMar>
              <w:top w:w="11" w:type="dxa"/>
              <w:left w:w="11" w:type="dxa"/>
              <w:bottom w:w="0" w:type="dxa"/>
              <w:right w:w="11" w:type="dxa"/>
            </w:tcMar>
            <w:vAlign w:val="center"/>
            <w:hideMark/>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CALCA</w:t>
            </w:r>
          </w:p>
        </w:tc>
        <w:tc>
          <w:tcPr>
            <w:tcW w:w="3810" w:type="dxa"/>
            <w:shd w:val="clear" w:color="auto" w:fill="auto"/>
            <w:tcMar>
              <w:top w:w="11" w:type="dxa"/>
              <w:left w:w="11" w:type="dxa"/>
              <w:bottom w:w="0" w:type="dxa"/>
              <w:right w:w="11"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CTGCACTGGTGCAGGACTATGT</w:t>
            </w:r>
          </w:p>
        </w:tc>
        <w:tc>
          <w:tcPr>
            <w:tcW w:w="3987"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CAGATTACCGCACCGCTTAGATC</w:t>
            </w:r>
          </w:p>
        </w:tc>
      </w:tr>
      <w:tr>
        <w:trPr>
          <w:trHeight w:val="369" w:hRule="atLeast"/>
        </w:trPr>
        <w:tc>
          <w:tcPr>
            <w:tcW w:w="1177" w:type="dxa"/>
            <w:shd w:val="clear" w:color="auto" w:fill="auto"/>
            <w:tcMar>
              <w:top w:w="11" w:type="dxa"/>
              <w:left w:w="11" w:type="dxa"/>
              <w:bottom w:w="0" w:type="dxa"/>
              <w:right w:w="11" w:type="dxa"/>
            </w:tcMar>
            <w:vAlign w:val="center"/>
            <w:hideMark/>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GLP1R</w:t>
            </w:r>
          </w:p>
        </w:tc>
        <w:tc>
          <w:tcPr>
            <w:tcW w:w="3810" w:type="dxa"/>
            <w:shd w:val="clear" w:color="auto" w:fill="auto"/>
            <w:tcMar>
              <w:top w:w="11" w:type="dxa"/>
              <w:left w:w="11" w:type="dxa"/>
              <w:bottom w:w="0" w:type="dxa"/>
              <w:right w:w="11"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CTACGCACTCTCCTTCTCTGCT</w:t>
            </w:r>
          </w:p>
        </w:tc>
        <w:tc>
          <w:tcPr>
            <w:tcW w:w="3987"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CGGACAATGCTCGCAGGATGAA</w:t>
            </w:r>
          </w:p>
        </w:tc>
      </w:tr>
      <w:tr>
        <w:trPr>
          <w:trHeight w:val="369" w:hRule="atLeast"/>
        </w:trPr>
        <w:tc>
          <w:tcPr>
            <w:tcW w:w="1177" w:type="dxa"/>
            <w:shd w:val="clear" w:color="auto" w:fill="auto"/>
            <w:tcMar>
              <w:top w:w="15" w:type="dxa"/>
              <w:left w:w="15" w:type="dxa"/>
              <w:bottom w:w="0" w:type="dxa"/>
              <w:right w:w="15" w:type="dxa"/>
            </w:tcMar>
            <w:vAlign w:val="center"/>
            <w:hideMark/>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KIT</w:t>
            </w:r>
          </w:p>
        </w:tc>
        <w:tc>
          <w:tcPr>
            <w:tcW w:w="3810"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CACCGAAGGAGGCACTTACACA</w:t>
            </w:r>
          </w:p>
        </w:tc>
        <w:tc>
          <w:tcPr>
            <w:tcW w:w="3987"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TGCCATTCACGAGCCTGTCGTA</w:t>
            </w:r>
          </w:p>
        </w:tc>
      </w:tr>
      <w:tr>
        <w:trPr>
          <w:trHeight w:val="369" w:hRule="atLeast"/>
        </w:trPr>
        <w:tc>
          <w:tcPr>
            <w:tcW w:w="1177" w:type="dxa"/>
            <w:shd w:val="clear" w:color="auto" w:fill="auto"/>
            <w:tcMar>
              <w:top w:w="15" w:type="dxa"/>
              <w:left w:w="15" w:type="dxa"/>
              <w:bottom w:w="0" w:type="dxa"/>
              <w:right w:w="15" w:type="dxa"/>
            </w:tcMar>
            <w:vAlign w:val="center"/>
            <w:hideMark/>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hint="eastAsia"/>
                <w:i/>
                <w:iCs/>
                <w:color w:val="000000"/>
                <w:sz w:val="22"/>
              </w:rPr>
              <w:t>A</w:t>
            </w:r>
            <w:r>
              <w:rPr>
                <w:rFonts w:ascii="Times New Roman" w:hAnsi="Times New Roman" w:cs="Times New Roman"/>
                <w:i/>
                <w:iCs/>
                <w:color w:val="000000"/>
                <w:sz w:val="22"/>
              </w:rPr>
              <w:t>NO1</w:t>
            </w:r>
          </w:p>
        </w:tc>
        <w:tc>
          <w:tcPr>
            <w:tcW w:w="3810"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GAAGCGGAAACAGATGCGACTC</w:t>
            </w:r>
          </w:p>
        </w:tc>
        <w:tc>
          <w:tcPr>
            <w:tcW w:w="3987"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CTGGCTTCGTATTCAGCTCTAGG</w:t>
            </w:r>
          </w:p>
        </w:tc>
      </w:tr>
      <w:tr>
        <w:trPr>
          <w:trHeight w:val="369" w:hRule="atLeast"/>
        </w:trPr>
        <w:tc>
          <w:tcPr>
            <w:tcW w:w="1177" w:type="dxa"/>
            <w:shd w:val="clear" w:color="auto" w:fill="auto"/>
            <w:tcMar>
              <w:top w:w="15" w:type="dxa"/>
              <w:left w:w="15" w:type="dxa"/>
              <w:bottom w:w="0" w:type="dxa"/>
              <w:right w:w="15" w:type="dxa"/>
            </w:tcMar>
            <w:vAlign w:val="center"/>
            <w:hideMark/>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PDGFRA</w:t>
            </w:r>
          </w:p>
        </w:tc>
        <w:tc>
          <w:tcPr>
            <w:tcW w:w="3810"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CCACCTGAGTGAGATTGTGG</w:t>
            </w:r>
          </w:p>
        </w:tc>
        <w:tc>
          <w:tcPr>
            <w:tcW w:w="3987" w:type="dxa"/>
            <w:shd w:val="clear" w:color="auto" w:fill="auto"/>
            <w:tcMar>
              <w:top w:w="15" w:type="dxa"/>
              <w:left w:w="15" w:type="dxa"/>
              <w:bottom w:w="0" w:type="dxa"/>
              <w:right w:w="15" w:type="dxa"/>
            </w:tcMar>
            <w:vAlign w:val="center"/>
            <w:hideMark/>
          </w:tcPr>
          <w:p>
            <w:pPr>
              <w:ind w:leftChars="30" w:left="60"/>
              <w:spacing w:after="0" w:line="240" w:lineRule="auto"/>
              <w:rPr>
                <w:rFonts w:ascii="Times New Roman" w:hAnsi="Times New Roman" w:cs="Times New Roman"/>
                <w:sz w:val="22"/>
              </w:rPr>
            </w:pPr>
            <w:r>
              <w:rPr>
                <w:rFonts w:ascii="Times New Roman" w:hAnsi="Times New Roman" w:cs="Times New Roman"/>
                <w:sz w:val="22"/>
              </w:rPr>
              <w:t>TCTTCAGGAAGTCCAGGTGAA</w:t>
            </w:r>
          </w:p>
        </w:tc>
      </w:tr>
      <w:tr>
        <w:trPr>
          <w:trHeight w:val="369" w:hRule="atLeast"/>
        </w:trPr>
        <w:tc>
          <w:tcPr>
            <w:tcW w:w="1177" w:type="dxa"/>
            <w:shd w:val="clear" w:color="auto" w:fill="auto"/>
            <w:vAlign w:val="center"/>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CLDN1</w:t>
            </w:r>
          </w:p>
        </w:tc>
        <w:tc>
          <w:tcPr>
            <w:tcW w:w="3810" w:type="dxa"/>
            <w:shd w:val="clear" w:color="auto" w:fill="auto"/>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CCCAGTCAATGCCAGGTACG</w:t>
            </w:r>
          </w:p>
        </w:tc>
        <w:tc>
          <w:tcPr>
            <w:tcW w:w="3987" w:type="dxa"/>
            <w:shd w:val="clear" w:color="auto" w:fill="auto"/>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GGGCCT TGGTGTTGGGTAAG</w:t>
            </w:r>
          </w:p>
        </w:tc>
      </w:tr>
      <w:tr>
        <w:trPr>
          <w:trHeight w:val="369" w:hRule="atLeast"/>
        </w:trPr>
        <w:tc>
          <w:tcPr>
            <w:tcW w:w="1177" w:type="dxa"/>
            <w:shd w:val="clear" w:color="auto" w:fill="auto"/>
            <w:vAlign w:val="center"/>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CLDN18</w:t>
            </w:r>
          </w:p>
        </w:tc>
        <w:tc>
          <w:tcPr>
            <w:tcW w:w="3810" w:type="dxa"/>
            <w:shd w:val="clear" w:color="auto" w:fill="auto"/>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ATGGAGGACTCTGCCAAAGCCA</w:t>
            </w:r>
          </w:p>
        </w:tc>
        <w:tc>
          <w:tcPr>
            <w:tcW w:w="3987" w:type="dxa"/>
            <w:shd w:val="clear" w:color="auto" w:fill="auto"/>
            <w:vAlign w:val="center"/>
          </w:tcPr>
          <w:p>
            <w:pPr>
              <w:ind w:leftChars="30" w:left="60"/>
              <w:spacing w:after="0" w:line="240" w:lineRule="auto"/>
              <w:rPr>
                <w:rFonts w:ascii="Times New Roman" w:hAnsi="Times New Roman" w:cs="Times New Roman"/>
                <w:sz w:val="22"/>
              </w:rPr>
            </w:pPr>
            <w:r>
              <w:rPr>
                <w:rFonts w:ascii="Times New Roman" w:hAnsi="Times New Roman" w:cs="Times New Roman"/>
                <w:sz w:val="22"/>
              </w:rPr>
              <w:t>TGGACATCCAGAAGTTAGTCACC</w:t>
            </w:r>
          </w:p>
        </w:tc>
      </w:tr>
      <w:tr>
        <w:trPr>
          <w:trHeight w:val="369" w:hRule="atLeast"/>
        </w:trPr>
        <w:tc>
          <w:tcPr>
            <w:tcW w:w="1177" w:type="dxa"/>
            <w:shd w:val="clear" w:color="auto" w:fill="auto"/>
            <w:vAlign w:val="center"/>
          </w:tcPr>
          <w:p>
            <w:pPr>
              <w:ind w:leftChars="20" w:left="40"/>
              <w:jc w:val="center"/>
              <w:spacing w:after="0" w:line="240" w:lineRule="auto"/>
              <w:rPr>
                <w:rFonts w:ascii="Times New Roman" w:hAnsi="Times New Roman" w:cs="Times New Roman"/>
                <w:i/>
                <w:iCs/>
                <w:color w:val="000000"/>
                <w:sz w:val="22"/>
              </w:rPr>
            </w:pPr>
            <w:r>
              <w:rPr>
                <w:rFonts w:ascii="Times New Roman" w:hAnsi="Times New Roman" w:cs="Times New Roman"/>
                <w:i/>
                <w:iCs/>
                <w:color w:val="000000"/>
                <w:sz w:val="22"/>
              </w:rPr>
              <w:t>TJP1</w:t>
            </w:r>
          </w:p>
        </w:tc>
        <w:tc>
          <w:tcPr>
            <w:tcW w:w="3810" w:type="dxa"/>
            <w:shd w:val="clear" w:color="auto" w:fill="auto"/>
            <w:vAlign w:val="center"/>
          </w:tcPr>
          <w:p>
            <w:pPr>
              <w:ind w:leftChars="30" w:left="60"/>
              <w:spacing w:after="0" w:line="240" w:lineRule="auto"/>
              <w:rPr>
                <w:caps/>
                <w:rFonts w:ascii="Times New Roman" w:hAnsi="Times New Roman" w:cs="Times New Roman"/>
                <w:sz w:val="22"/>
              </w:rPr>
            </w:pPr>
            <w:r>
              <w:rPr>
                <w:caps/>
                <w:rFonts w:ascii="Times New Roman" w:hAnsi="Times New Roman" w:cs="Times New Roman"/>
                <w:sz w:val="22"/>
              </w:rPr>
              <w:t>ccagcatcatcaacctctgc</w:t>
            </w:r>
          </w:p>
        </w:tc>
        <w:tc>
          <w:tcPr>
            <w:tcW w:w="3987" w:type="dxa"/>
            <w:shd w:val="clear" w:color="auto" w:fill="auto"/>
            <w:vAlign w:val="center"/>
          </w:tcPr>
          <w:p>
            <w:pPr>
              <w:ind w:leftChars="30" w:left="60"/>
              <w:spacing w:after="0" w:line="240" w:lineRule="auto"/>
              <w:rPr>
                <w:caps/>
                <w:rFonts w:ascii="Times New Roman" w:hAnsi="Times New Roman" w:cs="Times New Roman"/>
                <w:sz w:val="22"/>
              </w:rPr>
            </w:pPr>
            <w:r>
              <w:rPr>
                <w:caps/>
                <w:rFonts w:ascii="Times New Roman" w:hAnsi="Times New Roman" w:cs="Times New Roman"/>
                <w:sz w:val="22"/>
              </w:rPr>
              <w:t>catgcgacgacaatgatggt</w:t>
            </w:r>
          </w:p>
        </w:tc>
      </w:tr>
    </w:tbl>
    <w:p>
      <w:pPr>
        <w:pStyle w:val="a3"/>
        <w:ind w:leftChars="0" w:left="760"/>
        <w:spacing w:line="480" w:lineRule="auto"/>
        <w:rPr>
          <w:rFonts w:ascii="Times New Roman" w:hAnsi="Times New Roman" w:cs="Times New Roman"/>
          <w:sz w:val="22"/>
        </w:rPr>
      </w:pPr>
    </w:p>
    <w:p>
      <w:pPr>
        <w:autoSpaceDE/>
        <w:autoSpaceDN/>
        <w:widowControl/>
        <w:wordWrap/>
        <w:rPr>
          <w:rFonts w:ascii="Times New Roman" w:hAnsi="Times New Roman" w:cs="Times New Roman"/>
          <w:b/>
          <w:bCs/>
          <w:sz w:val="22"/>
        </w:rPr>
      </w:pPr>
      <w:r>
        <w:rPr>
          <w:rFonts w:ascii="Times New Roman" w:hAnsi="Times New Roman" w:cs="Times New Roman"/>
          <w:b/>
          <w:bCs/>
          <w:sz w:val="22"/>
        </w:rPr>
        <w:br w:type="page"/>
      </w:r>
    </w:p>
    <w:p>
      <w:pPr>
        <w:pStyle w:val="a3"/>
        <w:ind w:leftChars="0" w:left="0"/>
        <w:spacing w:line="480" w:lineRule="auto"/>
        <w:rPr>
          <w:rFonts w:ascii="Times New Roman" w:hAnsi="Times New Roman" w:cs="Times New Roman"/>
          <w:b/>
          <w:bCs/>
          <w:sz w:val="22"/>
        </w:rPr>
      </w:pPr>
      <w:r>
        <w:rPr>
          <w:rFonts w:ascii="Times New Roman" w:hAnsi="Times New Roman" w:cs="Times New Roman" w:hint="eastAsia"/>
          <w:b/>
          <w:bCs/>
          <w:sz w:val="22"/>
        </w:rPr>
        <w:t xml:space="preserve">Supplementary Table S2. </w:t>
      </w:r>
      <w:r>
        <w:rPr>
          <w:rFonts w:ascii="Times New Roman" w:hAnsi="Times New Roman" w:cs="Times New Roman" w:hint="eastAsia"/>
          <w:b w:val="0"/>
          <w:bCs w:val="0"/>
          <w:sz w:val="22"/>
        </w:rPr>
        <w:t>Antibodies used for immunofluorescence staining</w:t>
      </w:r>
    </w:p>
    <w:tbl>
      <w:tblPr>
        <w:tblStyle w:val="a4"/>
        <w:tblW w:w="0" w:type="auto"/>
        <w:tblLook w:val="04A0" w:firstRow="1" w:lastRow="0" w:firstColumn="1" w:lastColumn="0" w:noHBand="0" w:noVBand="1"/>
        <w:tblCellMar>
          <w:left w:w="0" w:type="dxa"/>
          <w:right w:w="0" w:type="dxa"/>
        </w:tblCellMar>
      </w:tblPr>
      <w:tblGrid>
        <w:gridCol w:w="1570"/>
        <w:gridCol w:w="2334"/>
        <w:gridCol w:w="1952"/>
        <w:gridCol w:w="1616"/>
        <w:gridCol w:w="1524"/>
      </w:tblGrid>
      <w:tr>
        <w:trPr>
          <w:trHeight w:val="541" w:hRule="atLeast"/>
        </w:trPr>
        <w:tc>
          <w:tcPr>
            <w:tcW w:w="1570" w:type="dxa"/>
            <w:vAlign w:val="center"/>
          </w:tcPr>
          <w:p>
            <w:pPr>
              <w:ind w:leftChars="30" w:left="60"/>
              <w:jc w:val="center"/>
              <w:rPr>
                <w:rFonts w:ascii="Times New Roman" w:eastAsia="Times New Roman" w:hAnsi="Times New Roman" w:cs="Times New Roman"/>
                <w:b/>
                <w:bCs/>
                <w:sz w:val="22"/>
              </w:rPr>
            </w:pPr>
            <w:r>
              <w:rPr>
                <w:rFonts w:ascii="Times New Roman" w:eastAsia="Times New Roman" w:hAnsi="Times New Roman" w:cs="Times New Roman"/>
                <w:b/>
                <w:bCs/>
                <w:sz w:val="22"/>
              </w:rPr>
              <w:t>Marker/target</w:t>
            </w:r>
          </w:p>
        </w:tc>
        <w:tc>
          <w:tcPr>
            <w:tcW w:w="2334" w:type="dxa"/>
            <w:vAlign w:val="center"/>
          </w:tcPr>
          <w:p>
            <w:pPr>
              <w:ind w:leftChars="30" w:left="60"/>
              <w:jc w:val="center"/>
              <w:rPr>
                <w:rFonts w:ascii="Times New Roman" w:eastAsia="Times New Roman" w:hAnsi="Times New Roman" w:cs="Times New Roman"/>
                <w:b/>
                <w:bCs/>
                <w:sz w:val="22"/>
              </w:rPr>
            </w:pPr>
            <w:r>
              <w:rPr>
                <w:rFonts w:ascii="Times New Roman" w:eastAsia="Times New Roman" w:hAnsi="Times New Roman" w:cs="Times New Roman"/>
                <w:b/>
                <w:bCs/>
                <w:sz w:val="22"/>
              </w:rPr>
              <w:t>Antibody</w:t>
            </w:r>
          </w:p>
        </w:tc>
        <w:tc>
          <w:tcPr>
            <w:tcW w:w="1952" w:type="dxa"/>
            <w:vAlign w:val="center"/>
          </w:tcPr>
          <w:p>
            <w:pPr>
              <w:ind w:leftChars="30" w:left="60"/>
              <w:jc w:val="center"/>
              <w:rPr>
                <w:rFonts w:ascii="Times New Roman" w:eastAsia="Times New Roman" w:hAnsi="Times New Roman" w:cs="Times New Roman"/>
                <w:b/>
                <w:bCs/>
                <w:sz w:val="22"/>
              </w:rPr>
            </w:pPr>
            <w:r>
              <w:rPr>
                <w:rFonts w:ascii="Times New Roman" w:eastAsia="Times New Roman" w:hAnsi="Times New Roman" w:cs="Times New Roman"/>
                <w:b/>
                <w:bCs/>
                <w:sz w:val="22"/>
              </w:rPr>
              <w:t>Manufacturer</w:t>
            </w:r>
          </w:p>
        </w:tc>
        <w:tc>
          <w:tcPr>
            <w:tcW w:w="1616" w:type="dxa"/>
            <w:vAlign w:val="center"/>
          </w:tcPr>
          <w:p>
            <w:pPr>
              <w:ind w:leftChars="30" w:left="60"/>
              <w:jc w:val="center"/>
              <w:rPr>
                <w:rFonts w:ascii="Times New Roman" w:eastAsia="Times New Roman" w:hAnsi="Times New Roman" w:cs="Times New Roman"/>
                <w:b/>
                <w:bCs/>
                <w:sz w:val="22"/>
              </w:rPr>
            </w:pPr>
            <w:r>
              <w:rPr>
                <w:rFonts w:ascii="Times New Roman" w:eastAsia="Times New Roman" w:hAnsi="Times New Roman" w:cs="Times New Roman"/>
                <w:b/>
                <w:bCs/>
                <w:sz w:val="22"/>
              </w:rPr>
              <w:t>Cat. No.</w:t>
            </w:r>
          </w:p>
        </w:tc>
        <w:tc>
          <w:tcPr>
            <w:tcW w:w="1524" w:type="dxa"/>
            <w:vAlign w:val="center"/>
          </w:tcPr>
          <w:p>
            <w:pPr>
              <w:ind w:leftChars="30" w:left="60"/>
              <w:jc w:val="center"/>
              <w:rPr>
                <w:rFonts w:ascii="Times New Roman" w:eastAsia="Times New Roman" w:hAnsi="Times New Roman" w:cs="Times New Roman"/>
                <w:b/>
                <w:bCs/>
                <w:sz w:val="22"/>
              </w:rPr>
            </w:pPr>
            <w:r>
              <w:rPr>
                <w:rFonts w:ascii="Times New Roman" w:eastAsia="Times New Roman" w:hAnsi="Times New Roman" w:cs="Times New Roman"/>
                <w:b/>
                <w:bCs/>
                <w:sz w:val="22"/>
              </w:rPr>
              <w:t>Working dilution</w:t>
            </w:r>
          </w:p>
        </w:tc>
      </w:tr>
      <w:tr>
        <w:trPr>
          <w:trHeight w:val="541" w:hRule="atLeast"/>
        </w:trPr>
        <w:tc>
          <w:tcPr>
            <w:tcW w:w="1570"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PDX1</w:t>
            </w:r>
          </w:p>
        </w:tc>
        <w:tc>
          <w:tcPr>
            <w:tcW w:w="233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Alexa Fluor® 488-conjugated anti-PDX1</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Bioss</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bs-0923R-A488</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1:50</w:t>
            </w:r>
          </w:p>
        </w:tc>
      </w:tr>
      <w:tr>
        <w:trPr>
          <w:trHeight w:val="541" w:hRule="atLeast"/>
        </w:trPr>
        <w:tc>
          <w:tcPr>
            <w:tcW w:w="1570"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CDH1</w:t>
            </w:r>
          </w:p>
        </w:tc>
        <w:tc>
          <w:tcPr>
            <w:tcW w:w="233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Alexa Fluor® 594-conjugated anti-CDH1</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Cell Signaling Technology</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7687</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1:50</w:t>
            </w:r>
          </w:p>
        </w:tc>
      </w:tr>
      <w:tr>
        <w:trPr>
          <w:trHeight w:val="541" w:hRule="atLeast"/>
        </w:trPr>
        <w:tc>
          <w:tcPr>
            <w:tcW w:w="1570"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KRT8</w:t>
            </w:r>
          </w:p>
        </w:tc>
        <w:tc>
          <w:tcPr>
            <w:tcW w:w="233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Alexa Fluor® 647-conjugated anti-KRT8</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Abcam</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ab192468</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1:50</w:t>
            </w:r>
          </w:p>
        </w:tc>
      </w:tr>
      <w:tr>
        <w:trPr>
          <w:trHeight w:val="541" w:hRule="atLeast"/>
        </w:trPr>
        <w:tc>
          <w:tcPr>
            <w:tcW w:w="1570"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CLDN18</w:t>
            </w:r>
          </w:p>
        </w:tc>
        <w:tc>
          <w:tcPr>
            <w:tcW w:w="233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PE-conjugated anti-CLDN18</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Miltenyi</w:t>
            </w:r>
            <w:r>
              <w:rPr>
                <w:rFonts w:ascii="Times New Roman" w:eastAsia="Times New Roman" w:hAnsi="Times New Roman" w:cs="Times New Roman"/>
                <w:sz w:val="22"/>
              </w:rPr>
              <w:t xml:space="preserve"> </w:t>
            </w:r>
            <w:r>
              <w:rPr>
                <w:rFonts w:ascii="Times New Roman" w:eastAsia="Times New Roman" w:hAnsi="Times New Roman" w:cs="Times New Roman"/>
                <w:sz w:val="22"/>
              </w:rPr>
              <w:t>Biotec</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130-127-273</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1:50</w:t>
            </w:r>
          </w:p>
        </w:tc>
      </w:tr>
      <w:tr>
        <w:trPr>
          <w:trHeight w:val="541" w:hRule="atLeast"/>
        </w:trPr>
        <w:tc>
          <w:tcPr>
            <w:tcW w:w="1570"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MUC6</w:t>
            </w:r>
          </w:p>
        </w:tc>
        <w:tc>
          <w:tcPr>
            <w:tcW w:w="233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DyLight</w:t>
            </w:r>
            <w:r>
              <w:rPr>
                <w:rFonts w:ascii="Times New Roman" w:eastAsia="Times New Roman" w:hAnsi="Times New Roman" w:cs="Times New Roman"/>
                <w:sz w:val="22"/>
              </w:rPr>
              <w:t xml:space="preserve"> 650-conjugated anti-MUC6</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Novus Biologicals</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NBP3-08352C</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1:100</w:t>
            </w:r>
          </w:p>
        </w:tc>
      </w:tr>
      <w:tr>
        <w:trPr>
          <w:trHeight w:val="541" w:hRule="atLeast"/>
        </w:trPr>
        <w:tc>
          <w:tcPr>
            <w:tcW w:w="1570"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MUC5AC</w:t>
            </w:r>
          </w:p>
        </w:tc>
        <w:tc>
          <w:tcPr>
            <w:tcW w:w="233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PE-conjugated anti-MUC5AC</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Miltenyi</w:t>
            </w:r>
            <w:r>
              <w:rPr>
                <w:rFonts w:ascii="Times New Roman" w:eastAsia="Times New Roman" w:hAnsi="Times New Roman" w:cs="Times New Roman"/>
                <w:sz w:val="22"/>
              </w:rPr>
              <w:t xml:space="preserve"> </w:t>
            </w:r>
            <w:r>
              <w:rPr>
                <w:rFonts w:ascii="Times New Roman" w:eastAsia="Times New Roman" w:hAnsi="Times New Roman" w:cs="Times New Roman"/>
                <w:sz w:val="22"/>
              </w:rPr>
              <w:t>Biotec</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130-127-552</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1:50</w:t>
            </w:r>
          </w:p>
        </w:tc>
      </w:tr>
      <w:tr>
        <w:trPr>
          <w:trHeight w:val="541" w:hRule="atLeast"/>
        </w:trPr>
        <w:tc>
          <w:tcPr>
            <w:tcW w:w="1570" w:type="dxa"/>
            <w:vAlign w:val="center"/>
          </w:tcPr>
          <w:p>
            <w:pPr>
              <w:ind w:leftChars="30" w:left="6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c-KIT</w:t>
            </w:r>
          </w:p>
        </w:tc>
        <w:tc>
          <w:tcPr>
            <w:tcW w:w="2334" w:type="dxa"/>
            <w:vAlign w:val="center"/>
          </w:tcPr>
          <w:p>
            <w:pPr>
              <w:ind w:leftChars="30" w:left="6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anti-c-KIT</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Invitrogen</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MA5-15894</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1:200</w:t>
            </w:r>
          </w:p>
        </w:tc>
      </w:tr>
      <w:tr>
        <w:trPr>
          <w:trHeight w:val="541" w:hRule="atLeast"/>
        </w:trPr>
        <w:tc>
          <w:tcPr>
            <w:tcW w:w="1570" w:type="dxa"/>
            <w:vAlign w:val="center"/>
          </w:tcPr>
          <w:p>
            <w:pPr>
              <w:ind w:leftChars="30" w:left="6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PDGFRα</w:t>
            </w:r>
          </w:p>
        </w:tc>
        <w:tc>
          <w:tcPr>
            <w:tcW w:w="2334" w:type="dxa"/>
            <w:vAlign w:val="center"/>
          </w:tcPr>
          <w:p>
            <w:pPr>
              <w:ind w:leftChars="30" w:left="6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anti-PDGFRα</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Cell Signaling Technology</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3164</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1:200</w:t>
            </w:r>
          </w:p>
        </w:tc>
      </w:tr>
      <w:tr>
        <w:trPr>
          <w:trHeight w:val="541" w:hRule="atLeast"/>
        </w:trPr>
        <w:tc>
          <w:tcPr>
            <w:tcW w:w="1570" w:type="dxa"/>
            <w:vAlign w:val="center"/>
          </w:tcPr>
          <w:p>
            <w:pPr>
              <w:ind w:leftChars="30" w:left="60"/>
              <w:jc w:val="center"/>
              <w:rPr>
                <w:rFonts w:ascii="Times New Roman" w:hAnsi="Times New Roman" w:cs="Times New Roman"/>
                <w:color w:val="000000"/>
                <w:sz w:val="22"/>
              </w:rPr>
            </w:pPr>
            <w:r>
              <w:rPr>
                <w:rFonts w:ascii="Times New Roman" w:hAnsi="Times New Roman" w:cs="Times New Roman"/>
                <w:color w:val="000000"/>
                <w:sz w:val="22"/>
              </w:rPr>
              <w:t xml:space="preserve">Secondary antibody for </w:t>
            </w:r>
          </w:p>
          <w:p>
            <w:pPr>
              <w:ind w:leftChars="30" w:left="60"/>
              <w:jc w:val="center"/>
              <w:rPr>
                <w:rFonts w:ascii="Times New Roman" w:hAnsi="Times New Roman" w:cs="Times New Roman"/>
                <w:color w:val="000000"/>
                <w:sz w:val="22"/>
              </w:rPr>
            </w:pPr>
            <w:r>
              <w:rPr>
                <w:rFonts w:ascii="Times New Roman" w:hAnsi="Times New Roman" w:cs="Times New Roman"/>
                <w:color w:val="000000"/>
                <w:sz w:val="22"/>
              </w:rPr>
              <w:t>c-KIT</w:t>
            </w:r>
          </w:p>
        </w:tc>
        <w:tc>
          <w:tcPr>
            <w:tcW w:w="2334" w:type="dxa"/>
            <w:vAlign w:val="center"/>
          </w:tcPr>
          <w:p>
            <w:pPr>
              <w:ind w:leftChars="30" w:left="6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Donkey anti-Mouse IgG, Alexa Fluor® 488</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Invitrogen</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A21202</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1:200</w:t>
            </w:r>
          </w:p>
        </w:tc>
      </w:tr>
      <w:tr>
        <w:trPr>
          <w:trHeight w:val="541" w:hRule="atLeast"/>
        </w:trPr>
        <w:tc>
          <w:tcPr>
            <w:tcW w:w="1570" w:type="dxa"/>
            <w:vAlign w:val="center"/>
          </w:tcPr>
          <w:p>
            <w:pPr>
              <w:ind w:leftChars="30" w:left="60"/>
              <w:jc w:val="center"/>
              <w:rPr>
                <w:rFonts w:ascii="Times New Roman" w:eastAsia="Times New Roman" w:hAnsi="Times New Roman" w:cs="Times New Roman"/>
                <w:color w:val="000000"/>
                <w:sz w:val="22"/>
              </w:rPr>
            </w:pPr>
            <w:r>
              <w:rPr>
                <w:rFonts w:ascii="Times New Roman" w:hAnsi="Times New Roman" w:cs="Times New Roman"/>
                <w:color w:val="000000"/>
                <w:sz w:val="22"/>
              </w:rPr>
              <w:t xml:space="preserve">Secondary antibody for PDGFRα </w:t>
            </w:r>
          </w:p>
        </w:tc>
        <w:tc>
          <w:tcPr>
            <w:tcW w:w="2334" w:type="dxa"/>
            <w:vAlign w:val="center"/>
          </w:tcPr>
          <w:p>
            <w:pPr>
              <w:ind w:leftChars="30" w:left="60"/>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Donkey anti-Rabbit IgG, Alexa Fluor® 647</w:t>
            </w:r>
          </w:p>
        </w:tc>
        <w:tc>
          <w:tcPr>
            <w:tcW w:w="1952"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Invitrogen</w:t>
            </w:r>
          </w:p>
        </w:tc>
        <w:tc>
          <w:tcPr>
            <w:tcW w:w="1616"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A31573</w:t>
            </w:r>
          </w:p>
        </w:tc>
        <w:tc>
          <w:tcPr>
            <w:tcW w:w="1524" w:type="dxa"/>
            <w:vAlign w:val="center"/>
          </w:tcPr>
          <w:p>
            <w:pPr>
              <w:ind w:leftChars="30" w:left="60"/>
              <w:jc w:val="center"/>
              <w:rPr>
                <w:rFonts w:ascii="Times New Roman" w:eastAsia="Times New Roman" w:hAnsi="Times New Roman" w:cs="Times New Roman"/>
                <w:sz w:val="22"/>
              </w:rPr>
            </w:pPr>
            <w:r>
              <w:rPr>
                <w:rFonts w:ascii="Times New Roman" w:eastAsia="Times New Roman" w:hAnsi="Times New Roman" w:cs="Times New Roman"/>
                <w:sz w:val="22"/>
              </w:rPr>
              <w:t>1:200</w:t>
            </w:r>
          </w:p>
        </w:tc>
      </w:tr>
    </w:tbl>
    <w:p/>
    <w:p>
      <w:pPr>
        <w:autoSpaceDE/>
        <w:autoSpaceDN/>
        <w:widowControl/>
        <w:wordWrap/>
        <w:rPr>
          <w:rFonts w:ascii="Times New Roman" w:hAnsi="Times New Roman" w:cs="Times New Roman"/>
          <w:sz w:val="22"/>
        </w:rPr>
      </w:pPr>
      <w:r>
        <w:rPr>
          <w:rFonts w:ascii="Times New Roman" w:hAnsi="Times New Roman" w:cs="Times New Roman"/>
          <w:sz w:val="22"/>
        </w:rPr>
        <w:br w:type="page"/>
      </w:r>
    </w:p>
    <w:p>
      <w:pPr>
        <w:pStyle w:val="a3"/>
        <w:ind w:leftChars="0" w:left="0"/>
        <w:jc w:val="both"/>
        <w:spacing w:line="480" w:lineRule="auto"/>
        <w:rPr>
          <w:lang w:eastAsia="ko-KR"/>
          <w:rFonts w:ascii="Times New Roman" w:hAnsi="Times New Roman" w:cs="Times New Roman" w:hint="eastAsia"/>
          <w:b w:val="0"/>
          <w:bCs w:val="0"/>
          <w:color w:val="000000"/>
          <w:sz w:val="22"/>
          <w:rtl w:val="off"/>
        </w:rPr>
      </w:pPr>
      <w:r>
        <w:rPr>
          <w:rFonts w:ascii="Times New Roman" w:hAnsi="Times New Roman" w:cs="Times New Roman" w:hint="eastAsia"/>
          <w:b/>
          <w:bCs/>
          <w:color w:val="000000"/>
          <w:sz w:val="22"/>
        </w:rPr>
        <w:t xml:space="preserve">Supplementary Table S3. </w:t>
      </w:r>
      <w:r>
        <w:rPr>
          <w:rFonts w:ascii="Times New Roman" w:hAnsi="Times New Roman" w:cs="Times New Roman" w:hint="eastAsia"/>
          <w:b w:val="0"/>
          <w:bCs w:val="0"/>
          <w:color w:val="000000"/>
          <w:sz w:val="22"/>
        </w:rPr>
        <w:t>Differentially expressed genes identified by bulk RNA-seq analysis</w:t>
      </w:r>
    </w:p>
    <w:p>
      <w:pPr>
        <w:pStyle w:val="a3"/>
        <w:ind w:leftChars="0" w:left="0"/>
        <w:jc w:val="both"/>
        <w:spacing w:line="480" w:lineRule="auto"/>
        <w:rPr>
          <w:rFonts w:ascii="Times New Roman" w:hAnsi="Times New Roman" w:cs="Times New Roman"/>
          <w:b w:val="0"/>
          <w:bCs w:val="0"/>
          <w:i/>
          <w:iCs/>
          <w:color w:val="000000"/>
          <w:sz w:val="22"/>
        </w:rPr>
      </w:pPr>
      <w:r>
        <w:rPr>
          <w:rFonts w:ascii="Times New Roman" w:hAnsi="Times New Roman" w:cs="Times New Roman"/>
          <w:b w:val="0"/>
          <w:bCs w:val="0"/>
          <w:i/>
          <w:iCs/>
          <w:color w:val="0000FF"/>
          <w:sz w:val="22"/>
        </w:rPr>
        <w:t>Supplementary Table S3 is provided as a separate multi-sheet Excel file. The following legend describes the contents and structure of the Excel worksheets.</w:t>
      </w:r>
    </w:p>
    <w:p>
      <w:pPr>
        <w:pStyle w:val="a3"/>
        <w:ind w:leftChars="0" w:left="0"/>
        <w:jc w:val="both"/>
        <w:spacing w:line="480" w:lineRule="auto"/>
        <w:rPr>
          <w:rFonts w:ascii="Times New Roman" w:hAnsi="Times New Roman" w:cs="Times New Roman"/>
          <w:b/>
          <w:bCs/>
          <w:color w:val="FF0000"/>
          <w:sz w:val="22"/>
        </w:rPr>
      </w:pPr>
      <w:r>
        <w:rPr>
          <w:rFonts w:ascii="Times New Roman" w:hAnsi="Times New Roman" w:cs="Times New Roman"/>
          <w:b w:val="0"/>
          <w:bCs w:val="0"/>
          <w:i w:val="0"/>
          <w:iCs w:val="0"/>
          <w:color w:val="000000"/>
          <w:sz w:val="22"/>
        </w:rPr>
        <w:t>This supplementary table contains lists of differentially expressed genes (DEGs) identified by bulk RNA-seq analysis. The six worksheets include upregulated and downregulated DEGs in differentiated hGAOs compared with undifferentiated hiPSCs; upregulated and downregulated DEGs in the Lo → Veh group compared with the Veh-only group; and upregulated and downregulated DEGs in the Lo → Mo group compared with the Lo → Veh group. Each worksheet provides the gene symbol, gene description, fold-change value, false discovery rate (FDR), and group-specific expression values expressed as counts per million (CPM). DEG selection criteria were applied as described in the Methods section.</w:t>
      </w:r>
      <w:r>
        <w:rPr>
          <w:lang w:eastAsia="ko-KR"/>
          <w:rFonts w:ascii="Times New Roman" w:hAnsi="Times New Roman" w:cs="Times New Roman"/>
          <w:b w:val="0"/>
          <w:bCs w:val="0"/>
          <w:i w:val="0"/>
          <w:iCs w:val="0"/>
          <w:color w:val="000000"/>
          <w:sz w:val="22"/>
          <w:rtl w:val="off"/>
        </w:rPr>
        <w:t xml:space="preserve"> </w:t>
      </w:r>
      <w:r>
        <w:rPr>
          <w:rFonts w:ascii="Times New Roman" w:hAnsi="Times New Roman" w:cs="Times New Roman"/>
          <w:b w:val="0"/>
          <w:bCs w:val="0"/>
          <w:i w:val="0"/>
          <w:iCs w:val="0"/>
          <w:color w:val="000000"/>
          <w:sz w:val="22"/>
        </w:rPr>
        <w:t>DEG, differentially expressed gene; CPM, counts per million; FDR, false discovery rate; hiPSCs, human induced pluripotent stem cells; hGAOs, human iPSC-derived gastric antrum organoids; Veh, vehicle; Lo, loperamide; Mo, mosapride.</w:t>
      </w:r>
    </w:p>
    <w:p>
      <w:pPr>
        <w:pStyle w:val="a3"/>
        <w:ind w:leftChars="0" w:left="0"/>
        <w:jc w:val="left"/>
        <w:spacing w:line="480" w:lineRule="auto"/>
        <w:rPr>
          <w:rFonts w:ascii="Times New Roman" w:hAnsi="Times New Roman" w:cs="Times New Roman"/>
          <w:b/>
          <w:bCs/>
          <w:color w:val="000000"/>
          <w:sz w:val="22"/>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val="0"/>
          <w:bCs w:val="0"/>
          <w:color w:val="000000"/>
          <w:sz w:val="22"/>
          <w:rtl w:val="off"/>
        </w:rPr>
      </w:pPr>
      <w:r>
        <w:rPr>
          <w:rFonts w:ascii="Times New Roman" w:hAnsi="Times New Roman" w:cs="Times New Roman" w:hint="eastAsia"/>
          <w:b/>
          <w:bCs/>
          <w:color w:val="000000"/>
          <w:sz w:val="22"/>
        </w:rPr>
        <w:t>Supplementary Table S</w:t>
      </w:r>
      <w:r>
        <w:rPr>
          <w:rFonts w:ascii="Times New Roman" w:hAnsi="Times New Roman" w:cs="Times New Roman"/>
          <w:b/>
          <w:bCs/>
          <w:color w:val="000000"/>
          <w:sz w:val="22"/>
        </w:rPr>
        <w:t>4</w:t>
      </w:r>
      <w:r>
        <w:rPr>
          <w:rFonts w:ascii="Times New Roman" w:hAnsi="Times New Roman" w:cs="Times New Roman" w:hint="eastAsia"/>
          <w:b/>
          <w:bCs/>
          <w:color w:val="000000"/>
          <w:sz w:val="22"/>
        </w:rPr>
        <w:t xml:space="preserve">. </w:t>
      </w:r>
      <w:r>
        <w:rPr>
          <w:rFonts w:ascii="Times New Roman" w:hAnsi="Times New Roman" w:cs="Times New Roman" w:hint="eastAsia"/>
          <w:b w:val="0"/>
          <w:bCs w:val="0"/>
          <w:color w:val="000000"/>
          <w:sz w:val="22"/>
        </w:rPr>
        <w:t>Pathway enrichment analysis of differentiated hGAOs compared with undifferentiated hiPSCs</w:t>
      </w:r>
    </w:p>
    <w:p>
      <w:pPr>
        <w:pStyle w:val="a3"/>
        <w:ind w:leftChars="0" w:left="0"/>
        <w:jc w:val="both"/>
        <w:spacing w:line="480" w:lineRule="auto"/>
        <w:rPr>
          <w:rFonts w:ascii="Times New Roman" w:hAnsi="Times New Roman" w:cs="Times New Roman"/>
          <w:b w:val="0"/>
          <w:bCs w:val="0"/>
          <w:color w:val="000000"/>
          <w:sz w:val="22"/>
        </w:rPr>
      </w:pPr>
      <w:r>
        <w:rPr>
          <w:rFonts w:ascii="Times New Roman" w:hAnsi="Times New Roman" w:cs="Times New Roman"/>
          <w:b w:val="0"/>
          <w:bCs w:val="0"/>
          <w:i/>
          <w:iCs/>
          <w:color w:val="0000FF"/>
          <w:sz w:val="22"/>
        </w:rPr>
        <w:t>Supplementary Table S4 is provided as a separate multi-sheet Excel file. The following legend describes the contents and structure of the Excel worksheets.</w:t>
      </w:r>
    </w:p>
    <w:p>
      <w:pPr>
        <w:pStyle w:val="a3"/>
        <w:ind w:leftChars="0" w:left="0"/>
        <w:jc w:val="both"/>
        <w:spacing w:line="480" w:lineRule="auto"/>
        <w:rPr>
          <w:lang w:eastAsia="ko-KR"/>
          <w:rFonts w:ascii="Times New Roman" w:hAnsi="Times New Roman" w:cs="Times New Roman" w:hint="eastAsia"/>
          <w:b w:val="0"/>
          <w:bCs w:val="0"/>
          <w:color w:val="000000"/>
          <w:sz w:val="22"/>
          <w:rtl w:val="off"/>
        </w:rPr>
      </w:pPr>
      <w:r>
        <w:rPr>
          <w:rFonts w:ascii="Times New Roman" w:hAnsi="Times New Roman" w:cs="Times New Roman"/>
          <w:b w:val="0"/>
          <w:bCs w:val="0"/>
          <w:color w:val="000000"/>
          <w:sz w:val="22"/>
        </w:rPr>
        <w:t>This supplementary table contains pathway enrichment analysis results for genes differentially expressed between differentiated hGAOs and undifferentiated hiPSCs. The four worksheets include enriched pathways identified from this comparison; upregulated genes associated with selected neuron development-related pathways, including “neuron projection morphogenesis,” “neuron development,” and “axonogenesis”; upregulated genes associated with the muscle development-related pathway “muscle structure development”; and downregulated genes associated with selected cell cycle-related pathways, including “Cell Cycle,” “Cell Cycle, Mitotic,” and “mitotic cell cycle.” Pathway enrichment analysis was performed using Metascape with the Gene Ontology, KEGG, Reactome, and WikiPathways databases.</w:t>
      </w:r>
      <w:r>
        <w:rPr>
          <w:lang w:eastAsia="ko-KR"/>
          <w:rFonts w:ascii="Times New Roman" w:hAnsi="Times New Roman" w:cs="Times New Roman"/>
          <w:b w:val="0"/>
          <w:bCs w:val="0"/>
          <w:color w:val="000000"/>
          <w:sz w:val="22"/>
          <w:rtl w:val="off"/>
        </w:rPr>
        <w:t xml:space="preserve"> </w:t>
      </w:r>
      <w:r>
        <w:rPr>
          <w:rFonts w:ascii="Times New Roman" w:hAnsi="Times New Roman" w:cs="Times New Roman"/>
          <w:b w:val="0"/>
          <w:bCs w:val="0"/>
          <w:color w:val="000000"/>
          <w:sz w:val="22"/>
        </w:rPr>
        <w:t>GO, Gene Ontology; KEGG, Kyoto Encyclopedia of Genes and Genomes; hiPSCs, human induced pluripotent stem cells; hGAOs, human iPSC-derived gastric antrum organoids.</w:t>
      </w:r>
    </w:p>
    <w:p>
      <w:pPr>
        <w:pStyle w:val="a3"/>
        <w:ind w:leftChars="0" w:left="0"/>
        <w:jc w:val="both"/>
        <w:spacing w:line="480" w:lineRule="auto"/>
        <w:rPr>
          <w:lang w:eastAsia="ko-KR"/>
          <w:rFonts w:ascii="Times New Roman" w:hAnsi="Times New Roman" w:cs="Times New Roman" w:hint="eastAsia"/>
          <w:b/>
          <w:bCs/>
          <w:color w:val="FF0000"/>
          <w:sz w:val="22"/>
          <w:rtl w:val="off"/>
        </w:rPr>
      </w:pPr>
    </w:p>
    <w:p>
      <w:pPr>
        <w:pStyle w:val="a3"/>
        <w:ind w:leftChars="0" w:left="0"/>
        <w:jc w:val="both"/>
        <w:spacing w:line="480" w:lineRule="auto"/>
        <w:rPr>
          <w:lang w:eastAsia="ko-KR"/>
          <w:rFonts w:ascii="Times New Roman" w:hAnsi="Times New Roman" w:cs="Times New Roman" w:hint="eastAsia"/>
          <w:b/>
          <w:bCs/>
          <w:color w:val="FF0000"/>
          <w:sz w:val="22"/>
          <w:rtl w:val="off"/>
        </w:rPr>
      </w:pPr>
    </w:p>
    <w:p>
      <w:pPr>
        <w:pStyle w:val="a3"/>
        <w:ind w:leftChars="0" w:left="0"/>
        <w:jc w:val="both"/>
        <w:spacing w:line="480" w:lineRule="auto"/>
        <w:rPr>
          <w:lang w:eastAsia="ko-KR"/>
          <w:rFonts w:ascii="Times New Roman" w:hAnsi="Times New Roman" w:cs="Times New Roman" w:hint="eastAsia"/>
          <w:b/>
          <w:bCs/>
          <w:color w:val="FF0000"/>
          <w:sz w:val="22"/>
          <w:rtl w:val="off"/>
        </w:rPr>
      </w:pPr>
    </w:p>
    <w:p>
      <w:pPr>
        <w:pStyle w:val="a3"/>
        <w:ind w:leftChars="0" w:left="0"/>
        <w:jc w:val="both"/>
        <w:spacing w:line="480" w:lineRule="auto"/>
        <w:rPr>
          <w:lang w:eastAsia="ko-KR"/>
          <w:rFonts w:ascii="Times New Roman" w:hAnsi="Times New Roman" w:cs="Times New Roman" w:hint="eastAsia"/>
          <w:b/>
          <w:bCs/>
          <w:color w:val="FF0000"/>
          <w:sz w:val="22"/>
          <w:rtl w:val="off"/>
        </w:rPr>
      </w:pPr>
    </w:p>
    <w:p>
      <w:pPr>
        <w:pStyle w:val="a3"/>
        <w:ind w:leftChars="0" w:left="0"/>
        <w:jc w:val="both"/>
        <w:spacing w:line="480" w:lineRule="auto"/>
        <w:rPr>
          <w:lang w:eastAsia="ko-KR"/>
          <w:rFonts w:ascii="Times New Roman" w:hAnsi="Times New Roman" w:cs="Times New Roman" w:hint="eastAsia"/>
          <w:b/>
          <w:bCs/>
          <w:color w:val="FF0000"/>
          <w:sz w:val="22"/>
          <w:rtl w:val="off"/>
        </w:rPr>
      </w:pPr>
    </w:p>
    <w:p>
      <w:pPr>
        <w:pStyle w:val="a3"/>
        <w:ind w:leftChars="0" w:left="0"/>
        <w:jc w:val="both"/>
        <w:spacing w:line="480" w:lineRule="auto"/>
        <w:rPr>
          <w:lang w:eastAsia="ko-KR"/>
          <w:rFonts w:ascii="Times New Roman" w:hAnsi="Times New Roman" w:cs="Times New Roman" w:hint="eastAsia"/>
          <w:b/>
          <w:bCs/>
          <w:color w:val="FF0000"/>
          <w:sz w:val="22"/>
          <w:rtl w:val="off"/>
        </w:rPr>
      </w:pPr>
    </w:p>
    <w:p>
      <w:pPr>
        <w:pStyle w:val="a3"/>
        <w:ind w:leftChars="0" w:left="0"/>
        <w:jc w:val="both"/>
        <w:spacing w:line="480" w:lineRule="auto"/>
        <w:rPr>
          <w:lang w:eastAsia="ko-KR"/>
          <w:rFonts w:ascii="Times New Roman" w:hAnsi="Times New Roman" w:cs="Times New Roman" w:hint="eastAsia"/>
          <w:b/>
          <w:bCs/>
          <w:color w:val="FF0000"/>
          <w:sz w:val="22"/>
          <w:rtl w:val="off"/>
        </w:rPr>
      </w:pPr>
    </w:p>
    <w:p>
      <w:pPr>
        <w:pStyle w:val="a3"/>
        <w:ind w:leftChars="0" w:left="0"/>
        <w:jc w:val="both"/>
        <w:spacing w:line="480" w:lineRule="auto"/>
        <w:rPr>
          <w:lang w:eastAsia="ko-KR"/>
          <w:rFonts w:ascii="Times New Roman" w:hAnsi="Times New Roman" w:cs="Times New Roman" w:hint="eastAsia"/>
          <w:b/>
          <w:bCs/>
          <w:color w:val="FF0000"/>
          <w:sz w:val="22"/>
          <w:rtl w:val="off"/>
        </w:rPr>
      </w:pPr>
    </w:p>
    <w:p>
      <w:pPr>
        <w:pStyle w:val="a3"/>
        <w:ind w:leftChars="0" w:left="0"/>
        <w:jc w:val="both"/>
        <w:spacing w:line="480" w:lineRule="auto"/>
        <w:rPr>
          <w:lang w:eastAsia="ko-KR"/>
          <w:rFonts w:ascii="Times New Roman" w:hAnsi="Times New Roman" w:cs="Times New Roman" w:hint="eastAsia"/>
          <w:b/>
          <w:bCs/>
          <w:color w:val="FF0000"/>
          <w:sz w:val="22"/>
          <w:rtl w:val="off"/>
        </w:rPr>
      </w:pPr>
    </w:p>
    <w:p>
      <w:pPr>
        <w:pStyle w:val="a3"/>
        <w:ind w:leftChars="0" w:left="0"/>
        <w:jc w:val="both"/>
        <w:spacing w:line="480" w:lineRule="auto"/>
        <w:rPr>
          <w:lang w:eastAsia="ko-KR"/>
          <w:rFonts w:ascii="Times New Roman" w:hAnsi="Times New Roman" w:cs="Times New Roman" w:hint="eastAsia"/>
          <w:b w:val="0"/>
          <w:bCs w:val="0"/>
          <w:color w:val="000000"/>
          <w:sz w:val="22"/>
          <w:rtl w:val="off"/>
        </w:rPr>
      </w:pPr>
      <w:r>
        <w:rPr>
          <w:rFonts w:ascii="Times New Roman" w:hAnsi="Times New Roman" w:cs="Times New Roman" w:hint="eastAsia"/>
          <w:b/>
          <w:bCs/>
          <w:color w:val="000000"/>
          <w:sz w:val="22"/>
        </w:rPr>
        <w:t>Supplementary Table S</w:t>
      </w:r>
      <w:r>
        <w:rPr>
          <w:rFonts w:ascii="Times New Roman" w:hAnsi="Times New Roman" w:cs="Times New Roman"/>
          <w:b/>
          <w:bCs/>
          <w:color w:val="000000"/>
          <w:sz w:val="22"/>
        </w:rPr>
        <w:t>5</w:t>
      </w:r>
      <w:r>
        <w:rPr>
          <w:rFonts w:ascii="Times New Roman" w:hAnsi="Times New Roman" w:cs="Times New Roman" w:hint="eastAsia"/>
          <w:b/>
          <w:bCs/>
          <w:color w:val="000000"/>
          <w:sz w:val="22"/>
        </w:rPr>
        <w:t xml:space="preserve">. </w:t>
      </w:r>
      <w:r>
        <w:rPr>
          <w:rFonts w:ascii="Times New Roman" w:hAnsi="Times New Roman" w:cs="Times New Roman" w:hint="eastAsia"/>
          <w:b w:val="0"/>
          <w:bCs w:val="0"/>
          <w:color w:val="000000"/>
          <w:sz w:val="22"/>
        </w:rPr>
        <w:t>Pathway enrichment analysis of persistent loperamide-associated transcriptomic changes in hGAOs</w:t>
      </w:r>
    </w:p>
    <w:p>
      <w:pPr>
        <w:pStyle w:val="a3"/>
        <w:ind w:leftChars="0" w:left="0"/>
        <w:jc w:val="both"/>
        <w:spacing w:line="480" w:lineRule="auto"/>
        <w:rPr>
          <w:lang w:eastAsia="ko-KR"/>
          <w:rFonts w:ascii="Times New Roman" w:hAnsi="Times New Roman" w:cs="Times New Roman" w:hint="eastAsia"/>
          <w:b w:val="0"/>
          <w:bCs w:val="0"/>
          <w:color w:val="000000"/>
          <w:sz w:val="22"/>
          <w:rtl w:val="off"/>
        </w:rPr>
      </w:pPr>
      <w:r>
        <w:rPr>
          <w:lang w:eastAsia="ko-KR"/>
          <w:rFonts w:ascii="Times New Roman" w:hAnsi="Times New Roman" w:cs="Times New Roman" w:hint="eastAsia"/>
          <w:b w:val="0"/>
          <w:bCs w:val="0"/>
          <w:i/>
          <w:iCs/>
          <w:color w:val="0000FF"/>
          <w:sz w:val="22"/>
          <w:rtl w:val="off"/>
        </w:rPr>
        <w:t>Supplementary Table S5 is provided as a separate multi-sheet Excel file. The following legend describes the contents and structure of the Excel worksheets.</w:t>
      </w:r>
    </w:p>
    <w:p>
      <w:pPr>
        <w:pStyle w:val="a3"/>
        <w:ind w:leftChars="0" w:left="0"/>
        <w:jc w:val="both"/>
        <w:spacing w:line="480" w:lineRule="auto"/>
        <w:rPr>
          <w:lang w:eastAsia="ko-KR"/>
          <w:rFonts w:ascii="Times New Roman" w:hAnsi="Times New Roman" w:cs="Times New Roman" w:hint="eastAsia"/>
          <w:b w:val="0"/>
          <w:bCs w:val="0"/>
          <w:color w:val="000000"/>
          <w:sz w:val="22"/>
          <w:rtl w:val="off"/>
        </w:rPr>
      </w:pPr>
      <w:r>
        <w:rPr>
          <w:lang w:eastAsia="ko-KR"/>
          <w:rFonts w:ascii="Times New Roman" w:hAnsi="Times New Roman" w:cs="Times New Roman" w:hint="eastAsia"/>
          <w:b w:val="0"/>
          <w:bCs w:val="0"/>
          <w:color w:val="000000"/>
          <w:sz w:val="22"/>
          <w:rtl w:val="off"/>
        </w:rPr>
        <w:t>This supplementary table contains pathway enrichment analysis results for genes differentially expressed in the Lo → Veh group relative to the Veh-only group. The five worksheets include enriched pathways identified from this comparison; downregulated genes associated with selected muscle-related pathways, including “muscle contraction,” “muscle system process,” “Cytoskeleton in muscle cells,” “muscle structure development,” and “regulation of muscle contraction”; downregulated genes associated with selected neuron-related pathways, including “synaptic signaling,” “trans-synaptic signaling,” and “Nervous system development”; upregulated genes associated with selected immune-related pathways, including “innate immune response,” “Cytokine Signaling in Immune system,” “Response to cytokine,” and “Interferon Signaling”; and downregulated genes associated with selected ion transport-related pathways, including “regulation of membrane potential,” “metal ion transport,” “monoatomic cation transmembrane transport,” “monoatomic cation transport,” “calcium ion transmembrane transport,” and “calcium ion transport.” These results represent transcriptomic alterations that persisted after 2 days of loperamide treatment followed by 4 days of vehicle treatment. Veh, vehicle; Lo, loperamide; Lo → Veh, loperamide treatment followed by vehicle treatment; hGAOs, human iPSC-derived gastric antrum organoids.</w:t>
      </w:r>
    </w:p>
    <w:p>
      <w:pPr>
        <w:pStyle w:val="a3"/>
        <w:ind w:leftChars="0" w:left="0"/>
        <w:jc w:val="left"/>
        <w:spacing w:line="480" w:lineRule="auto"/>
        <w:rPr>
          <w:rFonts w:ascii="Times New Roman" w:hAnsi="Times New Roman" w:cs="Times New Roman"/>
          <w:b/>
          <w:bCs/>
          <w:color w:val="000000"/>
          <w:sz w:val="22"/>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val="0"/>
          <w:bCs w:val="0"/>
          <w:color w:val="000000"/>
          <w:sz w:val="22"/>
          <w:rtl w:val="off"/>
        </w:rPr>
      </w:pPr>
      <w:r>
        <w:rPr>
          <w:rFonts w:ascii="Times New Roman" w:hAnsi="Times New Roman" w:cs="Times New Roman" w:hint="eastAsia"/>
          <w:b/>
          <w:bCs/>
          <w:color w:val="000000"/>
          <w:sz w:val="22"/>
        </w:rPr>
        <w:t>Supplementary Table S</w:t>
      </w:r>
      <w:r>
        <w:rPr>
          <w:rFonts w:ascii="Times New Roman" w:hAnsi="Times New Roman" w:cs="Times New Roman"/>
          <w:b/>
          <w:bCs/>
          <w:color w:val="000000"/>
          <w:sz w:val="22"/>
        </w:rPr>
        <w:t>6</w:t>
      </w:r>
      <w:r>
        <w:rPr>
          <w:rFonts w:ascii="Times New Roman" w:hAnsi="Times New Roman" w:cs="Times New Roman" w:hint="eastAsia"/>
          <w:b/>
          <w:bCs/>
          <w:color w:val="000000"/>
          <w:sz w:val="22"/>
        </w:rPr>
        <w:t xml:space="preserve">. </w:t>
      </w:r>
      <w:r>
        <w:rPr>
          <w:rFonts w:ascii="Times New Roman" w:hAnsi="Times New Roman" w:cs="Times New Roman" w:hint="eastAsia"/>
          <w:b w:val="0"/>
          <w:bCs w:val="0"/>
          <w:color w:val="000000"/>
          <w:sz w:val="22"/>
        </w:rPr>
        <w:t>Pathway enrichment analysis of the Lo → Mo group relative to the Lo → Veh group</w:t>
      </w:r>
    </w:p>
    <w:p>
      <w:pPr>
        <w:pStyle w:val="a3"/>
        <w:ind w:leftChars="0" w:left="0"/>
        <w:jc w:val="both"/>
        <w:spacing w:line="480" w:lineRule="auto"/>
        <w:rPr>
          <w:rFonts w:ascii="Times New Roman" w:hAnsi="Times New Roman" w:cs="Times New Roman"/>
          <w:b w:val="0"/>
          <w:bCs w:val="0"/>
          <w:color w:val="000000"/>
          <w:sz w:val="22"/>
        </w:rPr>
      </w:pPr>
      <w:r>
        <w:rPr>
          <w:rFonts w:ascii="Times New Roman" w:hAnsi="Times New Roman" w:cs="Times New Roman"/>
          <w:b w:val="0"/>
          <w:bCs w:val="0"/>
          <w:i/>
          <w:iCs/>
          <w:color w:val="0000FF"/>
          <w:sz w:val="22"/>
        </w:rPr>
        <w:t>Supplementary Table S6 is provided as a separate multi-sheet Excel file. The following legend describes the contents and structure of the Excel worksheets.</w:t>
      </w:r>
    </w:p>
    <w:p>
      <w:pPr>
        <w:pStyle w:val="a3"/>
        <w:ind w:leftChars="0" w:left="0"/>
        <w:jc w:val="both"/>
        <w:spacing w:line="480" w:lineRule="auto"/>
        <w:rPr>
          <w:lang w:eastAsia="ko-KR"/>
          <w:rFonts w:ascii="Times New Roman" w:hAnsi="Times New Roman" w:cs="Times New Roman" w:hint="eastAsia"/>
          <w:b w:val="0"/>
          <w:bCs w:val="0"/>
          <w:color w:val="000000"/>
          <w:sz w:val="22"/>
          <w:rtl w:val="off"/>
        </w:rPr>
      </w:pPr>
      <w:r>
        <w:rPr>
          <w:rFonts w:ascii="Times New Roman" w:hAnsi="Times New Roman" w:cs="Times New Roman"/>
          <w:b w:val="0"/>
          <w:bCs w:val="0"/>
          <w:color w:val="000000"/>
          <w:sz w:val="22"/>
        </w:rPr>
        <w:t>This supplementary table contains pathway enrichment analysis results for genes differentially expressed in the Lo → Mo group relative to the Lo → Veh group. The three worksheets include enriched pathways identified from this comparison; upregulated genes associated with selected neuron-related pathways, including “autonomic nervous system development,” “regulation of trans-synaptic signaling,” “regulation of nervous system development,” and “synapse organization”; and upregulated genes associated with selected muscle-related pathways, including “muscle system process,” “muscle organ development,” “muscle structure development,” and “muscle contraction.” These analyses were used to identify transcriptomic pathways associated with mosapride treatment following loperamide exposure.</w:t>
      </w:r>
      <w:r>
        <w:rPr>
          <w:lang w:eastAsia="ko-KR"/>
          <w:rFonts w:ascii="Times New Roman" w:hAnsi="Times New Roman" w:cs="Times New Roman"/>
          <w:b w:val="0"/>
          <w:bCs w:val="0"/>
          <w:color w:val="000000"/>
          <w:sz w:val="22"/>
          <w:rtl w:val="off"/>
        </w:rPr>
        <w:t xml:space="preserve"> </w:t>
      </w:r>
      <w:r>
        <w:rPr>
          <w:rFonts w:ascii="Times New Roman" w:hAnsi="Times New Roman" w:cs="Times New Roman"/>
          <w:b w:val="0"/>
          <w:bCs w:val="0"/>
          <w:color w:val="000000"/>
          <w:sz w:val="22"/>
        </w:rPr>
        <w:t>Lo, loperamide; Mo, mosapride; Lo → Veh, loperamide treatment followed by vehicle treatment; Lo → Mo, loperamide treatment followed by mosapride treatment.</w:t>
      </w:r>
    </w:p>
    <w:p>
      <w:pPr>
        <w:pStyle w:val="a3"/>
        <w:ind w:leftChars="0" w:left="0"/>
        <w:jc w:val="both"/>
        <w:spacing w:line="480" w:lineRule="auto"/>
        <w:rPr>
          <w:rFonts w:ascii="Times New Roman" w:hAnsi="Times New Roman" w:cs="Times New Roman"/>
          <w:b/>
          <w:bCs/>
          <w:color w:val="000000"/>
          <w:sz w:val="22"/>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bCs/>
          <w:color w:val="000000"/>
          <w:sz w:val="22"/>
          <w:rtl w:val="off"/>
        </w:rPr>
      </w:pPr>
    </w:p>
    <w:p>
      <w:pPr>
        <w:pStyle w:val="a3"/>
        <w:ind w:leftChars="0" w:left="0"/>
        <w:jc w:val="left"/>
        <w:spacing w:line="480" w:lineRule="auto"/>
        <w:rPr>
          <w:lang w:eastAsia="ko-KR"/>
          <w:rFonts w:ascii="Times New Roman" w:hAnsi="Times New Roman" w:cs="Times New Roman" w:hint="eastAsia"/>
          <w:b w:val="0"/>
          <w:bCs w:val="0"/>
          <w:color w:val="000000"/>
          <w:sz w:val="22"/>
          <w:rtl w:val="off"/>
        </w:rPr>
      </w:pPr>
      <w:r>
        <w:rPr>
          <w:rFonts w:ascii="Times New Roman" w:hAnsi="Times New Roman" w:cs="Times New Roman" w:hint="eastAsia"/>
          <w:b/>
          <w:bCs/>
          <w:color w:val="000000"/>
          <w:sz w:val="22"/>
        </w:rPr>
        <w:t>Supplementary Table S</w:t>
      </w:r>
      <w:r>
        <w:rPr>
          <w:rFonts w:ascii="Times New Roman" w:hAnsi="Times New Roman" w:cs="Times New Roman"/>
          <w:b/>
          <w:bCs/>
          <w:color w:val="000000"/>
          <w:sz w:val="22"/>
        </w:rPr>
        <w:t>7</w:t>
      </w:r>
      <w:r>
        <w:rPr>
          <w:rFonts w:ascii="Times New Roman" w:hAnsi="Times New Roman" w:cs="Times New Roman" w:hint="eastAsia"/>
          <w:b/>
          <w:bCs/>
          <w:color w:val="000000"/>
          <w:sz w:val="22"/>
        </w:rPr>
        <w:t xml:space="preserve">. </w:t>
      </w:r>
      <w:r>
        <w:rPr>
          <w:rFonts w:ascii="Times New Roman" w:hAnsi="Times New Roman" w:cs="Times New Roman"/>
          <w:b w:val="0"/>
          <w:bCs w:val="0"/>
          <w:color w:val="000000"/>
          <w:sz w:val="22"/>
        </w:rPr>
        <w:t>Mfuzz clustering assignments and membership values</w:t>
      </w:r>
    </w:p>
    <w:p>
      <w:pPr>
        <w:pStyle w:val="a3"/>
        <w:ind w:leftChars="0" w:left="0"/>
        <w:jc w:val="both"/>
        <w:spacing w:line="480" w:lineRule="auto"/>
        <w:rPr>
          <w:rFonts w:ascii="Times New Roman" w:eastAsia="Times New Roman" w:hAnsi="Times New Roman" w:cs="Times New Roman" w:hint="default"/>
          <w:i/>
          <w:iCs/>
          <w:sz w:val="22"/>
          <w:u w:color="auto"/>
        </w:rPr>
      </w:pPr>
      <w:r>
        <w:rPr>
          <w:rFonts w:ascii="Times New Roman" w:eastAsia="Times New Roman" w:hAnsi="Times New Roman" w:cs="Times New Roman" w:hint="default"/>
          <w:i/>
          <w:iCs/>
          <w:color w:val="0000FF"/>
          <w:sz w:val="22"/>
          <w:u w:color="auto"/>
        </w:rPr>
        <w:t>Supplementary Table S7 is provided as a separate Excel file. The following legend describes the contents and structure of the Excel worksheet.</w:t>
      </w:r>
    </w:p>
    <w:p>
      <w:pPr>
        <w:pStyle w:val="a3"/>
        <w:ind w:leftChars="0" w:left="0"/>
        <w:jc w:val="both"/>
        <w:spacing w:line="480" w:lineRule="auto"/>
        <w:rPr>
          <w:rFonts w:ascii="Times New Roman" w:eastAsia="Times New Roman" w:hAnsi="Times New Roman" w:cs="Times New Roman" w:hint="default"/>
          <w:sz w:val="22"/>
          <w:u w:color="auto"/>
        </w:rPr>
      </w:pPr>
      <w:r>
        <w:rPr>
          <w:rFonts w:ascii="Times New Roman" w:eastAsia="Times New Roman" w:hAnsi="Times New Roman" w:cs="Times New Roman" w:hint="default"/>
          <w:i w:val="0"/>
          <w:iCs w:val="0"/>
          <w:sz w:val="22"/>
          <w:u w:color="auto"/>
        </w:rPr>
        <w:t>This supplementary table contains the results of fuzzy c-means clustering performed using the Mfuzz package. The worksheet provides gene-level cluster assignments and membership values for the six expression clusters identified across the Veh-only, Lo → Veh, and Lo → Mo groups. It includes the gene symbol, assigned cluster, membership value, and standardized expression values across the three experimental conditions.</w:t>
      </w:r>
      <w:r>
        <w:rPr>
          <w:lang w:eastAsia="ko-KR"/>
          <w:rFonts w:ascii="Times New Roman" w:eastAsia="Times New Roman" w:hAnsi="Times New Roman" w:cs="Times New Roman" w:hint="default"/>
          <w:i w:val="0"/>
          <w:iCs w:val="0"/>
          <w:sz w:val="22"/>
          <w:u w:color="auto"/>
          <w:rtl w:val="off"/>
        </w:rPr>
        <w:t xml:space="preserve"> </w:t>
      </w:r>
      <w:r>
        <w:rPr>
          <w:rFonts w:ascii="Times New Roman" w:eastAsia="Times New Roman" w:hAnsi="Times New Roman" w:cs="Times New Roman" w:hint="default"/>
          <w:i w:val="0"/>
          <w:iCs w:val="0"/>
          <w:sz w:val="22"/>
          <w:u w:color="auto"/>
        </w:rPr>
        <w:t>Veh, vehicle; Lo, loperamide; Mo, mosapride; Lo → Veh, loperamide treatment followed by vehicle treatment; Lo → Mo, loperamide treatment followed by mosapride treatment.</w:t>
      </w:r>
    </w:p>
    <w:sectPr>
      <w:pgSz w:w="11906" w:h="16838"/>
      <w:pgMar w:top="1701" w:right="1440" w:bottom="1440" w:left="144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Times New Roman"/>
    <w:charset w:val="00"/>
    <w:notTrueType w:val="false"/>
    <w:sig w:usb0="E0002EFF" w:usb1="C000785B" w:usb2="00000009" w:usb3="00000001" w:csb0="400001FF" w:csb1="FFFF0000"/>
  </w:font>
  <w:font w:name="맑은 고딕">
    <w:panose1 w:val="020B0503020000020004"/>
    <w:family w:val="Malgun Gothic"/>
    <w:charset w:val="00"/>
    <w:notTrueType w:val="false"/>
    <w:sig w:usb0="9000002F" w:usb1="29D77CFB" w:usb2="00000012" w:usb3="00000001" w:csb0="00080001" w:csb1="00000001"/>
  </w:font>
  <w:font w:name="굴림">
    <w:panose1 w:val="020B0600000101010101"/>
    <w:family w:val="Gulim"/>
    <w:charset w:val="00"/>
    <w:notTrueType w:val="false"/>
    <w:sig w:usb0="B00002AF" w:usb1="69D77CFB" w:usb2="00000030" w:usb3="00000001"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153" w:unhideWhenUsed="1"/>
    <w:lsdException w:name="index 2" w:semiHidden="1" w:uiPriority="153" w:unhideWhenUsed="1"/>
    <w:lsdException w:name="index 3" w:semiHidden="1" w:uiPriority="153" w:unhideWhenUsed="1"/>
    <w:lsdException w:name="index 4" w:semiHidden="1" w:uiPriority="153" w:unhideWhenUsed="1"/>
    <w:lsdException w:name="index 5" w:semiHidden="1" w:uiPriority="153" w:unhideWhenUsed="1"/>
    <w:lsdException w:name="index 6" w:semiHidden="1" w:uiPriority="153" w:unhideWhenUsed="1"/>
    <w:lsdException w:name="index 7" w:semiHidden="1" w:uiPriority="153" w:unhideWhenUsed="1"/>
    <w:lsdException w:name="index 8" w:semiHidden="1" w:uiPriority="153" w:unhideWhenUsed="1"/>
    <w:lsdException w:name="index 9" w:semiHidden="1" w:uiPriority="153"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53" w:unhideWhenUsed="1"/>
    <w:lsdException w:name="footnote text" w:semiHidden="1" w:uiPriority="153" w:unhideWhenUsed="1"/>
    <w:lsdException w:name="annotation text" w:semiHidden="1" w:uiPriority="153" w:unhideWhenUsed="1"/>
    <w:lsdException w:name="header" w:semiHidden="1" w:uiPriority="153" w:unhideWhenUsed="1"/>
    <w:lsdException w:name="footer" w:semiHidden="1" w:uiPriority="153" w:unhideWhenUsed="1"/>
    <w:lsdException w:name="index heading" w:semiHidden="1" w:uiPriority="153" w:unhideWhenUsed="1"/>
    <w:lsdException w:name="caption" w:semiHidden="1" w:unhideWhenUsed="1" w:qFormat="1"/>
    <w:lsdException w:name="table of figures" w:semiHidden="1" w:uiPriority="153" w:unhideWhenUsed="1"/>
    <w:lsdException w:name="envelope address" w:semiHidden="1" w:uiPriority="153" w:unhideWhenUsed="1"/>
    <w:lsdException w:name="envelope return" w:semiHidden="1" w:uiPriority="153" w:unhideWhenUsed="1"/>
    <w:lsdException w:name="footnote reference" w:semiHidden="1" w:uiPriority="153" w:unhideWhenUsed="1"/>
    <w:lsdException w:name="annotation reference" w:semiHidden="1" w:uiPriority="153" w:unhideWhenUsed="1"/>
    <w:lsdException w:name="line number" w:semiHidden="1" w:uiPriority="153" w:unhideWhenUsed="1"/>
    <w:lsdException w:name="page number" w:semiHidden="1" w:uiPriority="153" w:unhideWhenUsed="1"/>
    <w:lsdException w:name="endnote reference" w:semiHidden="1" w:uiPriority="153" w:unhideWhenUsed="1"/>
    <w:lsdException w:name="endnote text" w:semiHidden="1" w:uiPriority="153" w:unhideWhenUsed="1"/>
    <w:lsdException w:name="table of authorities" w:semiHidden="1" w:uiPriority="153" w:unhideWhenUsed="1"/>
    <w:lsdException w:name="macro" w:semiHidden="1" w:uiPriority="153" w:unhideWhenUsed="1"/>
    <w:lsdException w:name="toa heading" w:semiHidden="1" w:uiPriority="153" w:unhideWhenUsed="1"/>
    <w:lsdException w:name="List" w:semiHidden="1" w:uiPriority="153" w:unhideWhenUsed="1"/>
    <w:lsdException w:name="List Bullet" w:semiHidden="1" w:uiPriority="153" w:unhideWhenUsed="1"/>
    <w:lsdException w:name="List Number" w:semiHidden="1" w:uiPriority="153" w:unhideWhenUsed="1"/>
    <w:lsdException w:name="List 2" w:semiHidden="1" w:uiPriority="153" w:unhideWhenUsed="1"/>
    <w:lsdException w:name="List 3" w:semiHidden="1" w:uiPriority="153" w:unhideWhenUsed="1"/>
    <w:lsdException w:name="List 4" w:semiHidden="1" w:uiPriority="153" w:unhideWhenUsed="1"/>
    <w:lsdException w:name="List 5" w:semiHidden="1" w:uiPriority="153" w:unhideWhenUsed="1"/>
    <w:lsdException w:name="List Bullet 2" w:semiHidden="1" w:uiPriority="153" w:unhideWhenUsed="1"/>
    <w:lsdException w:name="List Bullet 3" w:semiHidden="1" w:uiPriority="153" w:unhideWhenUsed="1"/>
    <w:lsdException w:name="List Bullet 4" w:semiHidden="1" w:uiPriority="153" w:unhideWhenUsed="1"/>
    <w:lsdException w:name="List Bullet 5" w:semiHidden="1" w:uiPriority="153" w:unhideWhenUsed="1"/>
    <w:lsdException w:name="List Number 2" w:semiHidden="1" w:uiPriority="153" w:unhideWhenUsed="1"/>
    <w:lsdException w:name="List Number 3" w:semiHidden="1" w:uiPriority="153" w:unhideWhenUsed="1"/>
    <w:lsdException w:name="List Number 4" w:semiHidden="1" w:uiPriority="153" w:unhideWhenUsed="1"/>
    <w:lsdException w:name="List Number 5" w:semiHidden="1" w:uiPriority="153" w:unhideWhenUsed="1"/>
    <w:lsdException w:name="Title" w:uiPriority="52" w:qFormat="1"/>
    <w:lsdException w:name="Closing" w:semiHidden="1" w:uiPriority="153" w:unhideWhenUsed="1"/>
    <w:lsdException w:name="Signature" w:semiHidden="1" w:uiPriority="153" w:unhideWhenUsed="1"/>
    <w:lsdException w:name="Default Paragraph Font" w:semiHidden="1" w:uiPriority="1" w:unhideWhenUsed="1"/>
    <w:lsdException w:name="Body Text" w:semiHidden="1" w:uiPriority="153" w:unhideWhenUsed="1"/>
    <w:lsdException w:name="Body Text Indent" w:semiHidden="1" w:uiPriority="153" w:unhideWhenUsed="1"/>
    <w:lsdException w:name="List Continue" w:semiHidden="1" w:uiPriority="153" w:unhideWhenUsed="1"/>
    <w:lsdException w:name="List Continue 2" w:semiHidden="1" w:uiPriority="153" w:unhideWhenUsed="1"/>
    <w:lsdException w:name="List Continue 3" w:semiHidden="1" w:uiPriority="153" w:unhideWhenUsed="1"/>
    <w:lsdException w:name="List Continue 4" w:semiHidden="1" w:uiPriority="153" w:unhideWhenUsed="1"/>
    <w:lsdException w:name="List Continue 5" w:semiHidden="1" w:uiPriority="153" w:unhideWhenUsed="1"/>
    <w:lsdException w:name="Message Header" w:semiHidden="1" w:uiPriority="153" w:unhideWhenUsed="1"/>
    <w:lsdException w:name="Subtitle" w:uiPriority="53" w:qFormat="1"/>
    <w:lsdException w:name="Salutation" w:semiHidden="1" w:uiPriority="153" w:unhideWhenUsed="1"/>
    <w:lsdException w:name="Date" w:semiHidden="1" w:uiPriority="153" w:unhideWhenUsed="1"/>
    <w:lsdException w:name="Body Text First Indent" w:semiHidden="1" w:uiPriority="153" w:unhideWhenUsed="1"/>
    <w:lsdException w:name="Body Text First Indent 2" w:semiHidden="1" w:uiPriority="153" w:unhideWhenUsed="1"/>
    <w:lsdException w:name="Note Heading" w:semiHidden="1" w:uiPriority="153" w:unhideWhenUsed="1"/>
    <w:lsdException w:name="Body Text 2" w:semiHidden="1" w:uiPriority="153" w:unhideWhenUsed="1"/>
    <w:lsdException w:name="Body Text 3" w:semiHidden="1" w:uiPriority="153" w:unhideWhenUsed="1"/>
    <w:lsdException w:name="Body Text Indent 2" w:semiHidden="1" w:uiPriority="153" w:unhideWhenUsed="1"/>
    <w:lsdException w:name="Body Text Indent 3" w:semiHidden="1" w:uiPriority="153" w:unhideWhenUsed="1"/>
    <w:lsdException w:name="Block Text" w:semiHidden="1" w:uiPriority="153" w:unhideWhenUsed="1"/>
    <w:lsdException w:name="Hyperlink" w:semiHidden="1" w:uiPriority="153" w:unhideWhenUsed="1"/>
    <w:lsdException w:name="FollowedHyperlink" w:semiHidden="1" w:uiPriority="153" w:unhideWhenUsed="1"/>
    <w:lsdException w:name="Strong" w:uiPriority="130" w:qFormat="1"/>
    <w:lsdException w:name="Emphasis" w:uiPriority="128" w:qFormat="1"/>
    <w:lsdException w:name="Document Map" w:semiHidden="1" w:uiPriority="153" w:unhideWhenUsed="1"/>
    <w:lsdException w:name="Plain Text" w:semiHidden="1" w:uiPriority="153" w:unhideWhenUsed="1"/>
    <w:lsdException w:name="E-mail Signature" w:semiHidden="1" w:uiPriority="153" w:unhideWhenUsed="1"/>
    <w:lsdException w:name="HTML Top of Form" w:semiHidden="1" w:uiPriority="153" w:unhideWhenUsed="1"/>
    <w:lsdException w:name="HTML Bottom of Form" w:semiHidden="1" w:uiPriority="153" w:unhideWhenUsed="1"/>
    <w:lsdException w:name="Normal (Web)" w:semiHidden="1" w:uiPriority="153" w:unhideWhenUsed="1"/>
    <w:lsdException w:name="HTML Acronym" w:semiHidden="1" w:uiPriority="153" w:unhideWhenUsed="1"/>
    <w:lsdException w:name="HTML Address" w:semiHidden="1" w:uiPriority="153" w:unhideWhenUsed="1"/>
    <w:lsdException w:name="HTML Cite" w:semiHidden="1" w:uiPriority="153" w:unhideWhenUsed="1"/>
    <w:lsdException w:name="HTML Code" w:semiHidden="1" w:uiPriority="153" w:unhideWhenUsed="1"/>
    <w:lsdException w:name="HTML Definition" w:semiHidden="1" w:uiPriority="153" w:unhideWhenUsed="1"/>
    <w:lsdException w:name="HTML Keyboard" w:semiHidden="1" w:uiPriority="153" w:unhideWhenUsed="1"/>
    <w:lsdException w:name="HTML Preformatted" w:semiHidden="1" w:uiPriority="153" w:unhideWhenUsed="1"/>
    <w:lsdException w:name="HTML Sample" w:semiHidden="1" w:uiPriority="153" w:unhideWhenUsed="1"/>
    <w:lsdException w:name="HTML Typewriter" w:semiHidden="1" w:uiPriority="153" w:unhideWhenUsed="1"/>
    <w:lsdException w:name="HTML Variable" w:semiHidden="1" w:uiPriority="153" w:unhideWhenUsed="1"/>
    <w:lsdException w:name="Normal Table" w:semiHidden="1" w:uiPriority="153" w:unhideWhenUsed="1"/>
    <w:lsdException w:name="annotation subject" w:semiHidden="1" w:uiPriority="153" w:unhideWhenUsed="1"/>
    <w:lsdException w:name="No List" w:semiHidden="1" w:uiPriority="153" w:unhideWhenUsed="1"/>
    <w:lsdException w:name="Outline List 1" w:semiHidden="1" w:uiPriority="153" w:unhideWhenUsed="1"/>
    <w:lsdException w:name="Outline List 2" w:semiHidden="1" w:uiPriority="153" w:unhideWhenUsed="1"/>
    <w:lsdException w:name="Outline List 3" w:semiHidden="1" w:uiPriority="153" w:unhideWhenUsed="1"/>
    <w:lsdException w:name="Table Simple 1" w:semiHidden="1" w:uiPriority="153" w:unhideWhenUsed="1"/>
    <w:lsdException w:name="Table Simple 2" w:semiHidden="1" w:uiPriority="153" w:unhideWhenUsed="1"/>
    <w:lsdException w:name="Table Simple 3" w:semiHidden="1" w:uiPriority="153" w:unhideWhenUsed="1"/>
    <w:lsdException w:name="Table Classic 1" w:semiHidden="1" w:uiPriority="153" w:unhideWhenUsed="1"/>
    <w:lsdException w:name="Table Classic 2" w:semiHidden="1" w:uiPriority="153" w:unhideWhenUsed="1"/>
    <w:lsdException w:name="Table Classic 3" w:semiHidden="1" w:uiPriority="153" w:unhideWhenUsed="1"/>
    <w:lsdException w:name="Table Classic 4" w:semiHidden="1" w:uiPriority="153" w:unhideWhenUsed="1"/>
    <w:lsdException w:name="Table Colorful 1" w:semiHidden="1" w:uiPriority="153" w:unhideWhenUsed="1"/>
    <w:lsdException w:name="Table Colorful 2" w:semiHidden="1" w:uiPriority="153" w:unhideWhenUsed="1"/>
    <w:lsdException w:name="Table Colorful 3" w:semiHidden="1" w:uiPriority="153" w:unhideWhenUsed="1"/>
    <w:lsdException w:name="Table Columns 1" w:semiHidden="1" w:uiPriority="153" w:unhideWhenUsed="1"/>
    <w:lsdException w:name="Table Columns 2" w:semiHidden="1" w:uiPriority="153" w:unhideWhenUsed="1"/>
    <w:lsdException w:name="Table Columns 3" w:semiHidden="1" w:uiPriority="153" w:unhideWhenUsed="1"/>
    <w:lsdException w:name="Table Columns 4" w:semiHidden="1" w:uiPriority="153" w:unhideWhenUsed="1"/>
    <w:lsdException w:name="Table Columns 5" w:semiHidden="1" w:uiPriority="153" w:unhideWhenUsed="1"/>
    <w:lsdException w:name="Table Grid 1" w:semiHidden="1" w:uiPriority="153" w:unhideWhenUsed="1"/>
    <w:lsdException w:name="Table Grid 2" w:semiHidden="1" w:uiPriority="153" w:unhideWhenUsed="1"/>
    <w:lsdException w:name="Table Grid 3" w:semiHidden="1" w:uiPriority="153" w:unhideWhenUsed="1"/>
    <w:lsdException w:name="Table Grid 4" w:semiHidden="1" w:uiPriority="153" w:unhideWhenUsed="1"/>
    <w:lsdException w:name="Table Grid 5" w:semiHidden="1" w:uiPriority="153" w:unhideWhenUsed="1"/>
    <w:lsdException w:name="Table Grid 6" w:semiHidden="1" w:uiPriority="153" w:unhideWhenUsed="1"/>
    <w:lsdException w:name="Table Grid 7" w:semiHidden="1" w:uiPriority="153" w:unhideWhenUsed="1"/>
    <w:lsdException w:name="Table Grid 8" w:semiHidden="1" w:uiPriority="153" w:unhideWhenUsed="1"/>
    <w:lsdException w:name="Table List 1" w:semiHidden="1" w:uiPriority="153" w:unhideWhenUsed="1"/>
    <w:lsdException w:name="Table List 2" w:semiHidden="1" w:uiPriority="153" w:unhideWhenUsed="1"/>
    <w:lsdException w:name="Table List 3" w:semiHidden="1" w:uiPriority="153" w:unhideWhenUsed="1"/>
    <w:lsdException w:name="Table List 4" w:semiHidden="1" w:uiPriority="153" w:unhideWhenUsed="1"/>
    <w:lsdException w:name="Table List 5" w:semiHidden="1" w:uiPriority="153" w:unhideWhenUsed="1"/>
    <w:lsdException w:name="Table List 6" w:semiHidden="1" w:uiPriority="153" w:unhideWhenUsed="1"/>
    <w:lsdException w:name="Table List 7" w:semiHidden="1" w:uiPriority="153" w:unhideWhenUsed="1"/>
    <w:lsdException w:name="Table List 8" w:semiHidden="1" w:uiPriority="153" w:unhideWhenUsed="1"/>
    <w:lsdException w:name="Table 3D effects 1" w:semiHidden="1" w:uiPriority="153" w:unhideWhenUsed="1"/>
    <w:lsdException w:name="Table 3D effects 2" w:semiHidden="1" w:uiPriority="153" w:unhideWhenUsed="1"/>
    <w:lsdException w:name="Table 3D effects 3" w:semiHidden="1" w:uiPriority="153" w:unhideWhenUsed="1"/>
    <w:lsdException w:name="Table Contemporary" w:semiHidden="1" w:uiPriority="153" w:unhideWhenUsed="1"/>
    <w:lsdException w:name="Table Elegant" w:semiHidden="1" w:uiPriority="153" w:unhideWhenUsed="1"/>
    <w:lsdException w:name="Table Professional" w:semiHidden="1" w:uiPriority="153" w:unhideWhenUsed="1"/>
    <w:lsdException w:name="Table Subtle 1" w:semiHidden="1" w:uiPriority="153" w:unhideWhenUsed="1"/>
    <w:lsdException w:name="Table Subtle 2" w:semiHidden="1" w:uiPriority="153" w:unhideWhenUsed="1"/>
    <w:lsdException w:name="Table Web 1" w:semiHidden="1" w:uiPriority="153" w:unhideWhenUsed="1"/>
    <w:lsdException w:name="Table Web 2" w:semiHidden="1" w:uiPriority="153" w:unhideWhenUsed="1"/>
    <w:lsdException w:name="Table Web 3" w:semiHidden="1" w:uiPriority="153" w:unhideWhenUsed="1"/>
    <w:lsdException w:name="Balloon Text" w:semiHidden="1" w:uiPriority="153" w:unhideWhenUsed="1"/>
    <w:lsdException w:name="Table Theme" w:semiHidden="1" w:uiPriority="153" w:unhideWhenUsed="1"/>
    <w:lsdException w:name="Placeholder Text" w:semiHidden="1" w:uiPriority="153"/>
    <w:lsdException w:name="No Spacing" w:uiPriority="1" w:qFormat="1"/>
    <w:lsdException w:name="Light Shading"/>
    <w:lsdException w:name="Light List"/>
    <w:lsdException w:name="Light Grid"/>
    <w:lsdException w:name="Medium Shading 1" w:uiPriority="153"/>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53"/>
    <w:lsdException w:name="Medium Shading 2 Accent 1"/>
    <w:lsdException w:name="Medium List 1 Accent 1"/>
    <w:lsdException w:name="Revision" w:semiHidden="1" w:uiPriority="153"/>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uiPriority="153"/>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uiPriority="15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uiPriority="153"/>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uiPriority="153"/>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uiPriority="153"/>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uiPriority="129"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153" w:unhideWhenUsed="1"/>
    <w:lsdException w:name="Smart Hyperlink" w:semiHidden="1" w:uiPriority="153" w:unhideWhenUsed="1"/>
    <w:lsdException w:name="Hashtag" w:semiHidden="1" w:uiPriority="153" w:unhideWhenUsed="1"/>
    <w:lsdException w:name="Unresolved Mention" w:semiHidden="1" w:uiPriority="153" w:unhideWhenUsed="1"/>
    <w:lsdException w:name="Smart Link" w:semiHidden="1" w:uiPriority="153"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uiPriority w:val="34"/>
    <w:basedOn w:val="a"/>
    <w:qFormat/>
    <w:pPr>
      <w:ind w:leftChars="400" w:left="800"/>
    </w:pPr>
  </w:style>
  <w:style w:type="table" w:customStyle="1" w:styleId="a4">
    <w:name w:val="Table Grid"/>
    <w:uiPriority w:val="39"/>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uiPriority w:val="99"/>
    <w:basedOn w:val="a"/>
    <w:unhideWhenUsed/>
    <w:pPr>
      <w:autoSpaceDE/>
      <w:autoSpaceDN/>
      <w:widowControl/>
      <w:wordWrap/>
      <w:jc w:val="left"/>
      <w:spacing w:after="100" w:afterAutospacing="1" w:before="100" w:beforeAutospacing="1" w:line="240" w:lineRule="auto"/>
    </w:pPr>
    <w:rPr>
      <w:rFonts w:ascii="굴림" w:eastAsia="굴림" w:hAnsi="굴림" w:cs="굴림"/>
      <w:sz w:val="24"/>
      <w:szCs w:val="24"/>
      <w:kern w:val="0"/>
    </w:rPr>
  </w:style>
  <w:style w:type="paragraph" w:styleId="a6">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6"/>
  </w:style>
  <w:style w:type="paragraph" w:styleId="a7">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dc:creator>
  <cp:keywords/>
  <dc:description/>
  <cp:lastModifiedBy>관리자</cp:lastModifiedBy>
  <cp:revision>1</cp:revision>
  <dcterms:created xsi:type="dcterms:W3CDTF">2026-07-18T06:15:00Z</dcterms:created>
  <dcterms:modified xsi:type="dcterms:W3CDTF">2026-07-29T01:22:42Z</dcterms:modifi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d71bd0fe-bd92-4b2e-97ef-ed0db4fb133b</vt:lpwstr>
  </property>
</Properties>
</file>