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0FF4E">
      <w:pPr>
        <w:jc w:val="center"/>
        <w:rPr>
          <w:color w:val="auto"/>
          <w:sz w:val="28"/>
          <w:szCs w:val="28"/>
        </w:rPr>
      </w:pPr>
      <w:bookmarkStart w:id="0" w:name="_GoBack"/>
      <w:r>
        <w:rPr>
          <w:rFonts w:ascii="Times New Roman" w:hAnsi="Times New Roman" w:eastAsia="Times New Roman"/>
          <w:b/>
          <w:i w:val="0"/>
          <w:color w:val="auto"/>
          <w:sz w:val="28"/>
          <w:szCs w:val="28"/>
        </w:rPr>
        <w:t>Supplementary material</w:t>
      </w:r>
    </w:p>
    <w:bookmarkEnd w:id="0"/>
    <w:p w14:paraId="74CF1CE4">
      <w:pPr>
        <w:jc w:val="center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Evolving latent chronic disease states and episodic memory trajectories among middle-aged and older adults in China</w:t>
      </w:r>
    </w:p>
    <w:p w14:paraId="19ABE3C1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S1 Fit indices for candidate latent Markov models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680"/>
        <w:gridCol w:w="1680"/>
        <w:gridCol w:w="1680"/>
        <w:gridCol w:w="1680"/>
        <w:gridCol w:w="1680"/>
      </w:tblGrid>
      <w:tr w14:paraId="6A826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7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7A2B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Transition structure</w:t>
            </w:r>
          </w:p>
        </w:tc>
        <w:tc>
          <w:tcPr>
            <w:tcW w:w="864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2DD0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States</w:t>
            </w:r>
          </w:p>
        </w:tc>
        <w:tc>
          <w:tcPr>
            <w:tcW w:w="1152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58A0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Parameters</w:t>
            </w:r>
          </w:p>
        </w:tc>
        <w:tc>
          <w:tcPr>
            <w:tcW w:w="165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2451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AIC</w:t>
            </w:r>
          </w:p>
        </w:tc>
        <w:tc>
          <w:tcPr>
            <w:tcW w:w="165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A9CA0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BIC</w:t>
            </w:r>
          </w:p>
        </w:tc>
        <w:tc>
          <w:tcPr>
            <w:tcW w:w="1512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D34B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ΔBIC</w:t>
            </w:r>
          </w:p>
        </w:tc>
      </w:tr>
      <w:tr w14:paraId="2F19A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ED3B8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7C9F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8B78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327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A03D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538,653.43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BB9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541,219.22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E552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</w:t>
            </w:r>
          </w:p>
        </w:tc>
      </w:tr>
      <w:tr w14:paraId="70F6C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80548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D7E1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E03B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258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ED23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547,784.91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4DD5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549,809.29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746F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8,590.07</w:t>
            </w:r>
          </w:p>
        </w:tc>
      </w:tr>
      <w:tr w14:paraId="3989E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71651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8EE6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F9681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197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3DBE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558,117.44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85DD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559,663.19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98A1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18,443.97</w:t>
            </w:r>
          </w:p>
        </w:tc>
      </w:tr>
      <w:tr w14:paraId="4495C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BCDF5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868F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5FDA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144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ADDB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574,908.26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E791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576,038.15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A308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34,818.93</w:t>
            </w:r>
          </w:p>
        </w:tc>
      </w:tr>
      <w:tr w14:paraId="4B578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4D078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Time-homogeneous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C1CE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4369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84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E748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577,455.24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7B5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578,114.34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0D9A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36,895.12</w:t>
            </w:r>
          </w:p>
        </w:tc>
      </w:tr>
      <w:tr w14:paraId="08752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0D831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422D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48D95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99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AC7C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592,555.11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D2CF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593,331.91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EACB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52,112.69</w:t>
            </w:r>
          </w:p>
        </w:tc>
      </w:tr>
      <w:tr w14:paraId="39B1F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0044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Time-homogeneous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43E2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986E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63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E200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594,992.67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3CDD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595,486.99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E4A0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54,267.78</w:t>
            </w:r>
          </w:p>
        </w:tc>
      </w:tr>
      <w:tr w14:paraId="1A923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5BAD6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7616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0F81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62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CCB3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617,042.03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8F94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617,528.51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23E4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76,309.29</w:t>
            </w:r>
          </w:p>
        </w:tc>
      </w:tr>
      <w:tr w14:paraId="61AEA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A6367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Time-homogeneous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10DB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1184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44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248D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618,270.26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65A1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618,615.50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BBBA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77,396.28</w:t>
            </w:r>
          </w:p>
        </w:tc>
      </w:tr>
      <w:tr w14:paraId="0787D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65792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Time-heterogeneous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FDAC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233D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33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9C73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649,370.95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88A2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649,629.89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8588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108,410.67</w:t>
            </w:r>
          </w:p>
        </w:tc>
      </w:tr>
      <w:tr w14:paraId="28EB0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2F200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Time-homogeneous</w:t>
            </w:r>
          </w:p>
        </w:tc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5AA2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7FDB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27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E0AE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650,240.68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C5E0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650,452.54</w:t>
            </w:r>
          </w:p>
        </w:tc>
        <w:tc>
          <w:tcPr>
            <w:tcW w:w="15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93EB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109,233.32</w:t>
            </w:r>
          </w:p>
        </w:tc>
      </w:tr>
    </w:tbl>
    <w:p w14:paraId="6426FCC2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S2 Self-transition range and largest non-self transition for each latent state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016"/>
        <w:gridCol w:w="2016"/>
        <w:gridCol w:w="2016"/>
      </w:tblGrid>
      <w:tr w14:paraId="4BFD6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7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D05A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Latent state</w:t>
            </w:r>
          </w:p>
        </w:tc>
        <w:tc>
          <w:tcPr>
            <w:tcW w:w="172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7F4F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Self-transition range (%)</w:t>
            </w:r>
          </w:p>
        </w:tc>
        <w:tc>
          <w:tcPr>
            <w:tcW w:w="2952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E06F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Largest non-self transition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04E7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Probability (%)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27C6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Interval</w:t>
            </w:r>
          </w:p>
        </w:tc>
      </w:tr>
      <w:tr w14:paraId="2538B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D258E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41E2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72.97–91.26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141B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Hypertension-dominant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33F7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9.48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C9CE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  <w:tr w14:paraId="0B60C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7B822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Hypertension-dominant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2BF86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78.61–96.02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95CB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Hypertension–arthritis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465A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9.99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FA50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2013–2015</w:t>
            </w:r>
          </w:p>
        </w:tc>
      </w:tr>
      <w:tr w14:paraId="615BC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969D0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Hypertension–arthritis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3B47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65.49–100.00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D59E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B34B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13.17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727B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  <w:tr w14:paraId="3E43A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E1EC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Diabetes–metabolic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E3BC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85.04–100.00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A334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65D6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8.85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92E2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  <w:tr w14:paraId="2DEFB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149F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Arthritis-dominant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7A564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55.66–94.47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53DD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32E0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17.24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4EBF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  <w:tr w14:paraId="75851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ED27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Digestive–arthritis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C6D3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72.57–99.44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F6FA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017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7.99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9A2E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  <w:tr w14:paraId="5E7C5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FB8D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Respiratory–musculoskeletal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A5DA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81.52–100.00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D639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00BB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11.27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AC20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  <w:tr w14:paraId="6DE08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13BA5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A693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99.09–100.00</w:t>
            </w:r>
          </w:p>
        </w:tc>
        <w:tc>
          <w:tcPr>
            <w:tcW w:w="29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14AE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Digestive–arthritis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D84C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0.46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C8F1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2015–2018</w:t>
            </w:r>
          </w:p>
        </w:tc>
      </w:tr>
    </w:tbl>
    <w:p w14:paraId="292250A7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S3 Statistically significant pairwise comparisons of episodic memory slopes after Holm adjustment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04E44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12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2D9A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Contrast</w:t>
            </w:r>
          </w:p>
        </w:tc>
        <w:tc>
          <w:tcPr>
            <w:tcW w:w="165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1B88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Slope difference</w:t>
            </w:r>
          </w:p>
        </w:tc>
        <w:tc>
          <w:tcPr>
            <w:tcW w:w="180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5034B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Holm-adjusted P value</w:t>
            </w:r>
          </w:p>
        </w:tc>
      </w:tr>
      <w:tr w14:paraId="11E9A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E10C3B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 − Hypertension-dominant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BA95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0.0131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E14E6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0.001</w:t>
            </w:r>
          </w:p>
        </w:tc>
      </w:tr>
      <w:tr w14:paraId="6D33E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9F74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 − Hypertension–arthritis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EBDB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0.0122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BBC62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0.046</w:t>
            </w:r>
          </w:p>
        </w:tc>
      </w:tr>
      <w:tr w14:paraId="00156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E0697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 − Multisystem high-burden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0DCC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0.0127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C62C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0.046</w:t>
            </w:r>
          </w:p>
        </w:tc>
      </w:tr>
      <w:tr w14:paraId="306B8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6616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Hypertension-dominant − Digestive–arthritis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D045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−0.0158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23E0B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0.001</w:t>
            </w:r>
          </w:p>
        </w:tc>
      </w:tr>
      <w:tr w14:paraId="14ACA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45878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Hypertension–arthritis − Digestive–arthritis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CC66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−0.0149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808E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0.017</w:t>
            </w:r>
          </w:p>
        </w:tc>
      </w:tr>
      <w:tr w14:paraId="01DE4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B9AC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Digestive–arthritis − Multisystem high-burden</w:t>
            </w:r>
          </w:p>
        </w:tc>
        <w:tc>
          <w:tcPr>
            <w:tcW w:w="16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85B4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0.0154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8BED9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0.017</w:t>
            </w:r>
          </w:p>
        </w:tc>
      </w:tr>
    </w:tbl>
    <w:p w14:paraId="41F6B834">
      <w:pPr>
        <w:spacing w:before="40" w:after="100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/>
          <w:color w:val="auto"/>
          <w:sz w:val="24"/>
          <w:szCs w:val="24"/>
        </w:rPr>
        <w:t>Note: Slope differences are calculated as the first state minus the second state. A positive value indicates a less negative slope in the first state.</w:t>
      </w:r>
    </w:p>
    <w:p w14:paraId="6020652E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S4 Classification quality and sample retention in the high-confidence analysis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2D109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48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7D79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Indicator</w:t>
            </w:r>
          </w:p>
        </w:tc>
        <w:tc>
          <w:tcPr>
            <w:tcW w:w="1872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AD81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Value</w:t>
            </w:r>
          </w:p>
        </w:tc>
      </w:tr>
      <w:tr w14:paraId="21BD7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FF75B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Person-wave records with chronic disease information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7F87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78,148</w:t>
            </w:r>
          </w:p>
        </w:tc>
      </w:tr>
      <w:tr w14:paraId="03AFB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73297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Agreement between global decoding and local maximum-posterior state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00B6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99.25%</w:t>
            </w:r>
          </w:p>
        </w:tc>
      </w:tr>
      <w:tr w14:paraId="04931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7C647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Mean posterior probability of assigned state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90E1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0.956</w:t>
            </w:r>
          </w:p>
        </w:tc>
      </w:tr>
      <w:tr w14:paraId="07532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83751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Median posterior probability of assigned state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1FA9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0.999</w:t>
            </w:r>
          </w:p>
        </w:tc>
      </w:tr>
      <w:tr w14:paraId="053C3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D23A0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Records with posterior probability ≥0.85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3C8B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89.67%</w:t>
            </w:r>
          </w:p>
        </w:tc>
      </w:tr>
      <w:tr w14:paraId="0B294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CC6C7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Records in the high-confidence analysis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84B8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61,212</w:t>
            </w:r>
          </w:p>
        </w:tc>
      </w:tr>
      <w:tr w14:paraId="3E4AF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CA6FA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Participants in the high-confidence analysis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DB2B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17,426</w:t>
            </w:r>
          </w:p>
        </w:tc>
      </w:tr>
      <w:tr w14:paraId="2D61A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95F8B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Retention of records/participants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A922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88.59% / 92.28%</w:t>
            </w:r>
          </w:p>
        </w:tc>
      </w:tr>
      <w:tr w14:paraId="35793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770F6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Retention of multisystem high-burden records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B51E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68.52%</w:t>
            </w:r>
          </w:p>
        </w:tc>
      </w:tr>
    </w:tbl>
    <w:p w14:paraId="0C3DC420">
      <w:pPr>
        <w:spacing w:before="40" w:after="100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/>
          <w:color w:val="auto"/>
          <w:sz w:val="24"/>
          <w:szCs w:val="24"/>
        </w:rPr>
        <w:t>Note: The high-confidence analysis retained person-wave records with an assigned-state posterior probability ≥0.85 and required at least two such records per participant.</w:t>
      </w:r>
    </w:p>
    <w:p w14:paraId="789DFAE7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S5 Distribution of raw episodic memory scores by survey wave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680"/>
        <w:gridCol w:w="1680"/>
        <w:gridCol w:w="1680"/>
        <w:gridCol w:w="1680"/>
        <w:gridCol w:w="1680"/>
      </w:tblGrid>
      <w:tr w14:paraId="510F4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52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4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Year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D1BB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n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2BF4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Mean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FB6E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SD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8E86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Median</w:t>
            </w:r>
          </w:p>
        </w:tc>
        <w:tc>
          <w:tcPr>
            <w:tcW w:w="201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FE3C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IQR</w:t>
            </w:r>
          </w:p>
        </w:tc>
      </w:tr>
      <w:tr w14:paraId="46152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71F2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2011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8794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12,378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A0B8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3.643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D9A3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1.660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422F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3.500</w:t>
            </w: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60A6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2.500–5.000</w:t>
            </w:r>
          </w:p>
        </w:tc>
      </w:tr>
      <w:tr w14:paraId="0793D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6EBD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2013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5DF22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14,410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9C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3.656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520F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1.713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1F56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3.500</w:t>
            </w: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C676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2.500–5.000</w:t>
            </w:r>
          </w:p>
        </w:tc>
      </w:tr>
      <w:tr w14:paraId="680FD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C2953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2015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214C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16,318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70E7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3.322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0F47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1.834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79D4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3.500</w:t>
            </w: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1D62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2.000–4.500</w:t>
            </w:r>
          </w:p>
        </w:tc>
      </w:tr>
      <w:tr w14:paraId="36DBC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52932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2018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1B32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13,841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897F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3.711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A352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2.177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56FF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4.000</w:t>
            </w: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44A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2.000–5.500</w:t>
            </w:r>
          </w:p>
        </w:tc>
      </w:tr>
      <w:tr w14:paraId="7479C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9D4E43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2020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5DB9D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13,962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A2AA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4.924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A33E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1.961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9916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5.167</w:t>
            </w: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2D3E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3.833–6.333</w:t>
            </w:r>
          </w:p>
        </w:tc>
      </w:tr>
    </w:tbl>
    <w:p w14:paraId="758C84E3">
      <w:pPr>
        <w:spacing w:before="40" w:after="100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/>
          <w:color w:val="auto"/>
          <w:sz w:val="24"/>
          <w:szCs w:val="24"/>
        </w:rPr>
        <w:t>Note: The raw score is the mean of immediate and delayed recall and ranges from 0 to 10. The 2020 mean was approximately 1.21 points higher than the 2018 mean.</w:t>
      </w:r>
    </w:p>
    <w:p w14:paraId="4BA70FEC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S6 Annual change in raw episodic memory after excluding 2020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016"/>
        <w:gridCol w:w="2016"/>
        <w:gridCol w:w="2016"/>
      </w:tblGrid>
      <w:tr w14:paraId="56771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16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5B62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Latent state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132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β (points/year)</w:t>
            </w:r>
          </w:p>
        </w:tc>
        <w:tc>
          <w:tcPr>
            <w:tcW w:w="244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EEA4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95% CI</w:t>
            </w:r>
          </w:p>
        </w:tc>
        <w:tc>
          <w:tcPr>
            <w:tcW w:w="108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8B39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SE</w:t>
            </w:r>
          </w:p>
        </w:tc>
        <w:tc>
          <w:tcPr>
            <w:tcW w:w="108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9B4F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P value</w:t>
            </w:r>
          </w:p>
        </w:tc>
      </w:tr>
      <w:tr w14:paraId="2E5DB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CA483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81C2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−0.0152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812A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−0.0247 to −0.0057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716C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0.0048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32E3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0.002</w:t>
            </w:r>
          </w:p>
        </w:tc>
      </w:tr>
      <w:tr w14:paraId="00C8B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AA0A0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Hypertension-dominant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4B4B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−0.0415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84ED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−0.0556 to −0.0273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988B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0.0072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8A62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1B749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CB205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Hypertension–arthritis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B0AB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−0.0748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1AB1B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−0.0936 to −0.0560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FD96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0.0096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49E7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4123C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7701E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Diabetes–metabolic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6BFC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−0.0289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EE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−0.0494 to −0.0084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379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0.0105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09DBD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0.006</w:t>
            </w:r>
          </w:p>
        </w:tc>
      </w:tr>
      <w:tr w14:paraId="19A78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91FB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Arthritis-dominant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A00A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−0.0433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D766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−0.0585 to −0.0282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4B77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0.0077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38F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6AE84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2965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Digestive–arthritis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9533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−0.0243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4629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−0.0383 to −0.0104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5D3C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0.0071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6480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0BDAE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9B39E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Respiratory–musculoskeletal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0B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−0.0537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B1D9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−0.0711 to −0.0363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6CA6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0.0089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9366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275C5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8336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744E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−0.0460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4E5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−0.0648 to −0.0273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E869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0.0096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3CEC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</w:tbl>
    <w:p w14:paraId="15327A8E">
      <w:pPr>
        <w:spacing w:before="40" w:after="100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/>
          <w:color w:val="auto"/>
          <w:sz w:val="24"/>
          <w:szCs w:val="24"/>
        </w:rPr>
        <w:t>Note: The model used raw scores from 2011–2018 and the same covariates and random-effects structure as the primary model. Time × state: F=6.313, P&lt;0.001.</w:t>
      </w:r>
    </w:p>
    <w:p w14:paraId="2E1D6541">
      <w:pPr>
        <w:keepNext/>
        <w:spacing w:before="140" w:after="80" w:line="276" w:lineRule="auto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 w:val="0"/>
          <w:color w:val="auto"/>
          <w:sz w:val="24"/>
          <w:szCs w:val="24"/>
        </w:rPr>
        <w:t>Supplementary Table S7 Within-wave standardised episodic memory slopes in the seven-state solution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016"/>
        <w:gridCol w:w="2016"/>
        <w:gridCol w:w="2016"/>
      </w:tblGrid>
      <w:tr w14:paraId="44096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16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135C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Latent state</w:t>
            </w:r>
          </w:p>
        </w:tc>
        <w:tc>
          <w:tcPr>
            <w:tcW w:w="144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287C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β (SD/year)</w:t>
            </w:r>
          </w:p>
        </w:tc>
        <w:tc>
          <w:tcPr>
            <w:tcW w:w="244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504A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95% CI</w:t>
            </w:r>
          </w:p>
        </w:tc>
        <w:tc>
          <w:tcPr>
            <w:tcW w:w="108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E01D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SE</w:t>
            </w:r>
          </w:p>
        </w:tc>
        <w:tc>
          <w:tcPr>
            <w:tcW w:w="1080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CCFA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P value</w:t>
            </w:r>
          </w:p>
        </w:tc>
      </w:tr>
      <w:tr w14:paraId="74A93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F87D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Low-burden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7295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−0.0186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E36B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−0.0221 to −0.0151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CCAC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0.0018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8DE9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625D1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D1243D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Hypertension-dominant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EDB6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−0.0330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65DB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−0.0377 to −0.0283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6ED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0.0024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449D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24359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DBA2A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Diabetes–metabolic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6D96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−0.0241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1959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−0.0316 to −0.0166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D2A5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0.0038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BDD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07A27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C4BF0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Arthritis-dominant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5C6C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−0.0211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D79F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−0.0267 to −0.0154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40AC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0.0029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EFC9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65852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529A1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Digestive–arthritis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DEB0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−0.0171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09837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−0.0219 to −0.0123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4D6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0.0024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1AD3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54FA7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0A2A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Respiratory–musculoskeletal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C470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−0.0254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3941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−0.0317 to −0.0190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8C4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0.0032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6E20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72077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DC494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Multisystem high-burden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C85B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−0.0306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3D4E6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−0.0371 to −0.0242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C80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0.0033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37C30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</w:tbl>
    <w:p w14:paraId="4B40F3AC">
      <w:pPr>
        <w:spacing w:before="40" w:after="100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/>
          <w:color w:val="auto"/>
          <w:sz w:val="24"/>
          <w:szCs w:val="24"/>
        </w:rPr>
        <w:t>Note: Time × state: F=5.948, P&lt;0.001. State names were assigned from the seven-state conditional prevalence profiles.</w:t>
      </w:r>
    </w:p>
    <w:p w14:paraId="786C7936">
      <w:pPr>
        <w:keepNext/>
        <w:spacing w:before="140" w:after="60"/>
        <w:jc w:val="left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i w:val="0"/>
          <w:color w:val="auto"/>
          <w:sz w:val="24"/>
          <w:szCs w:val="24"/>
        </w:rPr>
        <w:t>Supplementary Table S8 Time-by-state interaction under alternative episodic memory definitions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77EB2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48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3C94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Analysis</w:t>
            </w:r>
          </w:p>
        </w:tc>
        <w:tc>
          <w:tcPr>
            <w:tcW w:w="5184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5DEB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Outcome definition</w:t>
            </w:r>
          </w:p>
        </w:tc>
        <w:tc>
          <w:tcPr>
            <w:tcW w:w="1296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D87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Time × state F</w:t>
            </w:r>
          </w:p>
        </w:tc>
        <w:tc>
          <w:tcPr>
            <w:tcW w:w="1152" w:type="dxa"/>
            <w:shd w:val="clear" w:color="auto" w:fill="D9E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138ED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auto"/>
                <w:sz w:val="24"/>
                <w:szCs w:val="24"/>
              </w:rPr>
              <w:t>P value</w:t>
            </w:r>
          </w:p>
        </w:tc>
      </w:tr>
      <w:tr w14:paraId="1DAD5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FD4F2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Primary analysis</w:t>
            </w: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56A7A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Within-wave standardised z score, 2011–2020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FC281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4.995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7EA8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49FC2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D0199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Standardised to 2011</w:t>
            </w: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9AA4C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All waves scaled using the 2011 mean (3.643) and SD (1.660)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78ED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5.641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F0B8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62617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BEBB3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Raw score, all five waves</w:t>
            </w: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77E39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Raw episodic memory, 2011–2020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1755D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5.641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2C89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  <w:tr w14:paraId="5421C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37060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Raw score excluding 2020</w:t>
            </w:r>
          </w:p>
        </w:tc>
        <w:tc>
          <w:tcPr>
            <w:tcW w:w="51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0BB785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Raw episodic memory, 2011–2018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DF23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6.313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741F0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auto"/>
                <w:sz w:val="24"/>
                <w:szCs w:val="24"/>
              </w:rPr>
              <w:t>&lt;0.001</w:t>
            </w:r>
          </w:p>
        </w:tc>
      </w:tr>
    </w:tbl>
    <w:p w14:paraId="192DAAC1">
      <w:pPr>
        <w:spacing w:before="40" w:after="80" w:line="276" w:lineRule="auto"/>
        <w:rPr>
          <w:color w:val="auto"/>
          <w:sz w:val="24"/>
          <w:szCs w:val="24"/>
        </w:rPr>
      </w:pPr>
      <w:r>
        <w:rPr>
          <w:rFonts w:ascii="Times New Roman" w:hAnsi="Times New Roman" w:eastAsia="Times New Roman"/>
          <w:b w:val="0"/>
          <w:i w:val="0"/>
          <w:color w:val="auto"/>
          <w:sz w:val="24"/>
          <w:szCs w:val="24"/>
        </w:rPr>
        <w:t>Note: The 2011-standardised score is a linear transformation of the raw score, so the identical F and P values are not independent evidence. Models including 2020 produced positive raw-score slopes; all state-specific raw-score slopes were negative after 2020 was excluded.</w:t>
      </w:r>
    </w:p>
    <w:sectPr>
      <w:footerReference r:id="rId5" w:type="default"/>
      <w:pgSz w:w="12240" w:h="15840"/>
      <w:pgMar w:top="1152" w:right="1080" w:bottom="108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6DD80">
    <w:pPr>
      <w:pStyle w:val="24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AA4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715</Words>
  <Characters>4988</Characters>
  <Lines>0</Lines>
  <Paragraphs>0</Paragraphs>
  <TotalTime>0</TotalTime>
  <ScaleCrop>false</ScaleCrop>
  <LinksUpToDate>false</LinksUpToDate>
  <CharactersWithSpaces>5388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Coery</cp:lastModifiedBy>
  <dcterms:modified xsi:type="dcterms:W3CDTF">2026-07-27T12:05:37Z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eyJoZGlkIjoiYmIxODk2OTJiYThmYTlkMmQwOWE2Zjg2NDIzYmNmZjciLCJ1c2VySWQiOiIxMjM0NTA0OTg4In0=</vt:lpwstr>
  </property>
  <property fmtid="{D5CDD505-2E9C-101B-9397-08002B2CF9AE}" pid="3" name="KSOProductBuildVer">
    <vt:lpwstr>2052-12.1.0.26895</vt:lpwstr>
  </property>
  <property fmtid="{D5CDD505-2E9C-101B-9397-08002B2CF9AE}" pid="4" name="ICV">
    <vt:lpwstr>7D4DA55298B04EBE8671B7B0605DD40D_12</vt:lpwstr>
  </property>
</Properties>
</file>