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5179D" w14:textId="77777777" w:rsidR="007038DE" w:rsidRPr="007038DE" w:rsidRDefault="007038DE" w:rsidP="007038DE">
      <w:pPr>
        <w:rPr>
          <w:b/>
          <w:bCs/>
          <w:lang w:val="en-US"/>
        </w:rPr>
      </w:pPr>
      <w:r w:rsidRPr="007038DE">
        <w:rPr>
          <w:b/>
          <w:bCs/>
          <w:lang w:val="en-US"/>
        </w:rPr>
        <w:t>Online Resources</w:t>
      </w:r>
    </w:p>
    <w:p w14:paraId="5387B50E" w14:textId="77777777" w:rsidR="007038DE" w:rsidRPr="007038DE" w:rsidRDefault="007038DE" w:rsidP="007038DE">
      <w:pPr>
        <w:rPr>
          <w:b/>
          <w:bCs/>
          <w:lang w:val="en-US"/>
        </w:rPr>
      </w:pPr>
      <w:r w:rsidRPr="007038DE">
        <w:rPr>
          <w:b/>
          <w:bCs/>
          <w:lang w:val="en-US"/>
        </w:rPr>
        <w:t>Online Resource 1: Longitudinal Evolution of Echocardiographic Parameters</w:t>
      </w:r>
    </w:p>
    <w:tbl>
      <w:tblPr>
        <w:tblW w:w="0" w:type="auto"/>
        <w:tblLook w:val="04A0" w:firstRow="1" w:lastRow="0" w:firstColumn="1" w:lastColumn="0" w:noHBand="0" w:noVBand="1"/>
      </w:tblPr>
      <w:tblGrid>
        <w:gridCol w:w="3215"/>
        <w:gridCol w:w="617"/>
        <w:gridCol w:w="2034"/>
        <w:gridCol w:w="2046"/>
        <w:gridCol w:w="1114"/>
      </w:tblGrid>
      <w:tr w:rsidR="007038DE" w:rsidRPr="007038DE" w14:paraId="66007CF4" w14:textId="77777777">
        <w:tc>
          <w:tcPr>
            <w:tcW w:w="0" w:type="auto"/>
            <w:tcMar>
              <w:top w:w="120" w:type="dxa"/>
              <w:left w:w="180" w:type="dxa"/>
              <w:bottom w:w="120" w:type="dxa"/>
              <w:right w:w="180" w:type="dxa"/>
            </w:tcMar>
            <w:hideMark/>
          </w:tcPr>
          <w:p w14:paraId="1839BDD1" w14:textId="77777777" w:rsidR="007038DE" w:rsidRPr="007038DE" w:rsidRDefault="007038DE" w:rsidP="007038DE">
            <w:pPr>
              <w:rPr>
                <w:lang w:val="es-CL"/>
              </w:rPr>
            </w:pPr>
            <w:r w:rsidRPr="007038DE">
              <w:rPr>
                <w:b/>
                <w:bCs/>
                <w:lang w:val="es-CL"/>
              </w:rPr>
              <w:t>Echocardiographic Parameter</w:t>
            </w:r>
          </w:p>
        </w:tc>
        <w:tc>
          <w:tcPr>
            <w:tcW w:w="0" w:type="auto"/>
            <w:tcMar>
              <w:top w:w="120" w:type="dxa"/>
              <w:left w:w="180" w:type="dxa"/>
              <w:bottom w:w="120" w:type="dxa"/>
              <w:right w:w="180" w:type="dxa"/>
            </w:tcMar>
            <w:hideMark/>
          </w:tcPr>
          <w:p w14:paraId="7A33CBB2" w14:textId="77777777" w:rsidR="007038DE" w:rsidRPr="007038DE" w:rsidRDefault="007038DE" w:rsidP="007038DE">
            <w:pPr>
              <w:rPr>
                <w:lang w:val="es-CL"/>
              </w:rPr>
            </w:pPr>
            <w:r w:rsidRPr="007038DE">
              <w:rPr>
                <w:b/>
                <w:bCs/>
                <w:lang w:val="es-CL"/>
              </w:rPr>
              <w:t>n</w:t>
            </w:r>
          </w:p>
        </w:tc>
        <w:tc>
          <w:tcPr>
            <w:tcW w:w="0" w:type="auto"/>
            <w:tcMar>
              <w:top w:w="120" w:type="dxa"/>
              <w:left w:w="180" w:type="dxa"/>
              <w:bottom w:w="120" w:type="dxa"/>
              <w:right w:w="180" w:type="dxa"/>
            </w:tcMar>
            <w:hideMark/>
          </w:tcPr>
          <w:p w14:paraId="301A6486" w14:textId="77777777" w:rsidR="007038DE" w:rsidRPr="007038DE" w:rsidRDefault="007038DE" w:rsidP="007038DE">
            <w:pPr>
              <w:rPr>
                <w:lang w:val="es-CL"/>
              </w:rPr>
            </w:pPr>
            <w:r w:rsidRPr="007038DE">
              <w:rPr>
                <w:b/>
                <w:bCs/>
                <w:lang w:val="es-CL"/>
              </w:rPr>
              <w:t>Baseline</w:t>
            </w:r>
          </w:p>
        </w:tc>
        <w:tc>
          <w:tcPr>
            <w:tcW w:w="0" w:type="auto"/>
            <w:tcMar>
              <w:top w:w="120" w:type="dxa"/>
              <w:left w:w="180" w:type="dxa"/>
              <w:bottom w:w="120" w:type="dxa"/>
              <w:right w:w="180" w:type="dxa"/>
            </w:tcMar>
            <w:hideMark/>
          </w:tcPr>
          <w:p w14:paraId="7F8F4211" w14:textId="77777777" w:rsidR="007038DE" w:rsidRPr="007038DE" w:rsidRDefault="007038DE" w:rsidP="007038DE">
            <w:pPr>
              <w:rPr>
                <w:lang w:val="es-CL"/>
              </w:rPr>
            </w:pPr>
            <w:r w:rsidRPr="007038DE">
              <w:rPr>
                <w:b/>
                <w:bCs/>
                <w:lang w:val="es-CL"/>
              </w:rPr>
              <w:t>Final Follow-up</w:t>
            </w:r>
          </w:p>
        </w:tc>
        <w:tc>
          <w:tcPr>
            <w:tcW w:w="0" w:type="auto"/>
            <w:tcMar>
              <w:top w:w="120" w:type="dxa"/>
              <w:left w:w="180" w:type="dxa"/>
              <w:bottom w:w="120" w:type="dxa"/>
              <w:right w:w="180" w:type="dxa"/>
            </w:tcMar>
            <w:hideMark/>
          </w:tcPr>
          <w:p w14:paraId="35E67AC4" w14:textId="77777777" w:rsidR="007038DE" w:rsidRPr="007038DE" w:rsidRDefault="007038DE" w:rsidP="007038DE">
            <w:pPr>
              <w:rPr>
                <w:lang w:val="es-CL"/>
              </w:rPr>
            </w:pPr>
            <w:r w:rsidRPr="007038DE">
              <w:rPr>
                <w:b/>
                <w:bCs/>
                <w:lang w:val="es-CL"/>
              </w:rPr>
              <w:t>P-Value</w:t>
            </w:r>
          </w:p>
        </w:tc>
      </w:tr>
      <w:tr w:rsidR="007038DE" w:rsidRPr="007038DE" w14:paraId="30564F27" w14:textId="77777777">
        <w:tc>
          <w:tcPr>
            <w:tcW w:w="0" w:type="auto"/>
            <w:tcMar>
              <w:top w:w="120" w:type="dxa"/>
              <w:left w:w="180" w:type="dxa"/>
              <w:bottom w:w="120" w:type="dxa"/>
              <w:right w:w="180" w:type="dxa"/>
            </w:tcMar>
            <w:hideMark/>
          </w:tcPr>
          <w:p w14:paraId="3BC68EFB" w14:textId="77777777" w:rsidR="007038DE" w:rsidRPr="007038DE" w:rsidRDefault="007038DE" w:rsidP="007038DE">
            <w:pPr>
              <w:rPr>
                <w:lang w:val="es-CL"/>
              </w:rPr>
            </w:pPr>
            <w:r w:rsidRPr="007038DE">
              <w:rPr>
                <w:b/>
                <w:bCs/>
                <w:lang w:val="es-CL"/>
              </w:rPr>
              <w:t>RVOT Z-Score</w:t>
            </w:r>
          </w:p>
        </w:tc>
        <w:tc>
          <w:tcPr>
            <w:tcW w:w="0" w:type="auto"/>
            <w:tcMar>
              <w:top w:w="120" w:type="dxa"/>
              <w:left w:w="180" w:type="dxa"/>
              <w:bottom w:w="120" w:type="dxa"/>
              <w:right w:w="180" w:type="dxa"/>
            </w:tcMar>
            <w:hideMark/>
          </w:tcPr>
          <w:p w14:paraId="4B681411" w14:textId="77777777" w:rsidR="007038DE" w:rsidRPr="007038DE" w:rsidRDefault="007038DE" w:rsidP="007038DE">
            <w:pPr>
              <w:rPr>
                <w:lang w:val="es-CL"/>
              </w:rPr>
            </w:pPr>
            <w:r w:rsidRPr="007038DE">
              <w:rPr>
                <w:lang w:val="es-CL"/>
              </w:rPr>
              <w:t>27</w:t>
            </w:r>
          </w:p>
        </w:tc>
        <w:tc>
          <w:tcPr>
            <w:tcW w:w="0" w:type="auto"/>
            <w:tcMar>
              <w:top w:w="120" w:type="dxa"/>
              <w:left w:w="180" w:type="dxa"/>
              <w:bottom w:w="120" w:type="dxa"/>
              <w:right w:w="180" w:type="dxa"/>
            </w:tcMar>
            <w:hideMark/>
          </w:tcPr>
          <w:p w14:paraId="72D6A4B1" w14:textId="77777777" w:rsidR="007038DE" w:rsidRPr="007038DE" w:rsidRDefault="007038DE" w:rsidP="007038DE">
            <w:pPr>
              <w:rPr>
                <w:lang w:val="es-CL"/>
              </w:rPr>
            </w:pPr>
            <w:r w:rsidRPr="007038DE">
              <w:rPr>
                <w:lang w:val="es-CL"/>
              </w:rPr>
              <w:t>-0.98 (-2.06 to 0.13)</w:t>
            </w:r>
          </w:p>
        </w:tc>
        <w:tc>
          <w:tcPr>
            <w:tcW w:w="0" w:type="auto"/>
            <w:tcMar>
              <w:top w:w="120" w:type="dxa"/>
              <w:left w:w="180" w:type="dxa"/>
              <w:bottom w:w="120" w:type="dxa"/>
              <w:right w:w="180" w:type="dxa"/>
            </w:tcMar>
            <w:hideMark/>
          </w:tcPr>
          <w:p w14:paraId="2F79164F" w14:textId="77777777" w:rsidR="007038DE" w:rsidRPr="007038DE" w:rsidRDefault="007038DE" w:rsidP="007038DE">
            <w:pPr>
              <w:rPr>
                <w:lang w:val="es-CL"/>
              </w:rPr>
            </w:pPr>
            <w:r w:rsidRPr="007038DE">
              <w:rPr>
                <w:lang w:val="es-CL"/>
              </w:rPr>
              <w:t>-0.96 (-2.35 to -0.34)</w:t>
            </w:r>
          </w:p>
        </w:tc>
        <w:tc>
          <w:tcPr>
            <w:tcW w:w="0" w:type="auto"/>
            <w:tcMar>
              <w:top w:w="120" w:type="dxa"/>
              <w:left w:w="180" w:type="dxa"/>
              <w:bottom w:w="120" w:type="dxa"/>
              <w:right w:w="180" w:type="dxa"/>
            </w:tcMar>
            <w:hideMark/>
          </w:tcPr>
          <w:p w14:paraId="53599FDA" w14:textId="77777777" w:rsidR="007038DE" w:rsidRPr="007038DE" w:rsidRDefault="007038DE" w:rsidP="007038DE">
            <w:pPr>
              <w:rPr>
                <w:lang w:val="es-CL"/>
              </w:rPr>
            </w:pPr>
            <w:r w:rsidRPr="007038DE">
              <w:rPr>
                <w:lang w:val="es-CL"/>
              </w:rPr>
              <w:t>0.20</w:t>
            </w:r>
          </w:p>
        </w:tc>
      </w:tr>
      <w:tr w:rsidR="007038DE" w:rsidRPr="007038DE" w14:paraId="4427AFCC" w14:textId="77777777">
        <w:tc>
          <w:tcPr>
            <w:tcW w:w="0" w:type="auto"/>
            <w:tcMar>
              <w:top w:w="120" w:type="dxa"/>
              <w:left w:w="180" w:type="dxa"/>
              <w:bottom w:w="120" w:type="dxa"/>
              <w:right w:w="180" w:type="dxa"/>
            </w:tcMar>
            <w:hideMark/>
          </w:tcPr>
          <w:p w14:paraId="7A2766A7" w14:textId="77777777" w:rsidR="007038DE" w:rsidRPr="007038DE" w:rsidRDefault="007038DE" w:rsidP="007038DE">
            <w:pPr>
              <w:rPr>
                <w:lang w:val="es-CL"/>
              </w:rPr>
            </w:pPr>
            <w:r w:rsidRPr="007038DE">
              <w:rPr>
                <w:b/>
                <w:bCs/>
                <w:lang w:val="es-CL"/>
              </w:rPr>
              <w:t>LVEDD Z-Score</w:t>
            </w:r>
          </w:p>
        </w:tc>
        <w:tc>
          <w:tcPr>
            <w:tcW w:w="0" w:type="auto"/>
            <w:tcMar>
              <w:top w:w="120" w:type="dxa"/>
              <w:left w:w="180" w:type="dxa"/>
              <w:bottom w:w="120" w:type="dxa"/>
              <w:right w:w="180" w:type="dxa"/>
            </w:tcMar>
            <w:hideMark/>
          </w:tcPr>
          <w:p w14:paraId="549A0C8D" w14:textId="77777777" w:rsidR="007038DE" w:rsidRPr="007038DE" w:rsidRDefault="007038DE" w:rsidP="007038DE">
            <w:pPr>
              <w:rPr>
                <w:lang w:val="es-CL"/>
              </w:rPr>
            </w:pPr>
            <w:r w:rsidRPr="007038DE">
              <w:rPr>
                <w:lang w:val="es-CL"/>
              </w:rPr>
              <w:t>60</w:t>
            </w:r>
          </w:p>
        </w:tc>
        <w:tc>
          <w:tcPr>
            <w:tcW w:w="0" w:type="auto"/>
            <w:tcMar>
              <w:top w:w="120" w:type="dxa"/>
              <w:left w:w="180" w:type="dxa"/>
              <w:bottom w:w="120" w:type="dxa"/>
              <w:right w:w="180" w:type="dxa"/>
            </w:tcMar>
            <w:hideMark/>
          </w:tcPr>
          <w:p w14:paraId="34E06F0A" w14:textId="77777777" w:rsidR="007038DE" w:rsidRPr="007038DE" w:rsidRDefault="007038DE" w:rsidP="007038DE">
            <w:pPr>
              <w:rPr>
                <w:lang w:val="es-CL"/>
              </w:rPr>
            </w:pPr>
            <w:r w:rsidRPr="007038DE">
              <w:rPr>
                <w:lang w:val="es-CL"/>
              </w:rPr>
              <w:t>-0.17 (-1.03 to 0.67)</w:t>
            </w:r>
          </w:p>
        </w:tc>
        <w:tc>
          <w:tcPr>
            <w:tcW w:w="0" w:type="auto"/>
            <w:tcMar>
              <w:top w:w="120" w:type="dxa"/>
              <w:left w:w="180" w:type="dxa"/>
              <w:bottom w:w="120" w:type="dxa"/>
              <w:right w:w="180" w:type="dxa"/>
            </w:tcMar>
            <w:hideMark/>
          </w:tcPr>
          <w:p w14:paraId="2110A91A" w14:textId="77777777" w:rsidR="007038DE" w:rsidRPr="007038DE" w:rsidRDefault="007038DE" w:rsidP="007038DE">
            <w:pPr>
              <w:rPr>
                <w:lang w:val="es-CL"/>
              </w:rPr>
            </w:pPr>
            <w:r w:rsidRPr="007038DE">
              <w:rPr>
                <w:lang w:val="es-CL"/>
              </w:rPr>
              <w:t>-0.20 (-0.91 to 0.74)</w:t>
            </w:r>
          </w:p>
        </w:tc>
        <w:tc>
          <w:tcPr>
            <w:tcW w:w="0" w:type="auto"/>
            <w:tcMar>
              <w:top w:w="120" w:type="dxa"/>
              <w:left w:w="180" w:type="dxa"/>
              <w:bottom w:w="120" w:type="dxa"/>
              <w:right w:w="180" w:type="dxa"/>
            </w:tcMar>
            <w:hideMark/>
          </w:tcPr>
          <w:p w14:paraId="17341574" w14:textId="77777777" w:rsidR="007038DE" w:rsidRPr="007038DE" w:rsidRDefault="007038DE" w:rsidP="007038DE">
            <w:pPr>
              <w:rPr>
                <w:lang w:val="es-CL"/>
              </w:rPr>
            </w:pPr>
            <w:r w:rsidRPr="007038DE">
              <w:rPr>
                <w:lang w:val="es-CL"/>
              </w:rPr>
              <w:t>0.63</w:t>
            </w:r>
          </w:p>
        </w:tc>
      </w:tr>
      <w:tr w:rsidR="007038DE" w:rsidRPr="007038DE" w14:paraId="1FC9EF9F" w14:textId="77777777">
        <w:tc>
          <w:tcPr>
            <w:tcW w:w="0" w:type="auto"/>
            <w:tcMar>
              <w:top w:w="120" w:type="dxa"/>
              <w:left w:w="180" w:type="dxa"/>
              <w:bottom w:w="120" w:type="dxa"/>
              <w:right w:w="180" w:type="dxa"/>
            </w:tcMar>
            <w:hideMark/>
          </w:tcPr>
          <w:p w14:paraId="419008D7" w14:textId="77777777" w:rsidR="007038DE" w:rsidRPr="007038DE" w:rsidRDefault="007038DE" w:rsidP="007038DE">
            <w:pPr>
              <w:rPr>
                <w:lang w:val="es-CL"/>
              </w:rPr>
            </w:pPr>
            <w:r w:rsidRPr="007038DE">
              <w:rPr>
                <w:b/>
                <w:bCs/>
                <w:lang w:val="es-CL"/>
              </w:rPr>
              <w:t>TAPSE (cm)</w:t>
            </w:r>
          </w:p>
        </w:tc>
        <w:tc>
          <w:tcPr>
            <w:tcW w:w="0" w:type="auto"/>
            <w:tcMar>
              <w:top w:w="120" w:type="dxa"/>
              <w:left w:w="180" w:type="dxa"/>
              <w:bottom w:w="120" w:type="dxa"/>
              <w:right w:w="180" w:type="dxa"/>
            </w:tcMar>
            <w:hideMark/>
          </w:tcPr>
          <w:p w14:paraId="4DAFF0E1" w14:textId="77777777" w:rsidR="007038DE" w:rsidRPr="007038DE" w:rsidRDefault="007038DE" w:rsidP="007038DE">
            <w:pPr>
              <w:rPr>
                <w:lang w:val="es-CL"/>
              </w:rPr>
            </w:pPr>
            <w:r w:rsidRPr="007038DE">
              <w:rPr>
                <w:lang w:val="es-CL"/>
              </w:rPr>
              <w:t>60</w:t>
            </w:r>
          </w:p>
        </w:tc>
        <w:tc>
          <w:tcPr>
            <w:tcW w:w="0" w:type="auto"/>
            <w:tcMar>
              <w:top w:w="120" w:type="dxa"/>
              <w:left w:w="180" w:type="dxa"/>
              <w:bottom w:w="120" w:type="dxa"/>
              <w:right w:w="180" w:type="dxa"/>
            </w:tcMar>
            <w:hideMark/>
          </w:tcPr>
          <w:p w14:paraId="71B8BA3B" w14:textId="77777777" w:rsidR="007038DE" w:rsidRPr="007038DE" w:rsidRDefault="007038DE" w:rsidP="007038DE">
            <w:pPr>
              <w:rPr>
                <w:lang w:val="es-CL"/>
              </w:rPr>
            </w:pPr>
            <w:r w:rsidRPr="007038DE">
              <w:rPr>
                <w:lang w:val="es-CL"/>
              </w:rPr>
              <w:t>1.60 (1.30 to 1.80)</w:t>
            </w:r>
          </w:p>
        </w:tc>
        <w:tc>
          <w:tcPr>
            <w:tcW w:w="0" w:type="auto"/>
            <w:tcMar>
              <w:top w:w="120" w:type="dxa"/>
              <w:left w:w="180" w:type="dxa"/>
              <w:bottom w:w="120" w:type="dxa"/>
              <w:right w:w="180" w:type="dxa"/>
            </w:tcMar>
            <w:hideMark/>
          </w:tcPr>
          <w:p w14:paraId="56CD691C" w14:textId="77777777" w:rsidR="007038DE" w:rsidRPr="007038DE" w:rsidRDefault="007038DE" w:rsidP="007038DE">
            <w:pPr>
              <w:rPr>
                <w:lang w:val="es-CL"/>
              </w:rPr>
            </w:pPr>
            <w:r w:rsidRPr="007038DE">
              <w:rPr>
                <w:lang w:val="es-CL"/>
              </w:rPr>
              <w:t>1.60 (1.40 to 1.80)</w:t>
            </w:r>
          </w:p>
        </w:tc>
        <w:tc>
          <w:tcPr>
            <w:tcW w:w="0" w:type="auto"/>
            <w:tcMar>
              <w:top w:w="120" w:type="dxa"/>
              <w:left w:w="180" w:type="dxa"/>
              <w:bottom w:w="120" w:type="dxa"/>
              <w:right w:w="180" w:type="dxa"/>
            </w:tcMar>
            <w:hideMark/>
          </w:tcPr>
          <w:p w14:paraId="214644CB" w14:textId="77777777" w:rsidR="007038DE" w:rsidRPr="007038DE" w:rsidRDefault="007038DE" w:rsidP="007038DE">
            <w:pPr>
              <w:rPr>
                <w:lang w:val="es-CL"/>
              </w:rPr>
            </w:pPr>
            <w:r w:rsidRPr="007038DE">
              <w:rPr>
                <w:lang w:val="es-CL"/>
              </w:rPr>
              <w:t>0.38</w:t>
            </w:r>
          </w:p>
        </w:tc>
      </w:tr>
      <w:tr w:rsidR="007038DE" w:rsidRPr="007038DE" w14:paraId="227C736E" w14:textId="77777777">
        <w:tc>
          <w:tcPr>
            <w:tcW w:w="0" w:type="auto"/>
            <w:tcMar>
              <w:top w:w="120" w:type="dxa"/>
              <w:left w:w="180" w:type="dxa"/>
              <w:bottom w:w="120" w:type="dxa"/>
              <w:right w:w="180" w:type="dxa"/>
            </w:tcMar>
            <w:hideMark/>
          </w:tcPr>
          <w:p w14:paraId="20FA725E" w14:textId="77777777" w:rsidR="007038DE" w:rsidRPr="007038DE" w:rsidRDefault="007038DE" w:rsidP="007038DE">
            <w:pPr>
              <w:rPr>
                <w:lang w:val="es-CL"/>
              </w:rPr>
            </w:pPr>
            <w:r w:rsidRPr="007038DE">
              <w:rPr>
                <w:b/>
                <w:bCs/>
                <w:lang w:val="es-CL"/>
              </w:rPr>
              <w:t>Shortening Fraction (%)</w:t>
            </w:r>
          </w:p>
        </w:tc>
        <w:tc>
          <w:tcPr>
            <w:tcW w:w="0" w:type="auto"/>
            <w:tcMar>
              <w:top w:w="120" w:type="dxa"/>
              <w:left w:w="180" w:type="dxa"/>
              <w:bottom w:w="120" w:type="dxa"/>
              <w:right w:w="180" w:type="dxa"/>
            </w:tcMar>
            <w:hideMark/>
          </w:tcPr>
          <w:p w14:paraId="43023E30" w14:textId="77777777" w:rsidR="007038DE" w:rsidRPr="007038DE" w:rsidRDefault="007038DE" w:rsidP="007038DE">
            <w:pPr>
              <w:rPr>
                <w:lang w:val="es-CL"/>
              </w:rPr>
            </w:pPr>
            <w:r w:rsidRPr="007038DE">
              <w:rPr>
                <w:lang w:val="es-CL"/>
              </w:rPr>
              <w:t>58</w:t>
            </w:r>
          </w:p>
        </w:tc>
        <w:tc>
          <w:tcPr>
            <w:tcW w:w="0" w:type="auto"/>
            <w:tcMar>
              <w:top w:w="120" w:type="dxa"/>
              <w:left w:w="180" w:type="dxa"/>
              <w:bottom w:w="120" w:type="dxa"/>
              <w:right w:w="180" w:type="dxa"/>
            </w:tcMar>
            <w:hideMark/>
          </w:tcPr>
          <w:p w14:paraId="4818A090" w14:textId="77777777" w:rsidR="007038DE" w:rsidRPr="007038DE" w:rsidRDefault="007038DE" w:rsidP="007038DE">
            <w:pPr>
              <w:rPr>
                <w:lang w:val="es-CL"/>
              </w:rPr>
            </w:pPr>
            <w:r w:rsidRPr="007038DE">
              <w:rPr>
                <w:lang w:val="es-CL"/>
              </w:rPr>
              <w:t>38.5 (33.0 to 42.0)</w:t>
            </w:r>
          </w:p>
        </w:tc>
        <w:tc>
          <w:tcPr>
            <w:tcW w:w="0" w:type="auto"/>
            <w:tcMar>
              <w:top w:w="120" w:type="dxa"/>
              <w:left w:w="180" w:type="dxa"/>
              <w:bottom w:w="120" w:type="dxa"/>
              <w:right w:w="180" w:type="dxa"/>
            </w:tcMar>
            <w:hideMark/>
          </w:tcPr>
          <w:p w14:paraId="73D48814" w14:textId="77777777" w:rsidR="007038DE" w:rsidRPr="007038DE" w:rsidRDefault="007038DE" w:rsidP="007038DE">
            <w:pPr>
              <w:rPr>
                <w:lang w:val="es-CL"/>
              </w:rPr>
            </w:pPr>
            <w:r w:rsidRPr="007038DE">
              <w:rPr>
                <w:lang w:val="es-CL"/>
              </w:rPr>
              <w:t>36.5 (32.3 to 40.0)</w:t>
            </w:r>
          </w:p>
        </w:tc>
        <w:tc>
          <w:tcPr>
            <w:tcW w:w="0" w:type="auto"/>
            <w:tcMar>
              <w:top w:w="120" w:type="dxa"/>
              <w:left w:w="180" w:type="dxa"/>
              <w:bottom w:w="120" w:type="dxa"/>
              <w:right w:w="180" w:type="dxa"/>
            </w:tcMar>
            <w:hideMark/>
          </w:tcPr>
          <w:p w14:paraId="3B756A51" w14:textId="77777777" w:rsidR="007038DE" w:rsidRPr="007038DE" w:rsidRDefault="007038DE" w:rsidP="007038DE">
            <w:pPr>
              <w:rPr>
                <w:lang w:val="es-CL"/>
              </w:rPr>
            </w:pPr>
            <w:r w:rsidRPr="007038DE">
              <w:rPr>
                <w:lang w:val="es-CL"/>
              </w:rPr>
              <w:t>0.12</w:t>
            </w:r>
          </w:p>
        </w:tc>
      </w:tr>
    </w:tbl>
    <w:p w14:paraId="1B64F9D0" w14:textId="77777777" w:rsidR="007038DE" w:rsidRPr="007038DE" w:rsidRDefault="007038DE" w:rsidP="007038DE">
      <w:pPr>
        <w:rPr>
          <w:lang w:val="en-US"/>
        </w:rPr>
      </w:pPr>
      <w:r w:rsidRPr="007038DE">
        <w:rPr>
          <w:lang w:val="en-US"/>
        </w:rPr>
        <w:t>Data are presented as median (interquartile range). To ensure internal validity, baseline and final echocardiographic parameters are presented exclusively for the subset of patients with available paired measurements at both time points. P-values calculated using the Wilcoxon signed-rank test to evaluate longitudinal intra-group changes. LVEDD: Left Ventricular End-Diastolic Diameter; RVOT: Right Ventricular Outflow Tract; TAPSE: Tricuspid Annular Plane Systolic Excursion.</w:t>
      </w:r>
    </w:p>
    <w:p w14:paraId="0BD0528B" w14:textId="77777777" w:rsidR="007038DE" w:rsidRPr="007038DE" w:rsidRDefault="007038DE" w:rsidP="007038DE">
      <w:pPr>
        <w:rPr>
          <w:b/>
          <w:bCs/>
          <w:lang w:val="en-US"/>
        </w:rPr>
      </w:pPr>
      <w:r w:rsidRPr="007038DE">
        <w:rPr>
          <w:b/>
          <w:bCs/>
          <w:lang w:val="en-US"/>
        </w:rPr>
        <w:t>Online Resource 2: Evolution of BMI Z-Score by Surgical Repair Subgroups</w:t>
      </w:r>
    </w:p>
    <w:p w14:paraId="51FB57E4" w14:textId="28456F68" w:rsidR="007038DE" w:rsidRPr="007038DE" w:rsidRDefault="007038DE" w:rsidP="007038DE">
      <w:pPr>
        <w:rPr>
          <w:lang w:val="en-US"/>
        </w:rPr>
      </w:pPr>
      <w:r w:rsidRPr="007038DE">
        <w:rPr>
          <w:lang w:val="es-CL"/>
        </w:rPr>
        <w:lastRenderedPageBreak/>
        <w:drawing>
          <wp:inline distT="0" distB="0" distL="0" distR="0" wp14:anchorId="40FFFD4C" wp14:editId="627686AF">
            <wp:extent cx="5731510" cy="3702050"/>
            <wp:effectExtent l="0" t="0" r="2540" b="0"/>
            <wp:docPr id="921091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702050"/>
                    </a:xfrm>
                    <a:prstGeom prst="rect">
                      <a:avLst/>
                    </a:prstGeom>
                    <a:noFill/>
                    <a:ln>
                      <a:noFill/>
                    </a:ln>
                  </pic:spPr>
                </pic:pic>
              </a:graphicData>
            </a:graphic>
          </wp:inline>
        </w:drawing>
      </w:r>
    </w:p>
    <w:p w14:paraId="3267A4EA" w14:textId="77777777" w:rsidR="007038DE" w:rsidRPr="007038DE" w:rsidRDefault="007038DE" w:rsidP="007038DE">
      <w:pPr>
        <w:rPr>
          <w:lang w:val="en-US"/>
        </w:rPr>
      </w:pPr>
      <w:r w:rsidRPr="007038DE">
        <w:rPr>
          <w:b/>
          <w:bCs/>
          <w:lang w:val="en-US"/>
        </w:rPr>
        <w:t>Online Resource 2: Evolution of BMI Z-score during follow-up by surgical repair strategy.</w:t>
      </w:r>
      <w:r w:rsidRPr="007038DE">
        <w:rPr>
          <w:lang w:val="en-US"/>
        </w:rPr>
        <w:t xml:space="preserve"> </w:t>
      </w:r>
    </w:p>
    <w:p w14:paraId="4D2E6BBD" w14:textId="77777777" w:rsidR="007038DE" w:rsidRPr="007038DE" w:rsidRDefault="007038DE" w:rsidP="007038DE">
      <w:pPr>
        <w:rPr>
          <w:lang w:val="en-US"/>
        </w:rPr>
      </w:pPr>
      <w:r w:rsidRPr="007038DE">
        <w:rPr>
          <w:lang w:val="en-US"/>
        </w:rPr>
        <w:t>Trajectory of body mass index Z-score (zBMI) stratified by the type of surgical repair. Grey lines represent individual patient trajectories. Coloured lines represent group median trends: green, transannular patch (TAP) and valve-sparing repair (VSR) pooled cohort; purple, complex repair cohort (right ventricle–to–pulmonary artery conduit and/or unifocalization). Pooled cross-sectional analysis demonstrated that patients with complex repairs maintained significantly lower zBMI than TAP+VSR patients both initially (Mann-Whitney U test, p = 0.012) and at final follow-up (p = 0.048). Longitudinal intra-group evaluation showed a statistically significant zBMI increase exclusively in the complex repair group over time (Wilcoxon signed-rank test, p = 0.040). A p-value &lt; 0.05 was considered statistically significant. zBMI was calculated using the WHO 2007 reference. TAP: Transannular Patch; VSR: Valve-Sparing Repair; zBMI: Body Mass Index Z-score.</w:t>
      </w:r>
    </w:p>
    <w:p w14:paraId="5F217685"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DE"/>
    <w:rsid w:val="007038DE"/>
    <w:rsid w:val="00767E38"/>
    <w:rsid w:val="00866F7D"/>
    <w:rsid w:val="00CA58A0"/>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5ADC"/>
  <w15:chartTrackingRefBased/>
  <w15:docId w15:val="{B59C793F-399C-4E20-9AAC-017F818E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8DE"/>
    <w:rPr>
      <w:rFonts w:eastAsiaTheme="majorEastAsia" w:cstheme="majorBidi"/>
      <w:color w:val="272727" w:themeColor="text1" w:themeTint="D8"/>
    </w:rPr>
  </w:style>
  <w:style w:type="paragraph" w:styleId="Title">
    <w:name w:val="Title"/>
    <w:basedOn w:val="Normal"/>
    <w:next w:val="Normal"/>
    <w:link w:val="TitleChar"/>
    <w:uiPriority w:val="10"/>
    <w:qFormat/>
    <w:rsid w:val="00703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8DE"/>
    <w:pPr>
      <w:spacing w:before="160"/>
      <w:jc w:val="center"/>
    </w:pPr>
    <w:rPr>
      <w:i/>
      <w:iCs/>
      <w:color w:val="404040" w:themeColor="text1" w:themeTint="BF"/>
    </w:rPr>
  </w:style>
  <w:style w:type="character" w:customStyle="1" w:styleId="QuoteChar">
    <w:name w:val="Quote Char"/>
    <w:basedOn w:val="DefaultParagraphFont"/>
    <w:link w:val="Quote"/>
    <w:uiPriority w:val="29"/>
    <w:rsid w:val="007038DE"/>
    <w:rPr>
      <w:i/>
      <w:iCs/>
      <w:color w:val="404040" w:themeColor="text1" w:themeTint="BF"/>
    </w:rPr>
  </w:style>
  <w:style w:type="paragraph" w:styleId="ListParagraph">
    <w:name w:val="List Paragraph"/>
    <w:basedOn w:val="Normal"/>
    <w:uiPriority w:val="34"/>
    <w:qFormat/>
    <w:rsid w:val="007038DE"/>
    <w:pPr>
      <w:ind w:left="720"/>
      <w:contextualSpacing/>
    </w:pPr>
  </w:style>
  <w:style w:type="character" w:styleId="IntenseEmphasis">
    <w:name w:val="Intense Emphasis"/>
    <w:basedOn w:val="DefaultParagraphFont"/>
    <w:uiPriority w:val="21"/>
    <w:qFormat/>
    <w:rsid w:val="007038DE"/>
    <w:rPr>
      <w:i/>
      <w:iCs/>
      <w:color w:val="0F4761" w:themeColor="accent1" w:themeShade="BF"/>
    </w:rPr>
  </w:style>
  <w:style w:type="paragraph" w:styleId="IntenseQuote">
    <w:name w:val="Intense Quote"/>
    <w:basedOn w:val="Normal"/>
    <w:next w:val="Normal"/>
    <w:link w:val="IntenseQuoteChar"/>
    <w:uiPriority w:val="30"/>
    <w:qFormat/>
    <w:rsid w:val="00703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8DE"/>
    <w:rPr>
      <w:i/>
      <w:iCs/>
      <w:color w:val="0F4761" w:themeColor="accent1" w:themeShade="BF"/>
    </w:rPr>
  </w:style>
  <w:style w:type="character" w:styleId="IntenseReference">
    <w:name w:val="Intense Reference"/>
    <w:basedOn w:val="DefaultParagraphFont"/>
    <w:uiPriority w:val="32"/>
    <w:qFormat/>
    <w:rsid w:val="007038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2026-08-14T13:55:00Z</dcterms:created>
  <dcterms:modified xsi:type="dcterms:W3CDTF">2026-08-14T13:56:00Z</dcterms:modified>
</cp:coreProperties>
</file>