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0E7" w:rsidRPr="006120E7" w:rsidRDefault="006120E7" w:rsidP="006120E7">
      <w:pPr>
        <w:shd w:val="clear" w:color="auto" w:fill="FFFFFF"/>
        <w:spacing w:after="0" w:line="360" w:lineRule="auto"/>
        <w:outlineLvl w:val="2"/>
        <w:rPr>
          <w:rFonts w:ascii="Arial" w:eastAsia="Times New Roman" w:hAnsi="Arial" w:cs="Arial"/>
          <w:b/>
          <w:bCs/>
          <w:color w:val="0F1115"/>
        </w:rPr>
      </w:pPr>
      <w:r w:rsidRPr="006120E7">
        <w:rPr>
          <w:rFonts w:ascii="Arial" w:eastAsia="Times New Roman" w:hAnsi="Arial" w:cs="Arial"/>
          <w:b/>
          <w:bCs/>
          <w:color w:val="0F1115"/>
        </w:rPr>
        <w:t>Supplementary Table S1:</w:t>
      </w:r>
      <w:bookmarkStart w:id="0" w:name="_GoBack"/>
      <w:bookmarkEnd w:id="0"/>
      <w:r w:rsidRPr="006120E7">
        <w:rPr>
          <w:rFonts w:ascii="Arial" w:eastAsia="Times New Roman" w:hAnsi="Arial" w:cs="Arial"/>
          <w:b/>
          <w:bCs/>
          <w:color w:val="0F1115"/>
        </w:rPr>
        <w:t xml:space="preserve"> Variable Definitions and Measurement</w:t>
      </w:r>
    </w:p>
    <w:p w:rsidR="006120E7" w:rsidRPr="006120E7" w:rsidRDefault="006120E7" w:rsidP="006120E7">
      <w:pPr>
        <w:shd w:val="clear" w:color="auto" w:fill="FFFFFF"/>
        <w:spacing w:after="0" w:line="360" w:lineRule="auto"/>
        <w:outlineLvl w:val="3"/>
        <w:rPr>
          <w:rFonts w:ascii="Arial" w:eastAsia="Times New Roman" w:hAnsi="Arial" w:cs="Arial"/>
          <w:b/>
          <w:bCs/>
          <w:color w:val="0F1115"/>
        </w:rPr>
      </w:pPr>
      <w:r w:rsidRPr="006120E7">
        <w:rPr>
          <w:rFonts w:ascii="Arial" w:eastAsia="Times New Roman" w:hAnsi="Arial" w:cs="Arial"/>
          <w:b/>
          <w:bCs/>
          <w:color w:val="0F1115"/>
        </w:rPr>
        <w:t>Outcome Variables</w:t>
      </w:r>
    </w:p>
    <w:p w:rsidR="006120E7" w:rsidRPr="006120E7" w:rsidRDefault="006120E7" w:rsidP="006120E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F1115"/>
        </w:rPr>
      </w:pPr>
      <w:r w:rsidRPr="006120E7">
        <w:rPr>
          <w:rFonts w:ascii="Arial" w:eastAsia="Times New Roman" w:hAnsi="Arial" w:cs="Arial"/>
          <w:b/>
          <w:bCs/>
          <w:color w:val="0F1115"/>
        </w:rPr>
        <w:t>Household Income:</w:t>
      </w:r>
      <w:r w:rsidRPr="006120E7">
        <w:rPr>
          <w:rFonts w:ascii="Arial" w:eastAsia="Times New Roman" w:hAnsi="Arial" w:cs="Arial"/>
          <w:color w:val="0F1115"/>
        </w:rPr>
        <w:t> Total annual household income from all sources, measured in Ethiopian Birr (ETB). Income was calculated as the sum of:</w:t>
      </w:r>
    </w:p>
    <w:p w:rsidR="006120E7" w:rsidRPr="006120E7" w:rsidRDefault="006120E7" w:rsidP="006120E7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F1115"/>
        </w:rPr>
      </w:pPr>
      <w:r w:rsidRPr="006120E7">
        <w:rPr>
          <w:rFonts w:ascii="Arial" w:eastAsia="Times New Roman" w:hAnsi="Arial" w:cs="Arial"/>
          <w:b/>
          <w:bCs/>
          <w:color w:val="0F1115"/>
        </w:rPr>
        <w:t>Crop income:</w:t>
      </w:r>
      <w:r w:rsidRPr="006120E7">
        <w:rPr>
          <w:rFonts w:ascii="Arial" w:eastAsia="Times New Roman" w:hAnsi="Arial" w:cs="Arial"/>
          <w:color w:val="0F1115"/>
        </w:rPr>
        <w:t> Value of crops produced and sold, plus value of crops consumed</w:t>
      </w:r>
    </w:p>
    <w:p w:rsidR="006120E7" w:rsidRPr="006120E7" w:rsidRDefault="006120E7" w:rsidP="006120E7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F1115"/>
        </w:rPr>
      </w:pPr>
      <w:r w:rsidRPr="006120E7">
        <w:rPr>
          <w:rFonts w:ascii="Arial" w:eastAsia="Times New Roman" w:hAnsi="Arial" w:cs="Arial"/>
          <w:b/>
          <w:bCs/>
          <w:color w:val="0F1115"/>
        </w:rPr>
        <w:t>Livestock income:</w:t>
      </w:r>
      <w:r w:rsidRPr="006120E7">
        <w:rPr>
          <w:rFonts w:ascii="Arial" w:eastAsia="Times New Roman" w:hAnsi="Arial" w:cs="Arial"/>
          <w:color w:val="0F1115"/>
        </w:rPr>
        <w:t> Value of livestock and livestock products sold, plus value consumed</w:t>
      </w:r>
    </w:p>
    <w:p w:rsidR="006120E7" w:rsidRPr="006120E7" w:rsidRDefault="006120E7" w:rsidP="006120E7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F1115"/>
        </w:rPr>
      </w:pPr>
      <w:r w:rsidRPr="006120E7">
        <w:rPr>
          <w:rFonts w:ascii="Arial" w:eastAsia="Times New Roman" w:hAnsi="Arial" w:cs="Arial"/>
          <w:b/>
          <w:bCs/>
          <w:color w:val="0F1115"/>
        </w:rPr>
        <w:t>Off-farm income:</w:t>
      </w:r>
      <w:r w:rsidRPr="006120E7">
        <w:rPr>
          <w:rFonts w:ascii="Arial" w:eastAsia="Times New Roman" w:hAnsi="Arial" w:cs="Arial"/>
          <w:color w:val="0F1115"/>
        </w:rPr>
        <w:t> Wages, business income</w:t>
      </w:r>
    </w:p>
    <w:p w:rsidR="006120E7" w:rsidRPr="006120E7" w:rsidRDefault="006120E7" w:rsidP="006120E7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F1115"/>
        </w:rPr>
      </w:pPr>
      <w:r w:rsidRPr="006120E7">
        <w:rPr>
          <w:rFonts w:ascii="Arial" w:eastAsia="Times New Roman" w:hAnsi="Arial" w:cs="Arial"/>
          <w:b/>
          <w:bCs/>
          <w:color w:val="0F1115"/>
        </w:rPr>
        <w:t>Other income:</w:t>
      </w:r>
      <w:r w:rsidRPr="006120E7">
        <w:rPr>
          <w:rFonts w:ascii="Arial" w:eastAsia="Times New Roman" w:hAnsi="Arial" w:cs="Arial"/>
          <w:color w:val="0F1115"/>
        </w:rPr>
        <w:t> Remittances, gifts, transfers</w:t>
      </w:r>
    </w:p>
    <w:p w:rsidR="006120E7" w:rsidRPr="006120E7" w:rsidRDefault="006120E7" w:rsidP="006120E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F1115"/>
        </w:rPr>
      </w:pPr>
      <w:r w:rsidRPr="006120E7">
        <w:rPr>
          <w:rFonts w:ascii="Arial" w:eastAsia="Times New Roman" w:hAnsi="Arial" w:cs="Arial"/>
          <w:b/>
          <w:bCs/>
          <w:color w:val="0F1115"/>
        </w:rPr>
        <w:t>Women's Economic Empowerment (WEE) Index:</w:t>
      </w:r>
      <w:r w:rsidRPr="006120E7">
        <w:rPr>
          <w:rFonts w:ascii="Arial" w:eastAsia="Times New Roman" w:hAnsi="Arial" w:cs="Arial"/>
          <w:color w:val="0F1115"/>
        </w:rPr>
        <w:t> A composite index constructed using Principal Component Analysis (PCA) based on eight indicators, each measured on a 1-5 scale: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6"/>
        <w:gridCol w:w="4719"/>
        <w:gridCol w:w="2555"/>
      </w:tblGrid>
      <w:tr w:rsidR="006120E7" w:rsidRPr="006120E7" w:rsidTr="00B06550">
        <w:trPr>
          <w:tblHeader/>
        </w:trPr>
        <w:tc>
          <w:tcPr>
            <w:tcW w:w="1114" w:type="pct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Indicator</w:t>
            </w:r>
          </w:p>
        </w:tc>
        <w:tc>
          <w:tcPr>
            <w:tcW w:w="2521" w:type="pct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Description</w:t>
            </w:r>
          </w:p>
        </w:tc>
        <w:tc>
          <w:tcPr>
            <w:tcW w:w="1365" w:type="pct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Scale</w:t>
            </w:r>
          </w:p>
        </w:tc>
      </w:tr>
      <w:tr w:rsidR="006120E7" w:rsidRPr="006120E7" w:rsidTr="00B06550">
        <w:tc>
          <w:tcPr>
            <w:tcW w:w="1114" w:type="pct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b/>
                <w:bCs/>
                <w:color w:val="auto"/>
              </w:rPr>
              <w:t>Decision-making power</w:t>
            </w:r>
          </w:p>
        </w:tc>
        <w:tc>
          <w:tcPr>
            <w:tcW w:w="2521" w:type="pct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Who decides on crop production, livestock sales, and major purchases</w:t>
            </w:r>
          </w:p>
        </w:tc>
        <w:tc>
          <w:tcPr>
            <w:tcW w:w="1365" w:type="pct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1=husband only, 5=wife only</w:t>
            </w:r>
          </w:p>
        </w:tc>
      </w:tr>
      <w:tr w:rsidR="006120E7" w:rsidRPr="006120E7" w:rsidTr="00B06550">
        <w:tc>
          <w:tcPr>
            <w:tcW w:w="1114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b/>
                <w:bCs/>
                <w:color w:val="auto"/>
              </w:rPr>
              <w:t>Control over resources</w:t>
            </w:r>
          </w:p>
        </w:tc>
        <w:tc>
          <w:tcPr>
            <w:tcW w:w="252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Who controls income from women's activities</w:t>
            </w:r>
          </w:p>
        </w:tc>
        <w:tc>
          <w:tcPr>
            <w:tcW w:w="1365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1=husband only, 5=wife only</w:t>
            </w:r>
          </w:p>
        </w:tc>
      </w:tr>
      <w:tr w:rsidR="006120E7" w:rsidRPr="006120E7" w:rsidTr="00B06550">
        <w:tc>
          <w:tcPr>
            <w:tcW w:w="1114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b/>
                <w:bCs/>
                <w:color w:val="auto"/>
              </w:rPr>
              <w:t>Access to credit</w:t>
            </w:r>
          </w:p>
        </w:tc>
        <w:tc>
          <w:tcPr>
            <w:tcW w:w="252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Whether the woman has access to credit independently</w:t>
            </w:r>
          </w:p>
        </w:tc>
        <w:tc>
          <w:tcPr>
            <w:tcW w:w="1365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1=no, 5=yes, independently</w:t>
            </w:r>
          </w:p>
        </w:tc>
      </w:tr>
      <w:tr w:rsidR="006120E7" w:rsidRPr="006120E7" w:rsidTr="00B06550">
        <w:tc>
          <w:tcPr>
            <w:tcW w:w="1114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b/>
                <w:bCs/>
                <w:color w:val="auto"/>
              </w:rPr>
              <w:t>Income generation</w:t>
            </w:r>
          </w:p>
        </w:tc>
        <w:tc>
          <w:tcPr>
            <w:tcW w:w="252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Whether the woman generates independent income</w:t>
            </w:r>
          </w:p>
        </w:tc>
        <w:tc>
          <w:tcPr>
            <w:tcW w:w="1365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1=no, 5=yes, substantial income</w:t>
            </w:r>
          </w:p>
        </w:tc>
      </w:tr>
      <w:tr w:rsidR="006120E7" w:rsidRPr="006120E7" w:rsidTr="00B06550">
        <w:tc>
          <w:tcPr>
            <w:tcW w:w="1114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b/>
                <w:bCs/>
                <w:color w:val="auto"/>
              </w:rPr>
              <w:t>Market participation</w:t>
            </w:r>
          </w:p>
        </w:tc>
        <w:tc>
          <w:tcPr>
            <w:tcW w:w="252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Whether the woman participates in market activities independently</w:t>
            </w:r>
          </w:p>
        </w:tc>
        <w:tc>
          <w:tcPr>
            <w:tcW w:w="1365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1=never, 5=always</w:t>
            </w:r>
          </w:p>
        </w:tc>
      </w:tr>
      <w:tr w:rsidR="006120E7" w:rsidRPr="006120E7" w:rsidTr="00B06550">
        <w:tc>
          <w:tcPr>
            <w:tcW w:w="1114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b/>
                <w:bCs/>
                <w:color w:val="auto"/>
              </w:rPr>
              <w:t>Social networks</w:t>
            </w:r>
          </w:p>
        </w:tc>
        <w:tc>
          <w:tcPr>
            <w:tcW w:w="252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Strength of social networks and support</w:t>
            </w:r>
          </w:p>
        </w:tc>
        <w:tc>
          <w:tcPr>
            <w:tcW w:w="1365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1=no networks, 5=strong networks</w:t>
            </w:r>
          </w:p>
        </w:tc>
      </w:tr>
      <w:tr w:rsidR="006120E7" w:rsidRPr="006120E7" w:rsidTr="00B06550">
        <w:tc>
          <w:tcPr>
            <w:tcW w:w="1114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b/>
                <w:bCs/>
                <w:color w:val="auto"/>
              </w:rPr>
              <w:t>Leadership participation</w:t>
            </w:r>
          </w:p>
        </w:tc>
        <w:tc>
          <w:tcPr>
            <w:tcW w:w="252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Whether the woman participates in leadership roles</w:t>
            </w:r>
          </w:p>
        </w:tc>
        <w:tc>
          <w:tcPr>
            <w:tcW w:w="1365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1=never, 5=regularly</w:t>
            </w:r>
          </w:p>
        </w:tc>
      </w:tr>
      <w:tr w:rsidR="006120E7" w:rsidRPr="006120E7" w:rsidTr="00B06550">
        <w:tc>
          <w:tcPr>
            <w:tcW w:w="1114" w:type="pct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b/>
                <w:bCs/>
                <w:color w:val="auto"/>
              </w:rPr>
              <w:t>Mobility</w:t>
            </w:r>
          </w:p>
        </w:tc>
        <w:tc>
          <w:tcPr>
            <w:tcW w:w="2521" w:type="pct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Whether the woman can travel independently</w:t>
            </w:r>
          </w:p>
        </w:tc>
        <w:tc>
          <w:tcPr>
            <w:tcW w:w="1365" w:type="pct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154056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1=never, 5=always</w:t>
            </w:r>
          </w:p>
        </w:tc>
      </w:tr>
    </w:tbl>
    <w:p w:rsidR="00154056" w:rsidRDefault="00154056" w:rsidP="006120E7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0F1115"/>
        </w:rPr>
      </w:pPr>
    </w:p>
    <w:p w:rsidR="006120E7" w:rsidRPr="006120E7" w:rsidRDefault="006120E7" w:rsidP="006120E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F1115"/>
        </w:rPr>
      </w:pPr>
      <w:r w:rsidRPr="006120E7">
        <w:rPr>
          <w:rFonts w:ascii="Arial" w:eastAsia="Times New Roman" w:hAnsi="Arial" w:cs="Arial"/>
          <w:b/>
          <w:bCs/>
          <w:color w:val="0F1115"/>
        </w:rPr>
        <w:lastRenderedPageBreak/>
        <w:t>PCA Results:</w:t>
      </w:r>
    </w:p>
    <w:p w:rsidR="006120E7" w:rsidRPr="006120E7" w:rsidRDefault="006120E7" w:rsidP="006120E7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F1115"/>
        </w:rPr>
      </w:pPr>
      <w:r w:rsidRPr="006120E7">
        <w:rPr>
          <w:rFonts w:ascii="Arial" w:eastAsia="Times New Roman" w:hAnsi="Arial" w:cs="Arial"/>
          <w:color w:val="0F1115"/>
        </w:rPr>
        <w:t>First component explained: 32.1% of variance</w:t>
      </w:r>
    </w:p>
    <w:p w:rsidR="006120E7" w:rsidRPr="006120E7" w:rsidRDefault="006120E7" w:rsidP="006120E7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F1115"/>
        </w:rPr>
      </w:pPr>
      <w:r w:rsidRPr="006120E7">
        <w:rPr>
          <w:rFonts w:ascii="Arial" w:eastAsia="Times New Roman" w:hAnsi="Arial" w:cs="Arial"/>
          <w:color w:val="0F1115"/>
        </w:rPr>
        <w:t>KMO measure of sampling adequacy: 0.812</w:t>
      </w:r>
    </w:p>
    <w:p w:rsidR="006120E7" w:rsidRPr="006120E7" w:rsidRDefault="006120E7" w:rsidP="006120E7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F1115"/>
        </w:rPr>
      </w:pPr>
      <w:r w:rsidRPr="006120E7">
        <w:rPr>
          <w:rFonts w:ascii="Arial" w:eastAsia="Times New Roman" w:hAnsi="Arial" w:cs="Arial"/>
          <w:color w:val="0F1115"/>
        </w:rPr>
        <w:t xml:space="preserve">Bartlett's test of </w:t>
      </w:r>
      <w:proofErr w:type="spellStart"/>
      <w:r w:rsidRPr="006120E7">
        <w:rPr>
          <w:rFonts w:ascii="Arial" w:eastAsia="Times New Roman" w:hAnsi="Arial" w:cs="Arial"/>
          <w:color w:val="0F1115"/>
        </w:rPr>
        <w:t>sphericity</w:t>
      </w:r>
      <w:proofErr w:type="spellEnd"/>
      <w:r w:rsidRPr="006120E7">
        <w:rPr>
          <w:rFonts w:ascii="Arial" w:eastAsia="Times New Roman" w:hAnsi="Arial" w:cs="Arial"/>
          <w:color w:val="0F1115"/>
        </w:rPr>
        <w:t>: χ² = 345.6, p &lt; 0.001</w:t>
      </w:r>
    </w:p>
    <w:p w:rsidR="006120E7" w:rsidRPr="006120E7" w:rsidRDefault="006120E7" w:rsidP="006120E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F1115"/>
        </w:rPr>
      </w:pPr>
      <w:r w:rsidRPr="006120E7">
        <w:rPr>
          <w:rFonts w:ascii="Arial" w:eastAsia="Times New Roman" w:hAnsi="Arial" w:cs="Arial"/>
          <w:b/>
          <w:bCs/>
          <w:color w:val="0F1115"/>
        </w:rPr>
        <w:t>Component Loadings (First Component):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9"/>
        <w:gridCol w:w="3031"/>
      </w:tblGrid>
      <w:tr w:rsidR="006120E7" w:rsidRPr="006120E7" w:rsidTr="00B06550">
        <w:trPr>
          <w:tblHeader/>
        </w:trPr>
        <w:tc>
          <w:tcPr>
            <w:tcW w:w="3381" w:type="pct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Indicator</w:t>
            </w:r>
          </w:p>
        </w:tc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Loading</w:t>
            </w:r>
          </w:p>
        </w:tc>
      </w:tr>
      <w:tr w:rsidR="006120E7" w:rsidRPr="006120E7" w:rsidTr="00B06550">
        <w:tc>
          <w:tcPr>
            <w:tcW w:w="3381" w:type="pct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Decision-making power</w:t>
            </w:r>
          </w:p>
        </w:tc>
        <w:tc>
          <w:tcPr>
            <w:tcW w:w="1619" w:type="pct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0.456</w:t>
            </w:r>
          </w:p>
        </w:tc>
      </w:tr>
      <w:tr w:rsidR="006120E7" w:rsidRPr="006120E7" w:rsidTr="00B06550">
        <w:tc>
          <w:tcPr>
            <w:tcW w:w="338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Control over resources</w:t>
            </w:r>
          </w:p>
        </w:tc>
        <w:tc>
          <w:tcPr>
            <w:tcW w:w="161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0.423</w:t>
            </w:r>
          </w:p>
        </w:tc>
      </w:tr>
      <w:tr w:rsidR="006120E7" w:rsidRPr="006120E7" w:rsidTr="00B06550">
        <w:tc>
          <w:tcPr>
            <w:tcW w:w="338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Access to credit</w:t>
            </w:r>
          </w:p>
        </w:tc>
        <w:tc>
          <w:tcPr>
            <w:tcW w:w="161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0.389</w:t>
            </w:r>
          </w:p>
        </w:tc>
      </w:tr>
      <w:tr w:rsidR="006120E7" w:rsidRPr="006120E7" w:rsidTr="00B06550">
        <w:tc>
          <w:tcPr>
            <w:tcW w:w="338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Income generation</w:t>
            </w:r>
          </w:p>
        </w:tc>
        <w:tc>
          <w:tcPr>
            <w:tcW w:w="161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0.378</w:t>
            </w:r>
          </w:p>
        </w:tc>
      </w:tr>
      <w:tr w:rsidR="006120E7" w:rsidRPr="006120E7" w:rsidTr="00B06550">
        <w:tc>
          <w:tcPr>
            <w:tcW w:w="338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Market participation</w:t>
            </w:r>
          </w:p>
        </w:tc>
        <w:tc>
          <w:tcPr>
            <w:tcW w:w="161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0.334</w:t>
            </w:r>
          </w:p>
        </w:tc>
      </w:tr>
      <w:tr w:rsidR="006120E7" w:rsidRPr="006120E7" w:rsidTr="00B06550">
        <w:tc>
          <w:tcPr>
            <w:tcW w:w="338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Social networks</w:t>
            </w:r>
          </w:p>
        </w:tc>
        <w:tc>
          <w:tcPr>
            <w:tcW w:w="161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0.312</w:t>
            </w:r>
          </w:p>
        </w:tc>
      </w:tr>
      <w:tr w:rsidR="006120E7" w:rsidRPr="006120E7" w:rsidTr="00B06550">
        <w:tc>
          <w:tcPr>
            <w:tcW w:w="338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Leadership participation</w:t>
            </w:r>
          </w:p>
        </w:tc>
        <w:tc>
          <w:tcPr>
            <w:tcW w:w="1619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0.289</w:t>
            </w:r>
          </w:p>
        </w:tc>
      </w:tr>
      <w:tr w:rsidR="006120E7" w:rsidRPr="006120E7" w:rsidTr="00B06550">
        <w:tc>
          <w:tcPr>
            <w:tcW w:w="3381" w:type="pct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Mobility</w:t>
            </w:r>
          </w:p>
        </w:tc>
        <w:tc>
          <w:tcPr>
            <w:tcW w:w="1619" w:type="pct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0.267</w:t>
            </w:r>
          </w:p>
        </w:tc>
      </w:tr>
    </w:tbl>
    <w:p w:rsidR="006120E7" w:rsidRPr="006120E7" w:rsidRDefault="006120E7" w:rsidP="006120E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F1115"/>
        </w:rPr>
      </w:pPr>
      <w:r w:rsidRPr="006120E7">
        <w:rPr>
          <w:rFonts w:ascii="Arial" w:eastAsia="Times New Roman" w:hAnsi="Arial" w:cs="Arial"/>
          <w:color w:val="0F1115"/>
        </w:rPr>
        <w:t>The resulting index was bounded between 1 and 5, with higher values indicating greater empowerment.</w:t>
      </w:r>
    </w:p>
    <w:p w:rsidR="006120E7" w:rsidRPr="006120E7" w:rsidRDefault="006120E7" w:rsidP="006120E7">
      <w:pPr>
        <w:spacing w:after="0" w:line="360" w:lineRule="auto"/>
        <w:rPr>
          <w:rFonts w:ascii="Arial" w:eastAsia="Times New Roman" w:hAnsi="Arial" w:cs="Arial"/>
          <w:color w:val="auto"/>
        </w:rPr>
      </w:pPr>
    </w:p>
    <w:p w:rsidR="006120E7" w:rsidRPr="006120E7" w:rsidRDefault="006120E7" w:rsidP="006120E7">
      <w:pPr>
        <w:shd w:val="clear" w:color="auto" w:fill="FFFFFF"/>
        <w:spacing w:after="0" w:line="360" w:lineRule="auto"/>
        <w:outlineLvl w:val="3"/>
        <w:rPr>
          <w:rFonts w:ascii="Arial" w:eastAsia="Times New Roman" w:hAnsi="Arial" w:cs="Arial"/>
          <w:b/>
          <w:bCs/>
          <w:color w:val="0F1115"/>
        </w:rPr>
      </w:pPr>
      <w:r w:rsidRPr="006120E7">
        <w:rPr>
          <w:rFonts w:ascii="Arial" w:eastAsia="Times New Roman" w:hAnsi="Arial" w:cs="Arial"/>
          <w:b/>
          <w:bCs/>
          <w:color w:val="0F1115"/>
        </w:rPr>
        <w:t>Treatment Variable</w:t>
      </w:r>
    </w:p>
    <w:p w:rsidR="006120E7" w:rsidRPr="006120E7" w:rsidRDefault="006120E7" w:rsidP="00B06550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F1115"/>
        </w:rPr>
      </w:pPr>
      <w:r w:rsidRPr="006120E7">
        <w:rPr>
          <w:rFonts w:ascii="Arial" w:eastAsia="Times New Roman" w:hAnsi="Arial" w:cs="Arial"/>
          <w:b/>
          <w:bCs/>
          <w:color w:val="0F1115"/>
        </w:rPr>
        <w:t>WSCC Membership:</w:t>
      </w:r>
      <w:r w:rsidRPr="006120E7">
        <w:rPr>
          <w:rFonts w:ascii="Arial" w:eastAsia="Times New Roman" w:hAnsi="Arial" w:cs="Arial"/>
          <w:color w:val="0F1115"/>
        </w:rPr>
        <w:t> Binary variable (1=member, 0=non-member). Members were defined as women who had been WSCC members for at least one year at the time of the survey.</w:t>
      </w:r>
    </w:p>
    <w:p w:rsidR="006120E7" w:rsidRPr="006120E7" w:rsidRDefault="006120E7" w:rsidP="00B06550">
      <w:pPr>
        <w:shd w:val="clear" w:color="auto" w:fill="FFFFFF"/>
        <w:spacing w:before="240" w:after="0" w:line="360" w:lineRule="auto"/>
        <w:outlineLvl w:val="3"/>
        <w:rPr>
          <w:rFonts w:ascii="Arial" w:eastAsia="Times New Roman" w:hAnsi="Arial" w:cs="Arial"/>
          <w:b/>
          <w:bCs/>
          <w:color w:val="0F1115"/>
        </w:rPr>
      </w:pPr>
      <w:r w:rsidRPr="006120E7">
        <w:rPr>
          <w:rFonts w:ascii="Arial" w:eastAsia="Times New Roman" w:hAnsi="Arial" w:cs="Arial"/>
          <w:b/>
          <w:bCs/>
          <w:color w:val="0F1115"/>
        </w:rPr>
        <w:t>Selection Variables (Propensity Score Estimation)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3"/>
        <w:gridCol w:w="7357"/>
      </w:tblGrid>
      <w:tr w:rsidR="006120E7" w:rsidRPr="006120E7" w:rsidTr="00B06550">
        <w:trPr>
          <w:tblHeader/>
        </w:trPr>
        <w:tc>
          <w:tcPr>
            <w:tcW w:w="1070" w:type="pct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Variable</w:t>
            </w:r>
          </w:p>
        </w:tc>
        <w:tc>
          <w:tcPr>
            <w:tcW w:w="3930" w:type="pct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Measurement</w:t>
            </w:r>
          </w:p>
        </w:tc>
      </w:tr>
      <w:tr w:rsidR="006120E7" w:rsidRPr="006120E7" w:rsidTr="00B06550">
        <w:tc>
          <w:tcPr>
            <w:tcW w:w="1070" w:type="pct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b/>
                <w:bCs/>
                <w:color w:val="auto"/>
              </w:rPr>
              <w:t>Distance to WSCC (km)</w:t>
            </w:r>
          </w:p>
        </w:tc>
        <w:tc>
          <w:tcPr>
            <w:tcW w:w="3930" w:type="pct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Distance from the household to the nearest WSCC office</w:t>
            </w:r>
          </w:p>
        </w:tc>
      </w:tr>
      <w:tr w:rsidR="006120E7" w:rsidRPr="006120E7" w:rsidTr="00B06550">
        <w:tc>
          <w:tcPr>
            <w:tcW w:w="1070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b/>
                <w:bCs/>
                <w:color w:val="auto"/>
              </w:rPr>
              <w:lastRenderedPageBreak/>
              <w:t>Awareness score (0-1)</w:t>
            </w:r>
          </w:p>
        </w:tc>
        <w:tc>
          <w:tcPr>
            <w:tcW w:w="393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Composite index of awareness of WSCC services</w:t>
            </w:r>
          </w:p>
        </w:tc>
      </w:tr>
      <w:tr w:rsidR="006120E7" w:rsidRPr="006120E7" w:rsidTr="00B06550">
        <w:tc>
          <w:tcPr>
            <w:tcW w:w="1070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b/>
                <w:bCs/>
                <w:color w:val="auto"/>
              </w:rPr>
              <w:t>Social network (0-1)</w:t>
            </w:r>
          </w:p>
        </w:tc>
        <w:tc>
          <w:tcPr>
            <w:tcW w:w="393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Strength of social networks (measured by number of trusted contacts, frequency of interaction, and support received)</w:t>
            </w:r>
          </w:p>
        </w:tc>
      </w:tr>
      <w:tr w:rsidR="006120E7" w:rsidRPr="006120E7" w:rsidTr="00B06550">
        <w:tc>
          <w:tcPr>
            <w:tcW w:w="1070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b/>
                <w:bCs/>
                <w:color w:val="auto"/>
              </w:rPr>
              <w:t>Age (years)</w:t>
            </w:r>
          </w:p>
        </w:tc>
        <w:tc>
          <w:tcPr>
            <w:tcW w:w="393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Respondent's age</w:t>
            </w:r>
          </w:p>
        </w:tc>
      </w:tr>
      <w:tr w:rsidR="006120E7" w:rsidRPr="006120E7" w:rsidTr="00B06550">
        <w:tc>
          <w:tcPr>
            <w:tcW w:w="1070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b/>
                <w:bCs/>
                <w:color w:val="auto"/>
              </w:rPr>
              <w:t>Education (years)</w:t>
            </w:r>
          </w:p>
        </w:tc>
        <w:tc>
          <w:tcPr>
            <w:tcW w:w="393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Years of schooling completed</w:t>
            </w:r>
          </w:p>
        </w:tc>
      </w:tr>
      <w:tr w:rsidR="006120E7" w:rsidRPr="006120E7" w:rsidTr="00B06550">
        <w:tc>
          <w:tcPr>
            <w:tcW w:w="1070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b/>
                <w:bCs/>
                <w:color w:val="auto"/>
              </w:rPr>
              <w:t>Land (hectares)</w:t>
            </w:r>
          </w:p>
        </w:tc>
        <w:tc>
          <w:tcPr>
            <w:tcW w:w="393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Land owned by the household</w:t>
            </w:r>
          </w:p>
        </w:tc>
      </w:tr>
      <w:tr w:rsidR="006120E7" w:rsidRPr="006120E7" w:rsidTr="00B06550">
        <w:tc>
          <w:tcPr>
            <w:tcW w:w="1070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b/>
                <w:bCs/>
                <w:color w:val="auto"/>
              </w:rPr>
              <w:t>Family size</w:t>
            </w:r>
          </w:p>
        </w:tc>
        <w:tc>
          <w:tcPr>
            <w:tcW w:w="3930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Number of household members</w:t>
            </w:r>
          </w:p>
        </w:tc>
      </w:tr>
      <w:tr w:rsidR="006120E7" w:rsidRPr="006120E7" w:rsidTr="00B06550">
        <w:tc>
          <w:tcPr>
            <w:tcW w:w="1070" w:type="pct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b/>
                <w:bCs/>
                <w:color w:val="auto"/>
              </w:rPr>
              <w:t>Credit access</w:t>
            </w:r>
          </w:p>
        </w:tc>
        <w:tc>
          <w:tcPr>
            <w:tcW w:w="3930" w:type="pct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Whether the household has access to formal credit (1=yes, 0=no)</w:t>
            </w:r>
          </w:p>
        </w:tc>
      </w:tr>
    </w:tbl>
    <w:p w:rsidR="006120E7" w:rsidRPr="006120E7" w:rsidRDefault="006120E7" w:rsidP="006120E7">
      <w:pPr>
        <w:spacing w:after="0" w:line="360" w:lineRule="auto"/>
        <w:rPr>
          <w:rFonts w:ascii="Arial" w:eastAsia="Times New Roman" w:hAnsi="Arial" w:cs="Arial"/>
          <w:color w:val="auto"/>
        </w:rPr>
      </w:pPr>
    </w:p>
    <w:p w:rsidR="006120E7" w:rsidRPr="006120E7" w:rsidRDefault="006120E7" w:rsidP="006120E7">
      <w:pPr>
        <w:shd w:val="clear" w:color="auto" w:fill="FFFFFF"/>
        <w:spacing w:after="0" w:line="360" w:lineRule="auto"/>
        <w:outlineLvl w:val="3"/>
        <w:rPr>
          <w:rFonts w:ascii="Arial" w:eastAsia="Times New Roman" w:hAnsi="Arial" w:cs="Arial"/>
          <w:b/>
          <w:bCs/>
          <w:color w:val="0F1115"/>
        </w:rPr>
      </w:pPr>
      <w:r w:rsidRPr="006120E7">
        <w:rPr>
          <w:rFonts w:ascii="Arial" w:eastAsia="Times New Roman" w:hAnsi="Arial" w:cs="Arial"/>
          <w:b/>
          <w:bCs/>
          <w:color w:val="0F1115"/>
        </w:rPr>
        <w:t>Mediator Variables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6896"/>
      </w:tblGrid>
      <w:tr w:rsidR="006120E7" w:rsidRPr="006120E7" w:rsidTr="00B06550">
        <w:trPr>
          <w:tblHeader/>
        </w:trPr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Variable</w:t>
            </w:r>
          </w:p>
        </w:tc>
        <w:tc>
          <w:tcPr>
            <w:tcW w:w="3684" w:type="pct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Measurement</w:t>
            </w:r>
          </w:p>
        </w:tc>
      </w:tr>
      <w:tr w:rsidR="006120E7" w:rsidRPr="006120E7" w:rsidTr="00B06550">
        <w:tc>
          <w:tcPr>
            <w:tcW w:w="1316" w:type="pct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b/>
                <w:bCs/>
                <w:color w:val="auto"/>
              </w:rPr>
              <w:t>Social Networks Index (0-1)</w:t>
            </w:r>
          </w:p>
        </w:tc>
        <w:tc>
          <w:tcPr>
            <w:tcW w:w="3684" w:type="pct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Composite index measuring the strength of women's social networks, including number of trusted contacts, frequency of interaction, and support received</w:t>
            </w:r>
          </w:p>
        </w:tc>
      </w:tr>
      <w:tr w:rsidR="006120E7" w:rsidRPr="006120E7" w:rsidTr="00B06550">
        <w:tc>
          <w:tcPr>
            <w:tcW w:w="1316" w:type="pct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b/>
                <w:bCs/>
                <w:color w:val="auto"/>
              </w:rPr>
              <w:t>Financial Management Skills Index (0-1)</w:t>
            </w:r>
          </w:p>
        </w:tc>
        <w:tc>
          <w:tcPr>
            <w:tcW w:w="3684" w:type="pct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120E7" w:rsidRPr="006120E7" w:rsidRDefault="006120E7" w:rsidP="00B06550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6120E7">
              <w:rPr>
                <w:rFonts w:ascii="Arial" w:eastAsia="Times New Roman" w:hAnsi="Arial" w:cs="Arial"/>
                <w:color w:val="auto"/>
              </w:rPr>
              <w:t>Composite index measuring financial literacy and management skills, including ability to budget, track expenses, plan for repayment, and make financial decisions</w:t>
            </w:r>
          </w:p>
        </w:tc>
      </w:tr>
    </w:tbl>
    <w:p w:rsidR="00712DCB" w:rsidRPr="006120E7" w:rsidRDefault="00B06550" w:rsidP="006120E7">
      <w:pPr>
        <w:spacing w:after="0" w:line="360" w:lineRule="auto"/>
        <w:rPr>
          <w:rFonts w:ascii="Arial" w:hAnsi="Arial" w:cs="Arial"/>
        </w:rPr>
      </w:pPr>
    </w:p>
    <w:sectPr w:rsidR="00712DCB" w:rsidRPr="006120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85CC3"/>
    <w:multiLevelType w:val="multilevel"/>
    <w:tmpl w:val="FB1C0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E2595E"/>
    <w:multiLevelType w:val="multilevel"/>
    <w:tmpl w:val="65C6B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F87690"/>
    <w:multiLevelType w:val="multilevel"/>
    <w:tmpl w:val="6D68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431DFD"/>
    <w:multiLevelType w:val="multilevel"/>
    <w:tmpl w:val="59F6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D61785"/>
    <w:multiLevelType w:val="multilevel"/>
    <w:tmpl w:val="0FC20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9D9"/>
    <w:rsid w:val="000009D9"/>
    <w:rsid w:val="00154056"/>
    <w:rsid w:val="005F7B0D"/>
    <w:rsid w:val="006120E7"/>
    <w:rsid w:val="006C2811"/>
    <w:rsid w:val="00B06550"/>
    <w:rsid w:val="00E2567C"/>
    <w:rsid w:val="00E279A9"/>
    <w:rsid w:val="00FF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76366A-CCB3-493A-8D0F-E8D08B6D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9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7</cp:revision>
  <dcterms:created xsi:type="dcterms:W3CDTF">2026-07-28T15:42:00Z</dcterms:created>
  <dcterms:modified xsi:type="dcterms:W3CDTF">2026-07-28T17:24:00Z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589a6218-014a-4f17-aebb-374ad66893d6</vt:lpwstr>
  </property>
</Properties>
</file>