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689F9" w14:textId="05691233" w:rsidR="00F06FB7" w:rsidRPr="008425DE" w:rsidRDefault="008425DE" w:rsidP="008425DE">
      <w:pPr>
        <w:pStyle w:val="PargrafodaLista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8425DE">
        <w:rPr>
          <w:rFonts w:ascii="Times New Roman" w:hAnsi="Times New Roman"/>
          <w:b/>
          <w:bCs/>
          <w:sz w:val="24"/>
          <w:szCs w:val="24"/>
          <w:lang w:val="en-US"/>
        </w:rPr>
        <w:t xml:space="preserve">Table S1 – </w:t>
      </w:r>
      <w:r w:rsidRPr="008425DE">
        <w:rPr>
          <w:rFonts w:ascii="Times New Roman" w:hAnsi="Times New Roman"/>
          <w:sz w:val="24"/>
          <w:szCs w:val="24"/>
          <w:lang w:val="en-US"/>
        </w:rPr>
        <w:t xml:space="preserve">Bacterial quantification and genomic DNA concentration of the </w:t>
      </w:r>
      <w:r w:rsidRPr="008425DE">
        <w:rPr>
          <w:rFonts w:ascii="Times New Roman" w:hAnsi="Times New Roman"/>
          <w:i/>
          <w:iCs/>
          <w:sz w:val="24"/>
          <w:szCs w:val="24"/>
          <w:lang w:val="en-US"/>
        </w:rPr>
        <w:t>Escherichia coli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425DE">
        <w:rPr>
          <w:rFonts w:ascii="Times New Roman" w:hAnsi="Times New Roman"/>
          <w:sz w:val="24"/>
          <w:szCs w:val="24"/>
          <w:lang w:val="en-US"/>
        </w:rPr>
        <w:t>strains used as controls</w:t>
      </w:r>
      <w:r w:rsidRPr="008425DE">
        <w:rPr>
          <w:rFonts w:ascii="Times New Roman" w:hAnsi="Times New Roman"/>
          <w:b/>
          <w:bCs/>
          <w:sz w:val="24"/>
          <w:szCs w:val="24"/>
          <w:lang w:val="en-US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502"/>
        <w:gridCol w:w="2503"/>
      </w:tblGrid>
      <w:tr w:rsidR="00F06FB7" w:rsidRPr="005043F8" w14:paraId="7C5D4508" w14:textId="77777777" w:rsidTr="00EB30AA">
        <w:trPr>
          <w:trHeight w:val="469"/>
          <w:jc w:val="center"/>
        </w:trPr>
        <w:tc>
          <w:tcPr>
            <w:tcW w:w="2502" w:type="dxa"/>
            <w:tcBorders>
              <w:bottom w:val="single" w:sz="4" w:space="0" w:color="7F7F7F"/>
              <w:right w:val="nil"/>
            </w:tcBorders>
          </w:tcPr>
          <w:p w14:paraId="3AA804A7" w14:textId="77777777" w:rsidR="00F06FB7" w:rsidRPr="008425DE" w:rsidRDefault="00F06FB7" w:rsidP="00EB30A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  <w:tcBorders>
              <w:bottom w:val="single" w:sz="4" w:space="0" w:color="7F7F7F"/>
            </w:tcBorders>
          </w:tcPr>
          <w:p w14:paraId="5AC74EF6" w14:textId="77777777" w:rsidR="00F06FB7" w:rsidRPr="005043F8" w:rsidRDefault="00F06FB7" w:rsidP="00EB30A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5043F8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CFU/mL</w:t>
            </w:r>
          </w:p>
        </w:tc>
        <w:tc>
          <w:tcPr>
            <w:tcW w:w="2503" w:type="dxa"/>
            <w:tcBorders>
              <w:bottom w:val="single" w:sz="4" w:space="0" w:color="7F7F7F"/>
            </w:tcBorders>
          </w:tcPr>
          <w:p w14:paraId="2B2D1A78" w14:textId="157B6026" w:rsidR="00F06FB7" w:rsidRPr="005043F8" w:rsidRDefault="00F06FB7" w:rsidP="00EB30A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5043F8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DNA (</w:t>
            </w:r>
            <w:r w:rsidR="00223D45">
              <w:rPr>
                <w:rFonts w:ascii="Times New Roman" w:hAnsi="Times New Roman"/>
                <w:b/>
                <w:bCs/>
                <w:sz w:val="24"/>
                <w:szCs w:val="24"/>
              </w:rPr>
              <w:t>ng</w:t>
            </w:r>
            <w:r w:rsidRPr="005043F8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/µL)</w:t>
            </w:r>
          </w:p>
        </w:tc>
      </w:tr>
      <w:tr w:rsidR="00F06FB7" w:rsidRPr="005043F8" w14:paraId="460B314B" w14:textId="77777777" w:rsidTr="00EB30AA">
        <w:trPr>
          <w:trHeight w:val="477"/>
          <w:jc w:val="center"/>
        </w:trPr>
        <w:tc>
          <w:tcPr>
            <w:tcW w:w="2502" w:type="dxa"/>
            <w:tcBorders>
              <w:right w:val="single" w:sz="4" w:space="0" w:color="7F7F7F"/>
            </w:tcBorders>
            <w:shd w:val="clear" w:color="auto" w:fill="F2F2F2"/>
          </w:tcPr>
          <w:p w14:paraId="212E4323" w14:textId="77777777" w:rsidR="00F06FB7" w:rsidRPr="005043F8" w:rsidRDefault="00F06FB7" w:rsidP="00EB30A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5043F8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UPEC CFT073</w:t>
            </w:r>
          </w:p>
        </w:tc>
        <w:tc>
          <w:tcPr>
            <w:tcW w:w="2502" w:type="dxa"/>
            <w:shd w:val="clear" w:color="auto" w:fill="F2F2F2"/>
          </w:tcPr>
          <w:p w14:paraId="06D259AE" w14:textId="77777777" w:rsidR="00F06FB7" w:rsidRPr="005043F8" w:rsidRDefault="00F06FB7" w:rsidP="00EB30A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3F8">
              <w:rPr>
                <w:rFonts w:ascii="Times New Roman" w:hAnsi="Times New Roman"/>
                <w:sz w:val="24"/>
                <w:szCs w:val="24"/>
              </w:rPr>
              <w:t>9 x 10</w:t>
            </w:r>
            <w:r w:rsidRPr="005043F8"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503" w:type="dxa"/>
            <w:shd w:val="clear" w:color="auto" w:fill="F2F2F2"/>
          </w:tcPr>
          <w:p w14:paraId="4EC71205" w14:textId="77777777" w:rsidR="00F06FB7" w:rsidRPr="005043F8" w:rsidRDefault="00F06FB7" w:rsidP="00EB30A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3F8">
              <w:rPr>
                <w:rFonts w:ascii="Times New Roman" w:hAnsi="Times New Roman"/>
                <w:sz w:val="24"/>
                <w:szCs w:val="24"/>
              </w:rPr>
              <w:t>56,3</w:t>
            </w:r>
          </w:p>
        </w:tc>
      </w:tr>
      <w:tr w:rsidR="00F06FB7" w:rsidRPr="005043F8" w14:paraId="7095506F" w14:textId="77777777" w:rsidTr="00EB30AA">
        <w:trPr>
          <w:trHeight w:val="477"/>
          <w:jc w:val="center"/>
        </w:trPr>
        <w:tc>
          <w:tcPr>
            <w:tcW w:w="2502" w:type="dxa"/>
            <w:tcBorders>
              <w:right w:val="single" w:sz="4" w:space="0" w:color="7F7F7F"/>
            </w:tcBorders>
            <w:shd w:val="clear" w:color="auto" w:fill="F2F2F2"/>
          </w:tcPr>
          <w:p w14:paraId="40BEE882" w14:textId="77777777" w:rsidR="00F06FB7" w:rsidRPr="005043F8" w:rsidRDefault="00F06FB7" w:rsidP="00EB30A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5043F8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042</w:t>
            </w:r>
          </w:p>
        </w:tc>
        <w:tc>
          <w:tcPr>
            <w:tcW w:w="2502" w:type="dxa"/>
            <w:shd w:val="clear" w:color="auto" w:fill="F2F2F2"/>
          </w:tcPr>
          <w:p w14:paraId="76EA9FC3" w14:textId="77777777" w:rsidR="00F06FB7" w:rsidRPr="005043F8" w:rsidRDefault="00F06FB7" w:rsidP="00EB30A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043F8">
              <w:rPr>
                <w:rFonts w:ascii="Times New Roman" w:hAnsi="Times New Roman"/>
                <w:sz w:val="24"/>
                <w:szCs w:val="24"/>
              </w:rPr>
              <w:t>4,3 x 10</w:t>
            </w:r>
            <w:r w:rsidRPr="005043F8">
              <w:rPr>
                <w:rFonts w:ascii="Times New Roman" w:hAnsi="Times New Roman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2503" w:type="dxa"/>
            <w:shd w:val="clear" w:color="auto" w:fill="F2F2F2"/>
          </w:tcPr>
          <w:p w14:paraId="21FFE232" w14:textId="77777777" w:rsidR="00F06FB7" w:rsidRPr="005043F8" w:rsidRDefault="00F06FB7" w:rsidP="00EB30AA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3F8">
              <w:rPr>
                <w:rFonts w:ascii="Times New Roman" w:hAnsi="Times New Roman"/>
                <w:sz w:val="24"/>
                <w:szCs w:val="24"/>
              </w:rPr>
              <w:t>57,6</w:t>
            </w:r>
          </w:p>
        </w:tc>
      </w:tr>
    </w:tbl>
    <w:p w14:paraId="2A8A253B" w14:textId="4FAFE4D9" w:rsidR="008425DE" w:rsidRDefault="008425DE" w:rsidP="00F06FB7">
      <w:pPr>
        <w:pStyle w:val="PargrafodaLista"/>
        <w:spacing w:line="240" w:lineRule="auto"/>
        <w:ind w:left="0"/>
        <w:jc w:val="both"/>
        <w:rPr>
          <w:rFonts w:ascii="Times New Roman" w:hAnsi="Times New Roman"/>
          <w:lang w:val="en-US"/>
        </w:rPr>
      </w:pPr>
      <w:r w:rsidRPr="008425DE">
        <w:rPr>
          <w:rFonts w:ascii="Times New Roman" w:hAnsi="Times New Roman"/>
          <w:lang w:val="en-US"/>
        </w:rPr>
        <w:t xml:space="preserve">Colony-forming unit per milliliter (CFU/mL) values ​​and genomic DNA concentration (ng/µL) obtained for the </w:t>
      </w:r>
      <w:r w:rsidRPr="008425DE">
        <w:rPr>
          <w:rFonts w:ascii="Times New Roman" w:hAnsi="Times New Roman"/>
          <w:i/>
          <w:iCs/>
          <w:lang w:val="en-US"/>
        </w:rPr>
        <w:t>E</w:t>
      </w:r>
      <w:r w:rsidRPr="008425DE">
        <w:rPr>
          <w:rFonts w:ascii="Times New Roman" w:hAnsi="Times New Roman"/>
          <w:i/>
          <w:iCs/>
          <w:lang w:val="en-US"/>
        </w:rPr>
        <w:t>.</w:t>
      </w:r>
      <w:r w:rsidRPr="008425DE">
        <w:rPr>
          <w:rFonts w:ascii="Times New Roman" w:hAnsi="Times New Roman"/>
          <w:i/>
          <w:iCs/>
          <w:lang w:val="en-US"/>
        </w:rPr>
        <w:t xml:space="preserve"> coli</w:t>
      </w:r>
      <w:r w:rsidRPr="008425DE">
        <w:rPr>
          <w:rFonts w:ascii="Times New Roman" w:hAnsi="Times New Roman"/>
          <w:lang w:val="en-US"/>
        </w:rPr>
        <w:t xml:space="preserve"> strains used as controls in the molecular assays.</w:t>
      </w:r>
    </w:p>
    <w:p w14:paraId="17F42A66" w14:textId="77777777" w:rsidR="008425DE" w:rsidRPr="008425DE" w:rsidRDefault="008425DE" w:rsidP="00F06FB7">
      <w:pPr>
        <w:pStyle w:val="PargrafodaLista"/>
        <w:spacing w:line="240" w:lineRule="auto"/>
        <w:ind w:left="0"/>
        <w:jc w:val="both"/>
        <w:rPr>
          <w:rFonts w:ascii="Times New Roman" w:hAnsi="Times New Roman"/>
          <w:lang w:val="en-US"/>
        </w:rPr>
      </w:pPr>
    </w:p>
    <w:p w14:paraId="76B3B4C2" w14:textId="0088B679" w:rsidR="008425DE" w:rsidRPr="008425DE" w:rsidRDefault="008425DE" w:rsidP="008425DE">
      <w:pPr>
        <w:spacing w:line="360" w:lineRule="auto"/>
        <w:jc w:val="both"/>
        <w:rPr>
          <w:rFonts w:ascii="Times New Roman" w:hAnsi="Times New Roman"/>
          <w:lang w:val="en-US"/>
        </w:rPr>
      </w:pPr>
      <w:r w:rsidRPr="008425DE">
        <w:rPr>
          <w:rFonts w:ascii="Times New Roman" w:hAnsi="Times New Roman"/>
          <w:b/>
          <w:bCs/>
          <w:lang w:val="en-US"/>
        </w:rPr>
        <w:t xml:space="preserve">Figure S1 – </w:t>
      </w:r>
      <w:r w:rsidRPr="008425DE">
        <w:rPr>
          <w:rFonts w:ascii="Times New Roman" w:hAnsi="Times New Roman"/>
          <w:lang w:val="en-US"/>
        </w:rPr>
        <w:t xml:space="preserve">Performance of the </w:t>
      </w:r>
      <w:r w:rsidRPr="000069A5">
        <w:rPr>
          <w:rFonts w:ascii="Times New Roman" w:hAnsi="Times New Roman"/>
          <w:i/>
          <w:iCs/>
          <w:lang w:val="en-US"/>
        </w:rPr>
        <w:t>fyuA</w:t>
      </w:r>
      <w:r w:rsidRPr="008425DE">
        <w:rPr>
          <w:rFonts w:ascii="Times New Roman" w:hAnsi="Times New Roman"/>
          <w:lang w:val="en-US"/>
        </w:rPr>
        <w:t xml:space="preserve"> primer regarding amplification, specificity, and the qPCR reaction standard curve.</w:t>
      </w:r>
    </w:p>
    <w:p w14:paraId="672A7614" w14:textId="77777777" w:rsidR="008425DE" w:rsidRPr="008425DE" w:rsidRDefault="008425DE" w:rsidP="008425DE">
      <w:pPr>
        <w:pStyle w:val="PargrafodaLista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C1FA843" w14:textId="14AFD808" w:rsidR="00F06FB7" w:rsidRDefault="00F06FB7" w:rsidP="00F06FB7">
      <w:pPr>
        <w:pStyle w:val="PargrafodaLista"/>
        <w:spacing w:line="360" w:lineRule="auto"/>
        <w:ind w:left="0"/>
        <w:jc w:val="both"/>
      </w:pPr>
      <w:r>
        <w:rPr>
          <w:noProof/>
        </w:rPr>
        <w:drawing>
          <wp:inline distT="0" distB="0" distL="0" distR="0" wp14:anchorId="1111267A" wp14:editId="028A74CF">
            <wp:extent cx="5391150" cy="436245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4F637" w14:textId="31FE0AF3" w:rsidR="00F06FB7" w:rsidRPr="008425DE" w:rsidRDefault="008425DE" w:rsidP="008425DE">
      <w:pPr>
        <w:pStyle w:val="PargrafodaLista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8425DE">
        <w:rPr>
          <w:rFonts w:ascii="Times New Roman" w:hAnsi="Times New Roman"/>
          <w:sz w:val="20"/>
          <w:szCs w:val="20"/>
          <w:lang w:val="en-US"/>
        </w:rPr>
        <w:t xml:space="preserve">A seven-point standard curve was constructed for the </w:t>
      </w:r>
      <w:r w:rsidRPr="000069A5">
        <w:rPr>
          <w:rFonts w:ascii="Times New Roman" w:hAnsi="Times New Roman"/>
          <w:i/>
          <w:iCs/>
          <w:sz w:val="20"/>
          <w:szCs w:val="20"/>
          <w:lang w:val="en-US"/>
        </w:rPr>
        <w:t>fyuA</w:t>
      </w:r>
      <w:r w:rsidRPr="008425DE">
        <w:rPr>
          <w:rFonts w:ascii="Times New Roman" w:hAnsi="Times New Roman"/>
          <w:sz w:val="20"/>
          <w:szCs w:val="20"/>
          <w:lang w:val="en-US"/>
        </w:rPr>
        <w:t xml:space="preserve"> primers using serial 1:8 dilutions of UPEC CFT073 DNA, with concentrations ranging from 56.3 ng/µL to 0.00021475 ng/µL. Panel (</w:t>
      </w:r>
      <w:r w:rsidRPr="008425DE">
        <w:rPr>
          <w:rFonts w:ascii="Times New Roman" w:hAnsi="Times New Roman"/>
          <w:b/>
          <w:bCs/>
          <w:sz w:val="20"/>
          <w:szCs w:val="20"/>
          <w:lang w:val="en-US"/>
        </w:rPr>
        <w:t>A</w:t>
      </w:r>
      <w:r w:rsidRPr="008425DE">
        <w:rPr>
          <w:rFonts w:ascii="Times New Roman" w:hAnsi="Times New Roman"/>
          <w:sz w:val="20"/>
          <w:szCs w:val="20"/>
          <w:lang w:val="en-US"/>
        </w:rPr>
        <w:t>) shows the amplification corresponding to the standard curve points; panel (</w:t>
      </w:r>
      <w:r w:rsidRPr="008425DE">
        <w:rPr>
          <w:rFonts w:ascii="Times New Roman" w:hAnsi="Times New Roman"/>
          <w:b/>
          <w:bCs/>
          <w:sz w:val="20"/>
          <w:szCs w:val="20"/>
          <w:lang w:val="en-US"/>
        </w:rPr>
        <w:t>B</w:t>
      </w:r>
      <w:r w:rsidRPr="008425DE">
        <w:rPr>
          <w:rFonts w:ascii="Times New Roman" w:hAnsi="Times New Roman"/>
          <w:sz w:val="20"/>
          <w:szCs w:val="20"/>
          <w:lang w:val="en-US"/>
        </w:rPr>
        <w:t>) displays the dissociation plot confirming the specificity of the amplified product; and panel (</w:t>
      </w:r>
      <w:r w:rsidRPr="008425DE">
        <w:rPr>
          <w:rFonts w:ascii="Times New Roman" w:hAnsi="Times New Roman"/>
          <w:b/>
          <w:bCs/>
          <w:sz w:val="20"/>
          <w:szCs w:val="20"/>
          <w:lang w:val="en-US"/>
        </w:rPr>
        <w:t>C</w:t>
      </w:r>
      <w:r w:rsidRPr="008425DE">
        <w:rPr>
          <w:rFonts w:ascii="Times New Roman" w:hAnsi="Times New Roman"/>
          <w:sz w:val="20"/>
          <w:szCs w:val="20"/>
          <w:lang w:val="en-US"/>
        </w:rPr>
        <w:t>) presents the amplified points and the final fit of the standard curve.</w:t>
      </w:r>
    </w:p>
    <w:p w14:paraId="526E0A99" w14:textId="77777777" w:rsidR="008425DE" w:rsidRPr="008425DE" w:rsidRDefault="008425DE" w:rsidP="00F06FB7">
      <w:pPr>
        <w:pStyle w:val="PargrafodaLista"/>
        <w:spacing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179010FB" w14:textId="0DC64A79" w:rsidR="008425DE" w:rsidRPr="008425DE" w:rsidRDefault="00F06FB7" w:rsidP="008425DE">
      <w:pPr>
        <w:spacing w:line="360" w:lineRule="auto"/>
        <w:jc w:val="both"/>
        <w:rPr>
          <w:rFonts w:ascii="Times New Roman" w:hAnsi="Times New Roman"/>
          <w:lang w:val="en-US"/>
        </w:rPr>
      </w:pPr>
      <w:r w:rsidRPr="008425DE">
        <w:rPr>
          <w:rFonts w:ascii="Times New Roman" w:hAnsi="Times New Roman"/>
          <w:b/>
          <w:bCs/>
          <w:lang w:val="en-US"/>
        </w:rPr>
        <w:t>Figur</w:t>
      </w:r>
      <w:r w:rsidR="008425DE">
        <w:rPr>
          <w:rFonts w:ascii="Times New Roman" w:hAnsi="Times New Roman"/>
          <w:b/>
          <w:bCs/>
          <w:lang w:val="en-US"/>
        </w:rPr>
        <w:t>e</w:t>
      </w:r>
      <w:r w:rsidRPr="008425DE">
        <w:rPr>
          <w:rFonts w:ascii="Times New Roman" w:hAnsi="Times New Roman"/>
          <w:b/>
          <w:bCs/>
          <w:lang w:val="en-US"/>
        </w:rPr>
        <w:t xml:space="preserve"> </w:t>
      </w:r>
      <w:r w:rsidR="008425DE" w:rsidRPr="008425DE">
        <w:rPr>
          <w:rFonts w:ascii="Times New Roman" w:hAnsi="Times New Roman"/>
          <w:b/>
          <w:bCs/>
          <w:lang w:val="en-US"/>
        </w:rPr>
        <w:t>S2</w:t>
      </w:r>
      <w:r w:rsidRPr="008425DE">
        <w:rPr>
          <w:rFonts w:ascii="Times New Roman" w:hAnsi="Times New Roman"/>
          <w:lang w:val="en-US"/>
        </w:rPr>
        <w:t xml:space="preserve"> – </w:t>
      </w:r>
      <w:r w:rsidR="008425DE" w:rsidRPr="008425DE">
        <w:rPr>
          <w:rFonts w:ascii="Times New Roman" w:hAnsi="Times New Roman"/>
          <w:lang w:val="en-US"/>
        </w:rPr>
        <w:t xml:space="preserve">Performance of the </w:t>
      </w:r>
      <w:r w:rsidR="008425DE" w:rsidRPr="000069A5">
        <w:rPr>
          <w:rFonts w:ascii="Times New Roman" w:hAnsi="Times New Roman"/>
          <w:i/>
          <w:iCs/>
          <w:lang w:val="en-US"/>
        </w:rPr>
        <w:t>yfcV</w:t>
      </w:r>
      <w:r w:rsidR="008425DE" w:rsidRPr="008425DE">
        <w:rPr>
          <w:rFonts w:ascii="Times New Roman" w:hAnsi="Times New Roman"/>
          <w:lang w:val="en-US"/>
        </w:rPr>
        <w:t xml:space="preserve"> primer regarding amplification, specificity, and the qPCR reaction standard curve.</w:t>
      </w:r>
    </w:p>
    <w:p w14:paraId="0CE83DA9" w14:textId="77777777" w:rsidR="008425DE" w:rsidRPr="008425DE" w:rsidRDefault="008425DE" w:rsidP="008425DE">
      <w:pPr>
        <w:pStyle w:val="PargrafodaLista"/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2790D84" w14:textId="4F867268" w:rsidR="00F06FB7" w:rsidRPr="008425DE" w:rsidRDefault="00EB37C5" w:rsidP="008425DE">
      <w:pPr>
        <w:pStyle w:val="PargrafodaLista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1C974168" wp14:editId="5B63B68E">
            <wp:extent cx="5768975" cy="4486275"/>
            <wp:effectExtent l="0" t="0" r="3175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97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8BEDE" w14:textId="729F2B10" w:rsidR="00F06FB7" w:rsidRPr="008425DE" w:rsidRDefault="008425DE" w:rsidP="008425DE">
      <w:pPr>
        <w:pStyle w:val="PargrafodaLista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8425DE">
        <w:rPr>
          <w:rFonts w:ascii="Times New Roman" w:hAnsi="Times New Roman"/>
          <w:sz w:val="20"/>
          <w:szCs w:val="20"/>
          <w:lang w:val="en-US"/>
        </w:rPr>
        <w:t xml:space="preserve">A standard curve for the </w:t>
      </w:r>
      <w:r w:rsidRPr="000069A5">
        <w:rPr>
          <w:rFonts w:ascii="Times New Roman" w:hAnsi="Times New Roman"/>
          <w:i/>
          <w:iCs/>
          <w:sz w:val="20"/>
          <w:szCs w:val="20"/>
          <w:lang w:val="en-US"/>
        </w:rPr>
        <w:t>yfcV</w:t>
      </w:r>
      <w:r w:rsidRPr="008425DE">
        <w:rPr>
          <w:rFonts w:ascii="Times New Roman" w:hAnsi="Times New Roman"/>
          <w:sz w:val="20"/>
          <w:szCs w:val="20"/>
          <w:lang w:val="en-US"/>
        </w:rPr>
        <w:t xml:space="preserve"> primers was constructed using seven points obtained through serial 1:8 dilutions of UPEC CFT073 DNA, ranging in concentration from 56.3 ng/µL to 0.00021475 ng/µL. Panel (</w:t>
      </w:r>
      <w:r w:rsidRPr="008425DE">
        <w:rPr>
          <w:rFonts w:ascii="Times New Roman" w:hAnsi="Times New Roman"/>
          <w:b/>
          <w:bCs/>
          <w:sz w:val="20"/>
          <w:szCs w:val="20"/>
          <w:lang w:val="en-US"/>
        </w:rPr>
        <w:t>A</w:t>
      </w:r>
      <w:r w:rsidRPr="008425DE">
        <w:rPr>
          <w:rFonts w:ascii="Times New Roman" w:hAnsi="Times New Roman"/>
          <w:sz w:val="20"/>
          <w:szCs w:val="20"/>
          <w:lang w:val="en-US"/>
        </w:rPr>
        <w:t>) shows the amplification corresponding to the standard curve points for the primer; panel (</w:t>
      </w:r>
      <w:r w:rsidRPr="008425DE">
        <w:rPr>
          <w:rFonts w:ascii="Times New Roman" w:hAnsi="Times New Roman"/>
          <w:b/>
          <w:bCs/>
          <w:sz w:val="20"/>
          <w:szCs w:val="20"/>
          <w:lang w:val="en-US"/>
        </w:rPr>
        <w:t>B</w:t>
      </w:r>
      <w:r w:rsidRPr="008425DE">
        <w:rPr>
          <w:rFonts w:ascii="Times New Roman" w:hAnsi="Times New Roman"/>
          <w:sz w:val="20"/>
          <w:szCs w:val="20"/>
          <w:lang w:val="en-US"/>
        </w:rPr>
        <w:t>) displays the dissociation plot confirming the specificity of the amplified product; and panel (</w:t>
      </w:r>
      <w:r w:rsidRPr="008425DE">
        <w:rPr>
          <w:rFonts w:ascii="Times New Roman" w:hAnsi="Times New Roman"/>
          <w:b/>
          <w:bCs/>
          <w:sz w:val="20"/>
          <w:szCs w:val="20"/>
          <w:lang w:val="en-US"/>
        </w:rPr>
        <w:t>C</w:t>
      </w:r>
      <w:r w:rsidRPr="008425DE">
        <w:rPr>
          <w:rFonts w:ascii="Times New Roman" w:hAnsi="Times New Roman"/>
          <w:sz w:val="20"/>
          <w:szCs w:val="20"/>
          <w:lang w:val="en-US"/>
        </w:rPr>
        <w:t>) presents the amplified points and the final fit of the standard curve.</w:t>
      </w:r>
    </w:p>
    <w:p w14:paraId="75C0530D" w14:textId="77777777" w:rsidR="00F06FB7" w:rsidRPr="008425DE" w:rsidRDefault="00F06FB7" w:rsidP="00F06FB7">
      <w:pPr>
        <w:pStyle w:val="PargrafodaLista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E3F174D" w14:textId="24F1A876" w:rsidR="00F06FB7" w:rsidRPr="000069A5" w:rsidRDefault="00F06FB7" w:rsidP="00F06FB7">
      <w:pPr>
        <w:pStyle w:val="PargrafodaLista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0069A5">
        <w:rPr>
          <w:rFonts w:ascii="Times New Roman" w:hAnsi="Times New Roman"/>
          <w:b/>
          <w:bCs/>
          <w:sz w:val="24"/>
          <w:szCs w:val="24"/>
          <w:lang w:val="en-US"/>
        </w:rPr>
        <w:t>Figur</w:t>
      </w:r>
      <w:r w:rsidR="000069A5">
        <w:rPr>
          <w:rFonts w:ascii="Times New Roman" w:hAnsi="Times New Roman"/>
          <w:b/>
          <w:bCs/>
          <w:sz w:val="24"/>
          <w:szCs w:val="24"/>
          <w:lang w:val="en-US"/>
        </w:rPr>
        <w:t>e</w:t>
      </w:r>
      <w:r w:rsidRPr="000069A5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8425DE" w:rsidRPr="000069A5">
        <w:rPr>
          <w:rFonts w:ascii="Times New Roman" w:hAnsi="Times New Roman"/>
          <w:b/>
          <w:bCs/>
          <w:sz w:val="24"/>
          <w:szCs w:val="24"/>
          <w:lang w:val="en-US"/>
        </w:rPr>
        <w:t>S3</w:t>
      </w:r>
      <w:r w:rsidRPr="000069A5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="000069A5" w:rsidRPr="000069A5">
        <w:rPr>
          <w:rFonts w:ascii="Times New Roman" w:hAnsi="Times New Roman"/>
          <w:sz w:val="24"/>
          <w:szCs w:val="24"/>
          <w:lang w:val="en-US"/>
        </w:rPr>
        <w:t xml:space="preserve">Performance of the </w:t>
      </w:r>
      <w:r w:rsidR="000069A5" w:rsidRPr="000069A5">
        <w:rPr>
          <w:rFonts w:ascii="Times New Roman" w:hAnsi="Times New Roman"/>
          <w:i/>
          <w:iCs/>
          <w:sz w:val="24"/>
          <w:szCs w:val="24"/>
          <w:lang w:val="en-US"/>
        </w:rPr>
        <w:t>chuA</w:t>
      </w:r>
      <w:r w:rsidR="000069A5" w:rsidRPr="000069A5">
        <w:rPr>
          <w:rFonts w:ascii="Times New Roman" w:hAnsi="Times New Roman"/>
          <w:sz w:val="24"/>
          <w:szCs w:val="24"/>
          <w:lang w:val="en-US"/>
        </w:rPr>
        <w:t xml:space="preserve"> primer regarding amplification, specificity, and the qPCR reaction standard curve.</w:t>
      </w:r>
    </w:p>
    <w:p w14:paraId="056DCF4D" w14:textId="39E1FA5A" w:rsidR="00F06FB7" w:rsidRPr="00457632" w:rsidRDefault="00EB37C5" w:rsidP="00F06FB7">
      <w:pPr>
        <w:pStyle w:val="PargrafodaLista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9F506DD" wp14:editId="75BC0C6F">
            <wp:extent cx="5768975" cy="4700270"/>
            <wp:effectExtent l="0" t="0" r="3175" b="508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975" cy="470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4CE01" w14:textId="7492763B" w:rsidR="00F06FB7" w:rsidRPr="000069A5" w:rsidRDefault="000069A5" w:rsidP="000069A5">
      <w:pPr>
        <w:pStyle w:val="PargrafodaLista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0069A5">
        <w:rPr>
          <w:rFonts w:ascii="Times New Roman" w:hAnsi="Times New Roman"/>
          <w:sz w:val="20"/>
          <w:szCs w:val="20"/>
          <w:lang w:val="en-US"/>
        </w:rPr>
        <w:t xml:space="preserve">A standard curve for the </w:t>
      </w:r>
      <w:r w:rsidRPr="000069A5">
        <w:rPr>
          <w:rFonts w:ascii="Times New Roman" w:hAnsi="Times New Roman"/>
          <w:i/>
          <w:iCs/>
          <w:sz w:val="20"/>
          <w:szCs w:val="20"/>
          <w:lang w:val="en-US"/>
        </w:rPr>
        <w:t>chuA</w:t>
      </w:r>
      <w:r w:rsidRPr="000069A5">
        <w:rPr>
          <w:rFonts w:ascii="Times New Roman" w:hAnsi="Times New Roman"/>
          <w:sz w:val="20"/>
          <w:szCs w:val="20"/>
          <w:lang w:val="en-US"/>
        </w:rPr>
        <w:t xml:space="preserve"> primers was constructed using seven points obtained through serial 1:8 dilutions of UPEC CFT073 DNA, ranging in concentration from 56.3 ng/µL to 0.00021475 ng/µL. Panel (</w:t>
      </w:r>
      <w:r w:rsidRPr="000069A5">
        <w:rPr>
          <w:rFonts w:ascii="Times New Roman" w:hAnsi="Times New Roman"/>
          <w:b/>
          <w:bCs/>
          <w:sz w:val="20"/>
          <w:szCs w:val="20"/>
          <w:lang w:val="en-US"/>
        </w:rPr>
        <w:t>A</w:t>
      </w:r>
      <w:r w:rsidRPr="000069A5">
        <w:rPr>
          <w:rFonts w:ascii="Times New Roman" w:hAnsi="Times New Roman"/>
          <w:sz w:val="20"/>
          <w:szCs w:val="20"/>
          <w:lang w:val="en-US"/>
        </w:rPr>
        <w:t>) shows the amplification corresponding to the standard curve points for the primer; panel (</w:t>
      </w:r>
      <w:r w:rsidRPr="000069A5">
        <w:rPr>
          <w:rFonts w:ascii="Times New Roman" w:hAnsi="Times New Roman"/>
          <w:b/>
          <w:bCs/>
          <w:sz w:val="20"/>
          <w:szCs w:val="20"/>
          <w:lang w:val="en-US"/>
        </w:rPr>
        <w:t>B</w:t>
      </w:r>
      <w:r w:rsidRPr="000069A5">
        <w:rPr>
          <w:rFonts w:ascii="Times New Roman" w:hAnsi="Times New Roman"/>
          <w:sz w:val="20"/>
          <w:szCs w:val="20"/>
          <w:lang w:val="en-US"/>
        </w:rPr>
        <w:t>) displays the dissociation plot confirming the specificity of the amplified product; and panel (</w:t>
      </w:r>
      <w:r w:rsidRPr="000069A5">
        <w:rPr>
          <w:rFonts w:ascii="Times New Roman" w:hAnsi="Times New Roman"/>
          <w:b/>
          <w:bCs/>
          <w:sz w:val="20"/>
          <w:szCs w:val="20"/>
          <w:lang w:val="en-US"/>
        </w:rPr>
        <w:t>C</w:t>
      </w:r>
      <w:r w:rsidRPr="000069A5">
        <w:rPr>
          <w:rFonts w:ascii="Times New Roman" w:hAnsi="Times New Roman"/>
          <w:sz w:val="20"/>
          <w:szCs w:val="20"/>
          <w:lang w:val="en-US"/>
        </w:rPr>
        <w:t>) presents the amplified points and the final fit of the standard curve.</w:t>
      </w:r>
    </w:p>
    <w:p w14:paraId="27616E39" w14:textId="77777777" w:rsidR="000069A5" w:rsidRPr="000069A5" w:rsidRDefault="000069A5" w:rsidP="00F06FB7">
      <w:pPr>
        <w:pStyle w:val="PargrafodaLista"/>
        <w:spacing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E382BE5" w14:textId="268DC1C2" w:rsidR="00F06FB7" w:rsidRPr="000069A5" w:rsidRDefault="00F06FB7" w:rsidP="00F06FB7">
      <w:pPr>
        <w:pStyle w:val="PargrafodaLista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0069A5">
        <w:rPr>
          <w:rFonts w:ascii="Times New Roman" w:hAnsi="Times New Roman"/>
          <w:b/>
          <w:bCs/>
          <w:sz w:val="24"/>
          <w:szCs w:val="24"/>
          <w:lang w:val="en-US"/>
        </w:rPr>
        <w:t>Figur</w:t>
      </w:r>
      <w:r w:rsidR="000069A5">
        <w:rPr>
          <w:rFonts w:ascii="Times New Roman" w:hAnsi="Times New Roman"/>
          <w:b/>
          <w:bCs/>
          <w:sz w:val="24"/>
          <w:szCs w:val="24"/>
          <w:lang w:val="en-US"/>
        </w:rPr>
        <w:t>e</w:t>
      </w:r>
      <w:r w:rsidRPr="000069A5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8425DE" w:rsidRPr="000069A5">
        <w:rPr>
          <w:rFonts w:ascii="Times New Roman" w:hAnsi="Times New Roman"/>
          <w:b/>
          <w:bCs/>
          <w:sz w:val="24"/>
          <w:szCs w:val="24"/>
          <w:lang w:val="en-US"/>
        </w:rPr>
        <w:t>S4</w:t>
      </w:r>
      <w:r w:rsidRPr="000069A5">
        <w:rPr>
          <w:rFonts w:ascii="Times New Roman" w:hAnsi="Times New Roman"/>
          <w:b/>
          <w:bCs/>
          <w:sz w:val="24"/>
          <w:szCs w:val="24"/>
          <w:lang w:val="en-US"/>
        </w:rPr>
        <w:t xml:space="preserve"> –</w:t>
      </w:r>
      <w:r w:rsidRPr="000069A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069A5" w:rsidRPr="000069A5">
        <w:rPr>
          <w:rFonts w:ascii="Times New Roman" w:hAnsi="Times New Roman"/>
          <w:sz w:val="24"/>
          <w:szCs w:val="24"/>
          <w:lang w:val="en-US"/>
        </w:rPr>
        <w:t xml:space="preserve">Performance of the </w:t>
      </w:r>
      <w:r w:rsidR="000069A5" w:rsidRPr="000069A5">
        <w:rPr>
          <w:rFonts w:ascii="Times New Roman" w:hAnsi="Times New Roman"/>
          <w:i/>
          <w:iCs/>
          <w:sz w:val="24"/>
          <w:szCs w:val="24"/>
          <w:lang w:val="en-US"/>
        </w:rPr>
        <w:t>vat</w:t>
      </w:r>
      <w:r w:rsidR="000069A5" w:rsidRPr="000069A5">
        <w:rPr>
          <w:rFonts w:ascii="Times New Roman" w:hAnsi="Times New Roman"/>
          <w:sz w:val="24"/>
          <w:szCs w:val="24"/>
          <w:lang w:val="en-US"/>
        </w:rPr>
        <w:t xml:space="preserve"> primer regarding amplification, specificity, and the qPCR reaction standard curve.</w:t>
      </w:r>
    </w:p>
    <w:p w14:paraId="3BF8B25B" w14:textId="5757C2CA" w:rsidR="00F06FB7" w:rsidRPr="00457632" w:rsidRDefault="00EB37C5" w:rsidP="00F06FB7">
      <w:pPr>
        <w:pStyle w:val="PargrafodaLista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708CA5" wp14:editId="2876BC55">
            <wp:extent cx="5768975" cy="4577080"/>
            <wp:effectExtent l="0" t="0" r="317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975" cy="45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05FB4" w14:textId="3F66FB9E" w:rsidR="00F06FB7" w:rsidRPr="000069A5" w:rsidRDefault="000069A5" w:rsidP="00F06FB7">
      <w:pPr>
        <w:pStyle w:val="PargrafodaLista"/>
        <w:spacing w:line="240" w:lineRule="auto"/>
        <w:ind w:left="0"/>
        <w:jc w:val="both"/>
        <w:rPr>
          <w:rFonts w:ascii="Times New Roman" w:hAnsi="Times New Roman"/>
          <w:sz w:val="20"/>
          <w:szCs w:val="20"/>
          <w:lang w:val="en-US"/>
        </w:rPr>
      </w:pPr>
      <w:r w:rsidRPr="000069A5">
        <w:rPr>
          <w:rFonts w:ascii="Times New Roman" w:hAnsi="Times New Roman"/>
          <w:sz w:val="20"/>
          <w:szCs w:val="20"/>
          <w:lang w:val="en-US"/>
        </w:rPr>
        <w:t xml:space="preserve">A standard curve for the </w:t>
      </w:r>
      <w:r w:rsidRPr="000069A5">
        <w:rPr>
          <w:rFonts w:ascii="Times New Roman" w:hAnsi="Times New Roman"/>
          <w:i/>
          <w:iCs/>
          <w:sz w:val="20"/>
          <w:szCs w:val="20"/>
          <w:lang w:val="en-US"/>
        </w:rPr>
        <w:t>vat</w:t>
      </w:r>
      <w:r w:rsidRPr="000069A5">
        <w:rPr>
          <w:rFonts w:ascii="Times New Roman" w:hAnsi="Times New Roman"/>
          <w:sz w:val="20"/>
          <w:szCs w:val="20"/>
          <w:lang w:val="en-US"/>
        </w:rPr>
        <w:t xml:space="preserve"> primer pair was constructed using seven points obtained through serial 1:8 dilutions of UPEC CFT073 DNA, ranging in concentration from 56.3 ng/µL to 0.00021475 ng/µL. Panel (</w:t>
      </w:r>
      <w:r w:rsidRPr="000069A5">
        <w:rPr>
          <w:rFonts w:ascii="Times New Roman" w:hAnsi="Times New Roman"/>
          <w:b/>
          <w:bCs/>
          <w:sz w:val="20"/>
          <w:szCs w:val="20"/>
          <w:lang w:val="en-US"/>
        </w:rPr>
        <w:t>A</w:t>
      </w:r>
      <w:r w:rsidRPr="000069A5">
        <w:rPr>
          <w:rFonts w:ascii="Times New Roman" w:hAnsi="Times New Roman"/>
          <w:sz w:val="20"/>
          <w:szCs w:val="20"/>
          <w:lang w:val="en-US"/>
        </w:rPr>
        <w:t>) shows the amplification corresponding to the standard curve points for the primer; panel (</w:t>
      </w:r>
      <w:r w:rsidRPr="000069A5">
        <w:rPr>
          <w:rFonts w:ascii="Times New Roman" w:hAnsi="Times New Roman"/>
          <w:b/>
          <w:bCs/>
          <w:sz w:val="20"/>
          <w:szCs w:val="20"/>
          <w:lang w:val="en-US"/>
        </w:rPr>
        <w:t>B</w:t>
      </w:r>
      <w:r w:rsidRPr="000069A5">
        <w:rPr>
          <w:rFonts w:ascii="Times New Roman" w:hAnsi="Times New Roman"/>
          <w:sz w:val="20"/>
          <w:szCs w:val="20"/>
          <w:lang w:val="en-US"/>
        </w:rPr>
        <w:t>) displays the dissociation plot confirming the specificity of the amplified product; and panel (</w:t>
      </w:r>
      <w:r w:rsidRPr="000069A5">
        <w:rPr>
          <w:rFonts w:ascii="Times New Roman" w:hAnsi="Times New Roman"/>
          <w:b/>
          <w:bCs/>
          <w:sz w:val="20"/>
          <w:szCs w:val="20"/>
          <w:lang w:val="en-US"/>
        </w:rPr>
        <w:t>C</w:t>
      </w:r>
      <w:r w:rsidRPr="000069A5">
        <w:rPr>
          <w:rFonts w:ascii="Times New Roman" w:hAnsi="Times New Roman"/>
          <w:sz w:val="20"/>
          <w:szCs w:val="20"/>
          <w:lang w:val="en-US"/>
        </w:rPr>
        <w:t>) presents the amplified points and the final fit of the standard curve.</w:t>
      </w:r>
    </w:p>
    <w:p w14:paraId="06309EA1" w14:textId="77777777" w:rsidR="00F06FB7" w:rsidRPr="000069A5" w:rsidRDefault="00F06FB7" w:rsidP="00F06FB7">
      <w:pPr>
        <w:pStyle w:val="PargrafodaLista"/>
        <w:spacing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124247FB" w14:textId="1DEA23C1" w:rsidR="00F06FB7" w:rsidRPr="000069A5" w:rsidRDefault="00F06FB7" w:rsidP="00F06FB7">
      <w:pPr>
        <w:pStyle w:val="PargrafodaLista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0069A5">
        <w:rPr>
          <w:rFonts w:ascii="Times New Roman" w:hAnsi="Times New Roman"/>
          <w:b/>
          <w:bCs/>
          <w:sz w:val="24"/>
          <w:szCs w:val="24"/>
          <w:lang w:val="en-US"/>
        </w:rPr>
        <w:t>Figur</w:t>
      </w:r>
      <w:r w:rsidR="000069A5">
        <w:rPr>
          <w:rFonts w:ascii="Times New Roman" w:hAnsi="Times New Roman"/>
          <w:b/>
          <w:bCs/>
          <w:sz w:val="24"/>
          <w:szCs w:val="24"/>
          <w:lang w:val="en-US"/>
        </w:rPr>
        <w:t>e</w:t>
      </w:r>
      <w:r w:rsidRPr="000069A5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8425DE" w:rsidRPr="000069A5">
        <w:rPr>
          <w:rFonts w:ascii="Times New Roman" w:hAnsi="Times New Roman"/>
          <w:b/>
          <w:bCs/>
          <w:sz w:val="24"/>
          <w:szCs w:val="24"/>
          <w:lang w:val="en-US"/>
        </w:rPr>
        <w:t>S5</w:t>
      </w:r>
      <w:r w:rsidRPr="000069A5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="000069A5" w:rsidRPr="000069A5">
        <w:rPr>
          <w:rFonts w:ascii="Times New Roman" w:hAnsi="Times New Roman"/>
          <w:sz w:val="24"/>
          <w:szCs w:val="24"/>
          <w:lang w:val="en-US"/>
        </w:rPr>
        <w:t xml:space="preserve">Performance of the </w:t>
      </w:r>
      <w:r w:rsidR="000069A5" w:rsidRPr="000069A5">
        <w:rPr>
          <w:rFonts w:ascii="Times New Roman" w:hAnsi="Times New Roman"/>
          <w:i/>
          <w:iCs/>
          <w:sz w:val="24"/>
          <w:szCs w:val="24"/>
          <w:lang w:val="en-US"/>
        </w:rPr>
        <w:t>aggR</w:t>
      </w:r>
      <w:r w:rsidR="000069A5" w:rsidRPr="000069A5">
        <w:rPr>
          <w:rFonts w:ascii="Times New Roman" w:hAnsi="Times New Roman"/>
          <w:sz w:val="24"/>
          <w:szCs w:val="24"/>
          <w:lang w:val="en-US"/>
        </w:rPr>
        <w:t xml:space="preserve"> primer regarding amplification, specificity, and the standard curve in the qPCR reaction</w:t>
      </w:r>
      <w:r w:rsidRPr="000069A5">
        <w:rPr>
          <w:rFonts w:ascii="Times New Roman" w:hAnsi="Times New Roman"/>
          <w:sz w:val="24"/>
          <w:szCs w:val="24"/>
          <w:lang w:val="en-US"/>
        </w:rPr>
        <w:t>.</w:t>
      </w:r>
    </w:p>
    <w:p w14:paraId="13D01239" w14:textId="41AF1994" w:rsidR="00F06FB7" w:rsidRPr="000069A5" w:rsidRDefault="00EB37C5" w:rsidP="00F06FB7">
      <w:pPr>
        <w:pStyle w:val="PargrafodaLista"/>
        <w:spacing w:line="360" w:lineRule="auto"/>
        <w:ind w:left="0"/>
        <w:jc w:val="bot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086B6978" wp14:editId="677856E1">
            <wp:extent cx="5768975" cy="4431030"/>
            <wp:effectExtent l="0" t="0" r="3175" b="762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975" cy="443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1E22D" w14:textId="7233FA80" w:rsidR="00F06FB7" w:rsidRPr="000069A5" w:rsidRDefault="000069A5" w:rsidP="000069A5">
      <w:pPr>
        <w:pStyle w:val="PargrafodaLista"/>
        <w:spacing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0069A5">
        <w:rPr>
          <w:rFonts w:ascii="Times New Roman" w:hAnsi="Times New Roman"/>
          <w:sz w:val="20"/>
          <w:szCs w:val="20"/>
          <w:lang w:val="en-US"/>
        </w:rPr>
        <w:t xml:space="preserve">A standard curve for the </w:t>
      </w:r>
      <w:r w:rsidRPr="000069A5">
        <w:rPr>
          <w:rFonts w:ascii="Times New Roman" w:hAnsi="Times New Roman"/>
          <w:i/>
          <w:iCs/>
          <w:sz w:val="20"/>
          <w:szCs w:val="20"/>
          <w:lang w:val="en-US"/>
        </w:rPr>
        <w:t>aggR</w:t>
      </w:r>
      <w:r w:rsidRPr="000069A5">
        <w:rPr>
          <w:rFonts w:ascii="Times New Roman" w:hAnsi="Times New Roman"/>
          <w:sz w:val="20"/>
          <w:szCs w:val="20"/>
          <w:lang w:val="en-US"/>
        </w:rPr>
        <w:t xml:space="preserve"> primer pair was constructed using seven points obtained through serial 1:8 dilutions of EAEC 042 DNA, ranging in concentration from 57.6 ng/µL to 0.0002197265 ng/µL. Panel (</w:t>
      </w:r>
      <w:r w:rsidRPr="000069A5">
        <w:rPr>
          <w:rFonts w:ascii="Times New Roman" w:hAnsi="Times New Roman"/>
          <w:b/>
          <w:bCs/>
          <w:sz w:val="20"/>
          <w:szCs w:val="20"/>
          <w:lang w:val="en-US"/>
        </w:rPr>
        <w:t>A</w:t>
      </w:r>
      <w:r w:rsidRPr="000069A5">
        <w:rPr>
          <w:rFonts w:ascii="Times New Roman" w:hAnsi="Times New Roman"/>
          <w:sz w:val="20"/>
          <w:szCs w:val="20"/>
          <w:lang w:val="en-US"/>
        </w:rPr>
        <w:t>) shows the amplification corresponding to the standard curve points for the primer; panel (</w:t>
      </w:r>
      <w:r w:rsidRPr="000069A5">
        <w:rPr>
          <w:rFonts w:ascii="Times New Roman" w:hAnsi="Times New Roman"/>
          <w:b/>
          <w:bCs/>
          <w:sz w:val="20"/>
          <w:szCs w:val="20"/>
          <w:lang w:val="en-US"/>
        </w:rPr>
        <w:t>B</w:t>
      </w:r>
      <w:r w:rsidRPr="000069A5">
        <w:rPr>
          <w:rFonts w:ascii="Times New Roman" w:hAnsi="Times New Roman"/>
          <w:sz w:val="20"/>
          <w:szCs w:val="20"/>
          <w:lang w:val="en-US"/>
        </w:rPr>
        <w:t>) displays the dissociation plot confirming the specificity of the amplified product; and panel (</w:t>
      </w:r>
      <w:r w:rsidRPr="000069A5">
        <w:rPr>
          <w:rFonts w:ascii="Times New Roman" w:hAnsi="Times New Roman"/>
          <w:b/>
          <w:bCs/>
          <w:sz w:val="20"/>
          <w:szCs w:val="20"/>
          <w:lang w:val="en-US"/>
        </w:rPr>
        <w:t>C</w:t>
      </w:r>
      <w:r w:rsidRPr="000069A5">
        <w:rPr>
          <w:rFonts w:ascii="Times New Roman" w:hAnsi="Times New Roman"/>
          <w:sz w:val="20"/>
          <w:szCs w:val="20"/>
          <w:lang w:val="en-US"/>
        </w:rPr>
        <w:t>) presents the amplified points and the final fit of the standard curve.</w:t>
      </w:r>
    </w:p>
    <w:p w14:paraId="030C84C0" w14:textId="77777777" w:rsidR="000069A5" w:rsidRDefault="000069A5" w:rsidP="00F06FB7">
      <w:pPr>
        <w:pStyle w:val="PargrafodaLista"/>
        <w:spacing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1CDEBE41" w14:textId="48265EB8" w:rsidR="00F06FB7" w:rsidRPr="000069A5" w:rsidRDefault="00F06FB7" w:rsidP="00F06FB7">
      <w:pPr>
        <w:pStyle w:val="PargrafodaLista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0069A5">
        <w:rPr>
          <w:rFonts w:ascii="Times New Roman" w:hAnsi="Times New Roman"/>
          <w:b/>
          <w:bCs/>
          <w:sz w:val="24"/>
          <w:szCs w:val="24"/>
          <w:lang w:val="en-US"/>
        </w:rPr>
        <w:t>Figur</w:t>
      </w:r>
      <w:r w:rsidR="000069A5">
        <w:rPr>
          <w:rFonts w:ascii="Times New Roman" w:hAnsi="Times New Roman"/>
          <w:b/>
          <w:bCs/>
          <w:sz w:val="24"/>
          <w:szCs w:val="24"/>
          <w:lang w:val="en-US"/>
        </w:rPr>
        <w:t>e</w:t>
      </w:r>
      <w:r w:rsidRPr="000069A5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8425DE" w:rsidRPr="000069A5">
        <w:rPr>
          <w:rFonts w:ascii="Times New Roman" w:hAnsi="Times New Roman"/>
          <w:b/>
          <w:bCs/>
          <w:sz w:val="24"/>
          <w:szCs w:val="24"/>
          <w:lang w:val="en-US"/>
        </w:rPr>
        <w:t>S6</w:t>
      </w:r>
      <w:r w:rsidRPr="000069A5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="000069A5" w:rsidRPr="000069A5">
        <w:rPr>
          <w:rFonts w:ascii="Times New Roman" w:hAnsi="Times New Roman"/>
          <w:sz w:val="24"/>
          <w:szCs w:val="24"/>
          <w:lang w:val="en-US"/>
        </w:rPr>
        <w:t xml:space="preserve">Performance of the </w:t>
      </w:r>
      <w:r w:rsidR="000069A5" w:rsidRPr="000069A5">
        <w:rPr>
          <w:rFonts w:ascii="Times New Roman" w:hAnsi="Times New Roman"/>
          <w:i/>
          <w:iCs/>
          <w:sz w:val="24"/>
          <w:szCs w:val="24"/>
          <w:lang w:val="en-US"/>
        </w:rPr>
        <w:t>aap</w:t>
      </w:r>
      <w:r w:rsidR="000069A5" w:rsidRPr="000069A5">
        <w:rPr>
          <w:rFonts w:ascii="Times New Roman" w:hAnsi="Times New Roman"/>
          <w:sz w:val="24"/>
          <w:szCs w:val="24"/>
          <w:lang w:val="en-US"/>
        </w:rPr>
        <w:t xml:space="preserve"> primer regarding amplification, specificity, and the standard curve in the qPCR reaction</w:t>
      </w:r>
    </w:p>
    <w:p w14:paraId="2835784A" w14:textId="5A64BD0B" w:rsidR="00F06FB7" w:rsidRDefault="00EB37C5" w:rsidP="00F06FB7">
      <w:pPr>
        <w:pStyle w:val="PargrafodaLista"/>
        <w:spacing w:line="360" w:lineRule="auto"/>
        <w:ind w:left="0"/>
        <w:jc w:val="both"/>
      </w:pPr>
      <w:r>
        <w:rPr>
          <w:noProof/>
        </w:rPr>
        <w:lastRenderedPageBreak/>
        <w:drawing>
          <wp:inline distT="0" distB="0" distL="0" distR="0" wp14:anchorId="4B32D72A" wp14:editId="524C9629">
            <wp:extent cx="5768975" cy="4385945"/>
            <wp:effectExtent l="0" t="0" r="317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975" cy="438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00C58" w14:textId="5A45F073" w:rsidR="00535983" w:rsidRPr="000069A5" w:rsidRDefault="000069A5" w:rsidP="000069A5">
      <w:pPr>
        <w:jc w:val="both"/>
        <w:rPr>
          <w:lang w:val="en-US"/>
        </w:rPr>
      </w:pPr>
      <w:r w:rsidRPr="000069A5">
        <w:rPr>
          <w:rFonts w:ascii="Times New Roman" w:eastAsia="Calibri" w:hAnsi="Times New Roman" w:cs="Times New Roman"/>
          <w:kern w:val="0"/>
          <w:sz w:val="20"/>
          <w:szCs w:val="20"/>
          <w:lang w:val="en-US" w:eastAsia="en-US" w:bidi="ar-SA"/>
        </w:rPr>
        <w:t xml:space="preserve">A standard curve was constructed for the </w:t>
      </w:r>
      <w:r w:rsidRPr="000069A5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 w:eastAsia="en-US" w:bidi="ar-SA"/>
        </w:rPr>
        <w:t>aap</w:t>
      </w:r>
      <w:r w:rsidRPr="000069A5">
        <w:rPr>
          <w:rFonts w:ascii="Times New Roman" w:eastAsia="Calibri" w:hAnsi="Times New Roman" w:cs="Times New Roman"/>
          <w:kern w:val="0"/>
          <w:sz w:val="20"/>
          <w:szCs w:val="20"/>
          <w:lang w:val="en-US" w:eastAsia="en-US" w:bidi="ar-SA"/>
        </w:rPr>
        <w:t xml:space="preserve"> primer, consisting of seven points obtained through serial 1:8 dilutions using EAEC 042 DNA at concentrations ranging from 57.6 ng/µL to 0.0002197265 ng/µL. Panel (</w:t>
      </w:r>
      <w:r w:rsidRPr="000069A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 w:eastAsia="en-US" w:bidi="ar-SA"/>
        </w:rPr>
        <w:t>A</w:t>
      </w:r>
      <w:r w:rsidRPr="000069A5">
        <w:rPr>
          <w:rFonts w:ascii="Times New Roman" w:eastAsia="Calibri" w:hAnsi="Times New Roman" w:cs="Times New Roman"/>
          <w:kern w:val="0"/>
          <w:sz w:val="20"/>
          <w:szCs w:val="20"/>
          <w:lang w:val="en-US" w:eastAsia="en-US" w:bidi="ar-SA"/>
        </w:rPr>
        <w:t>) shows the amplification corresponding to the primer standard curve points; panel (</w:t>
      </w:r>
      <w:r w:rsidRPr="000069A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 w:eastAsia="en-US" w:bidi="ar-SA"/>
        </w:rPr>
        <w:t>B</w:t>
      </w:r>
      <w:r w:rsidRPr="000069A5">
        <w:rPr>
          <w:rFonts w:ascii="Times New Roman" w:eastAsia="Calibri" w:hAnsi="Times New Roman" w:cs="Times New Roman"/>
          <w:kern w:val="0"/>
          <w:sz w:val="20"/>
          <w:szCs w:val="20"/>
          <w:lang w:val="en-US" w:eastAsia="en-US" w:bidi="ar-SA"/>
        </w:rPr>
        <w:t>) displays the dissociation plot confirming the specificity of the amplified product; and panel (</w:t>
      </w:r>
      <w:r w:rsidRPr="000069A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 w:eastAsia="en-US" w:bidi="ar-SA"/>
        </w:rPr>
        <w:t>C</w:t>
      </w:r>
      <w:r w:rsidRPr="000069A5">
        <w:rPr>
          <w:rFonts w:ascii="Times New Roman" w:eastAsia="Calibri" w:hAnsi="Times New Roman" w:cs="Times New Roman"/>
          <w:kern w:val="0"/>
          <w:sz w:val="20"/>
          <w:szCs w:val="20"/>
          <w:lang w:val="en-US" w:eastAsia="en-US" w:bidi="ar-SA"/>
        </w:rPr>
        <w:t>) presents the amplified points and the final fit of the standard curve.</w:t>
      </w:r>
    </w:p>
    <w:sectPr w:rsidR="00535983" w:rsidRPr="000069A5" w:rsidSect="00235C1B">
      <w:pgSz w:w="11920" w:h="16840"/>
      <w:pgMar w:top="1701" w:right="1701" w:bottom="1134" w:left="1134" w:header="76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FB7"/>
    <w:rsid w:val="000069A5"/>
    <w:rsid w:val="00223D45"/>
    <w:rsid w:val="00235C1B"/>
    <w:rsid w:val="003D31F6"/>
    <w:rsid w:val="00535983"/>
    <w:rsid w:val="008425DE"/>
    <w:rsid w:val="00EB37C5"/>
    <w:rsid w:val="00F0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E77C"/>
  <w15:chartTrackingRefBased/>
  <w15:docId w15:val="{080EA3C2-68FD-4030-B8ED-FBE944E21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FB7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tulo1">
    <w:name w:val="heading 1"/>
    <w:basedOn w:val="Ttulo"/>
    <w:link w:val="Ttulo1Char"/>
    <w:qFormat/>
    <w:rsid w:val="00F06FB7"/>
    <w:pPr>
      <w:keepNext/>
      <w:spacing w:before="240" w:after="120"/>
      <w:contextualSpacing w:val="0"/>
      <w:outlineLvl w:val="0"/>
    </w:pPr>
    <w:rPr>
      <w:rFonts w:ascii="Times New Roman" w:eastAsia="SimSun" w:hAnsi="Times New Roman"/>
      <w:b/>
      <w:bCs/>
      <w:spacing w:val="0"/>
      <w:kern w:val="1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06FB7"/>
    <w:rPr>
      <w:rFonts w:ascii="Times New Roman" w:eastAsia="SimSun" w:hAnsi="Times New Roman" w:cs="Mangal"/>
      <w:b/>
      <w:bCs/>
      <w:kern w:val="1"/>
      <w:sz w:val="48"/>
      <w:szCs w:val="48"/>
      <w:lang w:eastAsia="zh-CN" w:bidi="hi-IN"/>
    </w:rPr>
  </w:style>
  <w:style w:type="paragraph" w:styleId="PargrafodaLista">
    <w:name w:val="List Paragraph"/>
    <w:basedOn w:val="Normal"/>
    <w:uiPriority w:val="34"/>
    <w:qFormat/>
    <w:rsid w:val="00F06FB7"/>
    <w:pPr>
      <w:widowControl/>
      <w:suppressAutoHyphens w:val="0"/>
      <w:spacing w:after="160" w:line="259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Refdecomentrio">
    <w:name w:val="annotation reference"/>
    <w:rsid w:val="00F06FB7"/>
    <w:rPr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F06FB7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tuloChar">
    <w:name w:val="Título Char"/>
    <w:basedOn w:val="Fontepargpadro"/>
    <w:link w:val="Ttulo"/>
    <w:uiPriority w:val="10"/>
    <w:rsid w:val="00F06FB7"/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3D45"/>
    <w:rPr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3D45"/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23D4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23D45"/>
    <w:rPr>
      <w:rFonts w:ascii="Liberation Serif" w:eastAsia="SimSun" w:hAnsi="Liberation Serif" w:cs="Mangal"/>
      <w:b/>
      <w:bCs/>
      <w:kern w:val="1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1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3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3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3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603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Dayara Oliveira</dc:creator>
  <cp:keywords/>
  <dc:description/>
  <cp:lastModifiedBy>Dayara Oliveira</cp:lastModifiedBy>
  <cp:revision>2</cp:revision>
  <dcterms:created xsi:type="dcterms:W3CDTF">2026-07-24T18:40:00Z</dcterms:created>
  <dcterms:modified xsi:type="dcterms:W3CDTF">2026-07-24T19:48:00Z</dcterms:modified>
</cp:coreProperties>
</file>